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ABFC" w14:textId="77777777" w:rsidR="0061776B" w:rsidRPr="005601F5" w:rsidRDefault="0061776B" w:rsidP="0061776B">
      <w:pPr>
        <w:pStyle w:val="ListParagraph"/>
        <w:adjustRightInd w:val="0"/>
        <w:spacing w:line="48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</w:pPr>
      <w:r w:rsidRPr="005601F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DAFTAR PUSTAKA</w:t>
      </w:r>
    </w:p>
    <w:p w14:paraId="11F1BE56" w14:textId="77777777" w:rsidR="0061776B" w:rsidRPr="005601F5" w:rsidRDefault="0061776B" w:rsidP="0061776B">
      <w:pPr>
        <w:pStyle w:val="ListParagraph"/>
        <w:adjustRightInd w:val="0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lang w:val="id-ID"/>
        </w:rPr>
      </w:pPr>
    </w:p>
    <w:p w14:paraId="021FB047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Agustini, N. W. S. (2013). Aktivitas Antioksidan Dan Uji Toksisitas Hayati Pigmen Fikobiliprotein Dari Ekstrak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Spirulina Platensis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Journal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Bioteknologi,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9(1): 107-110.</w:t>
      </w:r>
    </w:p>
    <w:p w14:paraId="14BA4EC4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A6C66CF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Angelia, G., M.I. Junaedi., dan B. Situmeang. (2019). Uji Aktivitas Toksisitas Ekstrak Daun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Dendrophthoe praelonga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(Blume) Miq. Dengan Metode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 Brine Shrimp Lethality Test. Jurnal ITEKIMIA.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Banten: Sekolah Tinggi Analis Kimia. 5(2): 21-32. </w:t>
      </w:r>
    </w:p>
    <w:p w14:paraId="3BB0E71F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C9F5486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Angelina, M., P. Amelia., M. Irsyad., L. Meilawati., dan M. Hanafi. (2015). Karakterisasi Ekstrak Etanol Herba Katumpangan Air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Peperomia pellucida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L. Kunth).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Biopropal Industri.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Jakarta: UIN Syarif Hidayatullah. 6(2) 53-61. </w:t>
      </w:r>
    </w:p>
    <w:p w14:paraId="577A5E5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C82ECC8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Aprilliani, R., S.P. Fitrianingsih., dan R. Choesrina. (2016). Standardisasi Mutu Simplisia dan Ekstrak Metanol Daun Paitan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Tithonia diversifolia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(Hemsley) A. Gray).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Prosiding Farmasi.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Bandung: Universitas Bandung. 2(2): 286-292.</w:t>
      </w:r>
    </w:p>
    <w:p w14:paraId="15C263B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5D7819A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Aras, T.R. (2013). Uji Toksisitas Ekstrak Teripang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Holothuria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scabra)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Terhadap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Artemia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salina. Skripsi.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Makassar: Universitas Hasanuddin.</w:t>
      </w:r>
    </w:p>
    <w:p w14:paraId="637D020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DC3584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Arnanda, Q.P., dan Rina, F.N. (2019). Review Article: Penggunaan Radiofarmaka Teknesium-99M Dari Senyawa Glutation dan Senyawa Flavonoid Sebagai Deteksi Dini Radikal Bebas Pemicu Kanker.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Farmaka.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Bandung: Universitas Padjadjaran. 17(2): 236-243.</w:t>
      </w:r>
    </w:p>
    <w:p w14:paraId="5A1F5DAF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059E901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Cao, S.G., Valerie, H.L.S., Xiao, H.W., Keng, Y.S., B.H.K, Tan., J.T, Pereira dan S.H, Goh. (1998). Novel Cytotoxic Polyprenylated Xanthonoids From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Garcinia gaudichaudii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(Guttiferae).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Tetrahedron.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Singapore: University of Singapore.</w:t>
      </w:r>
    </w:p>
    <w:p w14:paraId="144C8A7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57685BBB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Chusniasih, D., dan Tutik. (2020). Uji Toksisitas Dengan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Brine Shrimp Lethality Test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(BSLT) dan Identifikasi Komponen Fitokimia Ekstrak Aseton Kulit Buah Kakao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Theobroma cacao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L.).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Analit: Analytical and Enviromental Chemistry.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Bandar Lampung: Universitas Malahayati. 2(2): 192-201.</w:t>
      </w:r>
    </w:p>
    <w:p w14:paraId="59940A1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1F546C73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Dahlan, M.Y. (2018). Uji Toksisitas Fraksi Methanol Hydroid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Aglaophenia cupressina Lamoreoux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Terhadap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Artemia salina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6A44F0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leach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Skripsi.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Makassar: Universitas Hasanuddin.</w:t>
      </w:r>
    </w:p>
    <w:p w14:paraId="04D14BED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C5A75E6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Dalimartha, S. (2008).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Atlas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Tumbuhan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Obat Indonesia Jilid 1.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Trubus Agriwidya.</w:t>
      </w:r>
    </w:p>
    <w:p w14:paraId="6569D83C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2899745A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Departemen Kesehatan RI. (1979).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Materia Medika Indonesia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, jilid III. Jakarta: Depkes RI. Hal 155-159.</w:t>
      </w:r>
    </w:p>
    <w:p w14:paraId="2211728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2631948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Departemen Kesehatan RI. (1989).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Materia Medika Indonesia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, jilid V. Jakarta: Depkes RI. Hal 536-540.</w:t>
      </w:r>
    </w:p>
    <w:p w14:paraId="7ECDA523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3245229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Departemen Kesehatan RI. (1995).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Materia Medika Indonesia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, jilid VI. Jakarta: Depkes RI. Hal 299-306, 333-337.</w:t>
      </w:r>
    </w:p>
    <w:p w14:paraId="214C7324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0CE9EAB9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Departemen Kesehatan RI. (2000).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Parameter Standar Umum Ekstrak Tumbuhan Obat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. Jakarta: Depkes RI. Hal 3-12.</w:t>
      </w:r>
    </w:p>
    <w:p w14:paraId="04DE68F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36E8B13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Djamil, R., dan Tria, A. (2009). Penapisan Fitokimia, Uji BSLT dan Uji Antioksidan </w:t>
      </w:r>
    </w:p>
    <w:p w14:paraId="22DA3796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ab/>
        <w:t xml:space="preserve">Ekstrak Metanol Beberapa Spesies Papilionaceae.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Jurnal Ilmu Kefarmasian Indonesia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. Jakarta: Fakultas Farmasi Universitas Pancasila.7(2): 65-71.</w:t>
      </w:r>
    </w:p>
    <w:p w14:paraId="28934D9C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6152487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Endarini, L. H. (2016).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Farmakognosi Dan Fitokimia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. Jakarta: Pusdik SDM dan Kesehatan.</w:t>
      </w:r>
    </w:p>
    <w:p w14:paraId="64271420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4A3BFB99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Erlidawati., Safrida., dan Mukhlis. (2018).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Potensi Antioksidan Sebagai Antidiabetes.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Aceh: Syiah Kuala University Press.</w:t>
      </w:r>
    </w:p>
    <w:p w14:paraId="7A2FEC9A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1B94CFDA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Fadli., Suhaimi., dan Muhammad, I. (2019). Uji Toksisitas Akut Ekstrak Etanol Daun Salam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(Syzygium Polyanthum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)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(Wight) Walp.) Dengan Metode BSLT (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</w:rPr>
        <w:t>Brine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</w:rPr>
        <w:t>Shrimp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</w:rPr>
        <w:t>Lethality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</w:rPr>
        <w:t>Test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). 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 xml:space="preserve">Medical Sains. </w:t>
      </w:r>
      <w:r w:rsidRPr="005601F5">
        <w:rPr>
          <w:rFonts w:asciiTheme="majorBidi" w:hAnsiTheme="majorBidi" w:cstheme="majorBidi"/>
          <w:iCs/>
          <w:color w:val="000000" w:themeColor="text1"/>
          <w:szCs w:val="24"/>
          <w:lang w:val="id-ID"/>
        </w:rPr>
        <w:t>Pontianak: Akademi Farmasi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Yarsi. 4(1): 35-42.</w:t>
      </w:r>
    </w:p>
    <w:p w14:paraId="36F69412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C9B410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Fanani, Z. (2017). Sangketan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Achyranthes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aspera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Agen Sitotoksik Potensial di Masa Depan.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Indonesia Jurnal Farmasi.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Kudus: STIKES Muhammadiyah Kudus. 2(1): 21-27.</w:t>
      </w:r>
    </w:p>
    <w:p w14:paraId="5B1A256C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151A7A73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Haryoto., Muhtadi., Peni, I., Tanti, A., dan Andi, S. (2013). Aktivitas Sitotoksik Ekstrak Etanol Tumbuhan Sala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Cynometra ramiflora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Linn) Terhadap Sel HeLa, T47D dan WIDR.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Penelitian Saintek.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Surakarta: Universitas Muhammadiyah Surakarta. 18(2): 21-28.</w:t>
      </w:r>
    </w:p>
    <w:p w14:paraId="33D85BEE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E4B7E40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Jayanegara, A., Muhammad, R., Erika, B.L., dan Nahrowi. (2019).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Komponen Antinutrisi Pada Ikan.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Bogor: PT. Penerbit IPB Press.</w:t>
      </w:r>
    </w:p>
    <w:p w14:paraId="013706FD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713D20E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Kartikasari, D., Nurkhassanah., dan S. Pramono. (2015). Karakterisasi Simplisia dan Ekstrak Etanol Daun Bertoni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Stevia rebaudiana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Dari Tiga Tempat Tumbuh.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Jurnal Ilmu Farmasi dan Farmasi klinik.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Semarang: Universitas Wahid Hasyim. </w:t>
      </w:r>
    </w:p>
    <w:p w14:paraId="0E6E3B22" w14:textId="77777777" w:rsidR="0061776B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5DF3057" w14:textId="77777777" w:rsidR="0061776B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E4E3ACB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A3258A3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Kurnijasanti, R., Iwan, S.H., dan Kadek, R. (2008). Efek Sitotoksik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In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Vitro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Dari Ekstrak Buah Mahkota Dewa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Phaleria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macrocarpa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Terhadap Kultur Sel Kanker Mieloma.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Penelitian Medika Eksakta.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Surabaya: Universitas Airlangga. 7(1): 48-54.</w:t>
      </w:r>
    </w:p>
    <w:p w14:paraId="687F255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70C8DA1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Kusmiati., Tiah, R., dan Ayu, A.P. (2014). Pengujian Ekstrak Aseton Daun Bayam (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Amaranthus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sp) Sebagai Senyawa Antiradikal DPPH, Antibakteri Dan Identifikasi Senyawa Aktif Dengan KG SM.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Proceeding Biology Education Conference. </w:t>
      </w:r>
    </w:p>
    <w:p w14:paraId="6464845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7F36F152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Kristanti, A.N., Nanik, S.A., Mulyadi, T., dan Bambang, K. (2018).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Buku Ajar Fitkomia.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Surabaya: Airlangga University Press.</w:t>
      </w:r>
    </w:p>
    <w:p w14:paraId="79D4DB8F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75F7F80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Lisdawati, V., S. Wiryowidagdo., dan L.B.S. Kardono. (2006).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(BSLT) Dari Berbagai fraksi Ekstrak Daging Buah dan Kulit  Biji Mahkota Dewa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Phaleria macrocarpa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Buletin Penelitian Kesehatan.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Badan Penelitian dan Pengembangan Kesehatan.</w:t>
      </w:r>
    </w:p>
    <w:p w14:paraId="44F41BB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3D7DAE0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Marjoni, R.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(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2016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Dasar – Dasar Fitokimia Untuk Diploma III Farmasi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. Jakarta: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ab/>
        <w:t xml:space="preserve">Trans Info Media. </w:t>
      </w:r>
    </w:p>
    <w:p w14:paraId="6AF4A15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5DE318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Masriani., dan Firman, S.B. (2017). Penapisan Fitokimia Ekstrak Metanol Beberapa  Tumbuhan Obat Asal Kalimantan Barat.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Seminar Nasional.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Pontianak: Universitas Tanjungpura. </w:t>
      </w:r>
    </w:p>
    <w:p w14:paraId="781F581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58460B2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Meyer, B.N., Ferrigni, N.R., Putnam, J.E., Jacobsen, L.B., Nichols, D.E., dan McLaughin, J.L. (1982). Brine Shrimp: A Convenient General Bioassay for Active Plant Constituent.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Planta Medica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. 45:31-34.</w:t>
      </w:r>
    </w:p>
    <w:p w14:paraId="227E78C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8EC94F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Ndruru, R.E., M. Situmorang., dan G. Tarigan. (2014). Analisa Faktor-Faktor Yang Mempengaruhi Hasil Produksi Padi Di Deli Serdang.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Saintia Matematika.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Medan: Universitas Sumatra Utara. 2(1): 71-83.</w:t>
      </w:r>
    </w:p>
    <w:p w14:paraId="571C327B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FC97598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Ngatimin, S.N.A., dan Zakiah, U. (2019).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Teknik Menanggulangi Serangga Hama Kehutanan Menggunakan Metabolit Sekunder Tanaman.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Yogyakarta: Leutikaprio.</w:t>
      </w:r>
    </w:p>
    <w:p w14:paraId="1EB12B0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DCD5BA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Noerbaeti, E. (2019). Uji Toksisitas Ekstrak Daun Bakau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Soneratia alba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Terhadap Artemia.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Balai Perikanan Budidaya Laut Ambon.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Ambon: Kementerian Kelautan dan Perikanan. </w:t>
      </w:r>
    </w:p>
    <w:p w14:paraId="1A42E06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12A7A01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Nuraini., Asriani, I., dan Iin, N. (2015). Identifikasi dan Karakterisasi Senyawa Bioaktif Antikanker Dari Ekstrak Etanol Kulit Batang Kayu Bitti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Vitex cofassus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Al Kimia.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Makassar: UIN Alauddin. 3(2): 15-27.</w:t>
      </w:r>
    </w:p>
    <w:p w14:paraId="43B66A6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81DB508" w14:textId="77777777" w:rsidR="0061776B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6B6E127" w14:textId="77777777" w:rsidR="0061776B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0E86891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Nurhayati, A.P.D., Nurlita, A., dan Rachmat, F. (2006). Uji Toksisitas Ekstrak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Eucheuma Alvarezii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terhadap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Artemia </w:t>
      </w:r>
      <w:r w:rsidRPr="007F2383">
        <w:rPr>
          <w:rFonts w:asciiTheme="majorBidi" w:hAnsiTheme="majorBidi" w:cstheme="majorBidi"/>
          <w:color w:val="000000" w:themeColor="text1"/>
          <w:szCs w:val="24"/>
          <w:lang w:val="id-ID"/>
        </w:rPr>
        <w:t>Salina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Sebagai Studi Pendahuluan Potensi Antikanker.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Akta Kimindo.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Surabaya: Institut Teknologi Sepuluh Nopember. 2(1): 41-46.</w:t>
      </w:r>
    </w:p>
    <w:p w14:paraId="0F003C86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171E9CD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Nurhayati, S., Teja, K., dan Mukh, S. (2011). Superoksida Dismutase (SOD) : Apa dan Bagaimana Peranannya Dalam Radioterapi.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Buletin Alara.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Pusat Teknologi Keselamatan dan Metrologi – BATAN. 13(2): 67 – 74.</w:t>
      </w:r>
    </w:p>
    <w:p w14:paraId="0C740534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59F86399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Panggabean, L., Nurhamidah., dan D. Handayani. (2020). Profil Fitokimia dan Uji Sitotoksik Ekstrak Etanol Tumbuhan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Zanthoxylum acanthopodium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dc (Andaliman) Menggunakan Metode BSLT.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Pendidikan dan Ilmu Kimia.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Bengkulu: Universitas Bengkulu. 4(1): 59-68.</w:t>
      </w:r>
    </w:p>
    <w:p w14:paraId="2911B7E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7C8F229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Paramita, N.L.P.V., N.M.D. Andani., I.A.P.Y. Putri., N.K.S. Indriyani., dan N.M.P. Susanti. (2019). Karakteristik Simplisia Teh Hitam Dari Tanaman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Camelia sinensis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Var. assamica Dari Perkebunan Teh Bali Cahaya Amerta, Desa Angseri, Kecamatan Baturiti, Kabupaten Tabanan, Bali.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Kimia.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Bali: Universitas Udayana. 13(1): 58-66.</w:t>
      </w:r>
    </w:p>
    <w:p w14:paraId="62FECF2E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45F1211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Purwanto, N., Endah, R., dan Esti, R.S. (2015). Uji Sitotoksik Ekstrak Biji Salak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Salaca zalacca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(Gaert) Voss) Dengan Menggunakan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(BSLT).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Prosiding Penelitian SPeSIA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. Bandung: UNISBA.  </w:t>
      </w:r>
    </w:p>
    <w:p w14:paraId="2E4507C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947D221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Puspariani, Y.S. (2007). Isolasi Identifikasi Saponin Pada Kecambah Kedelai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Glycine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lastRenderedPageBreak/>
        <w:t xml:space="preserve">max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L.).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Skripsi.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Yogyakarta: Universitas Sanata Dharma. </w:t>
      </w:r>
    </w:p>
    <w:p w14:paraId="4355135B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1D45BF5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Puspitasari, E., Rozirwan., dan Muhammad, H. (2018). Uji Toksisitas Dengan Menggunakan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Brine Shrimp Lethality Test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(BSLT) Pada Ekstrak Mangrove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Avicennia marina, Rhizophora mucronata, Sonneratia alba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dan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Xylocarpus granatum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yang Berasal Dari Banyuasin, Sumatera Selatan.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Biologi Tropis.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Palembang: Universitas Sriwijaya. 18(1): 91-103.</w:t>
      </w:r>
    </w:p>
    <w:p w14:paraId="3AD88DF0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0C9F20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color w:val="000000" w:themeColor="text1"/>
          <w:szCs w:val="24"/>
        </w:rPr>
        <w:t xml:space="preserve">Rijai, L. (2016). Senyawa Glikosida Sebagai Bahan Farmasi Potensial Secara Kinetik. </w:t>
      </w:r>
      <w:r w:rsidRPr="005601F5">
        <w:rPr>
          <w:i/>
          <w:color w:val="000000" w:themeColor="text1"/>
          <w:szCs w:val="24"/>
        </w:rPr>
        <w:t xml:space="preserve">Journal Tropis Pharm ChemicalI, </w:t>
      </w:r>
      <w:r w:rsidRPr="005601F5">
        <w:rPr>
          <w:color w:val="000000" w:themeColor="text1"/>
          <w:szCs w:val="24"/>
        </w:rPr>
        <w:t>3(3): 215-217.</w:t>
      </w:r>
    </w:p>
    <w:p w14:paraId="7E57A998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4123A5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Sadarun, B., M.H. Malaka., Wahyuni., dan Sahidin. (2017). Toksisitas Akut Senyawa Metabolit Sekunder dari Spons Laut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Clathria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sp.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Majalah Farmasi, Sains, dan Kesehatan.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Kendari: Universitas Halu Oleo. 3(1): 6-9.</w:t>
      </w:r>
    </w:p>
    <w:p w14:paraId="4A55A4ED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52A4F934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Savitri, A. (2016).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Tanaman Ajain ! Basmi Penyakit Dengan TOGA (Tanaman Obat Keluarga).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Cetakan Pertama. Jakarta: Bibit Publisher.</w:t>
      </w:r>
    </w:p>
    <w:p w14:paraId="1DF92951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7AB2D1B4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Setyowati, N., Kasrina., Ariefa, P.N., dan Rini, P. (2009). Jenis-Jenis Gulma yang Berpotensi Sebagai Tanaman Obat Bagi Masyarakat Desa Taba Teret, Taba Penanjung, Bengkulu.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Seminar Nasional Etnobotani IV.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Bengkulu: Universitas Bengkulu.  </w:t>
      </w:r>
    </w:p>
    <w:p w14:paraId="3923D8F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F46FE81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Sitepu, N.B., dan Rini. B. (2019).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Uji Toksisitas Ekstrak Etanol Kulit Batang Cepcepan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</w:rPr>
        <w:t>Castanopsis costata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BL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)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Dengan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</w:rPr>
        <w:t>Brine Shrimp Lethality Test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(BSLT)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Borneo Journal Of Phamascientech.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Medan: Poltekkes Kemenkes. 3(1): 20-27. </w:t>
      </w:r>
    </w:p>
    <w:p w14:paraId="519E69FD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4554E18E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Simaremare, E.S. (2014). Skrining Fitokimia Ekstrak Etanol Daun Gatal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Laportea decumana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(Roxb.) Wedd).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PHARMACY.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Jayapura: Universitas Cenderawasih. 11(1): 98-107.</w:t>
      </w:r>
    </w:p>
    <w:p w14:paraId="645DEBD6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22D5620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Siregar, F., dan Hadijono. B.S. (2000). Uji Sitotoksisitas Dengan Esei MTT.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Kedokteran Gigi.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Universitas Indonesia. 7(Edisi Khusus): 28-32.</w:t>
      </w:r>
    </w:p>
    <w:p w14:paraId="204DB3E3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FFAD006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Subekti, N.K. (2014). Uji Toksisitas Akut Ekstrak Metanol Daun Laban Abang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Aglaia elliptica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Blume) Terhadap Larva Udang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Artemia salina </w:t>
      </w:r>
      <w:r w:rsidRPr="007F2383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leach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) Dengan Metode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(BSLT).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Skripsi.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UIN Syarif Hidayatullah.</w:t>
      </w:r>
    </w:p>
    <w:p w14:paraId="340B6EBE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5A42C77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Sugianti, N. (2007).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Brine Shrimp Lethality Test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Ekstrak Etanol Daun Tumbuhan Temblekan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Lantana camara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L.) Beserta Profil Kromatografi Lapis Tipis.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>Skripsi.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Yogyakarta: Universitas Sanata Dharma.</w:t>
      </w:r>
    </w:p>
    <w:p w14:paraId="764AA8F8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94126D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Suharman. (2018).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GAMBIR Peluang Pasar, Budidaya, dan Pengolahannya.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Yogyakarta: Penerbit Deepublish.</w:t>
      </w:r>
    </w:p>
    <w:p w14:paraId="437B9311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76C5DD45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Suharmiati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.,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dan Herti, M. (2003).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Khasiat Dan Manfaat Daun Dewa Dan Sambung Nyawa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. Depok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: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PT. Agromedia Pustaka. Hal: 4-9.</w:t>
      </w:r>
    </w:p>
    <w:p w14:paraId="1FC6A810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232A3B5E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Sumardjo, D. (2009).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Pengantar Kimia: Buku Panduan Kuliah Mahasiswa Kedokteran dan Program Strata 1 Fakultas Bioeksakta.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Penerbit Buku Kedokteran EGC.</w:t>
      </w:r>
    </w:p>
    <w:p w14:paraId="2634388D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C6A43ED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Sunanto, H. (2009).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100 Resep Sembuhkan Hipertensi, Asam Urat, dan Obesitas.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Jakarta: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lastRenderedPageBreak/>
        <w:t>PT. Elex Media Komputindo.</w:t>
      </w:r>
    </w:p>
    <w:p w14:paraId="53BCB89B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A030687" w14:textId="77777777" w:rsidR="0061776B" w:rsidRPr="005601F5" w:rsidRDefault="0061776B" w:rsidP="0061776B">
      <w:pPr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601F5">
        <w:rPr>
          <w:rFonts w:asciiTheme="majorBidi" w:hAnsiTheme="majorBidi" w:cstheme="majorBidi"/>
          <w:color w:val="000000" w:themeColor="text1"/>
          <w:szCs w:val="24"/>
        </w:rPr>
        <w:t>Supriningrum, R., Sapri.,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dan Vici, A.P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. (2016). Uji Toksisitas Akut Ekstrak Etanol Akar KB (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 xml:space="preserve">Coptosapelta tomentosa Valeton 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ex K.Heyne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)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dengan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Metode Brine Shrimp Lethality Test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 xml:space="preserve"> (BSLT). </w:t>
      </w:r>
      <w:r w:rsidRPr="005601F5">
        <w:rPr>
          <w:rFonts w:asciiTheme="majorBidi" w:hAnsiTheme="majorBidi" w:cstheme="majorBidi"/>
          <w:i/>
          <w:color w:val="000000" w:themeColor="text1"/>
          <w:szCs w:val="24"/>
        </w:rPr>
        <w:t>Jurnal Ilmiah Manuntung</w:t>
      </w:r>
      <w:r w:rsidRPr="005601F5">
        <w:rPr>
          <w:rFonts w:asciiTheme="majorBidi" w:hAnsiTheme="majorBidi" w:cstheme="majorBidi"/>
          <w:color w:val="000000" w:themeColor="text1"/>
          <w:szCs w:val="24"/>
        </w:rPr>
        <w:t>, 2(2): 161-165.</w:t>
      </w:r>
    </w:p>
    <w:p w14:paraId="311E11F4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9A39E39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Werdhasari, A. (2014). Peran Antioksidan Bagi Kesehatan.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Biotek Medisiana Indonesia.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Jakarta: Pusat Biomedis dan Teknologi Dasar Kesehatan Balitbangkes. 3(2): 59-68.</w:t>
      </w:r>
    </w:p>
    <w:p w14:paraId="44F9CFB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EA2859C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Wibowo, S., Bagus. S.B.U., Dwi. S., dan Syamdidi. (2013). </w:t>
      </w:r>
      <w:r w:rsidRPr="005601F5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Artemia Untuk Pakan Ikan Dan Udang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. Jakarta: Penebar Swadaya.</w:t>
      </w:r>
    </w:p>
    <w:p w14:paraId="7BEC7B40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3A412E53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Wullur, A.C., J. Schaduw., A.N.K. Wardhani. (2012). Identifikasi Alkaloid Pada Daun Sirsak (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Annona muricata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L.).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Jurnal Ilmiah Farmasi.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Manado: Politeknik Kesehatan Kemenkes. 3(2): 54-56.</w:t>
      </w:r>
    </w:p>
    <w:p w14:paraId="719B0B8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416310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Yasni, S. (2013).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Teknologi Pengolahan dan Pemanfaatan Produk Ekstraktif Rempah.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Bogor: PT. Penerbit IPB Press.</w:t>
      </w:r>
    </w:p>
    <w:p w14:paraId="4263C477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0874EACA" w14:textId="77777777" w:rsidR="0061776B" w:rsidRPr="005601F5" w:rsidRDefault="0061776B" w:rsidP="0061776B">
      <w:pPr>
        <w:pStyle w:val="ListParagraph"/>
        <w:adjustRightInd w:val="0"/>
        <w:ind w:left="567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Zafrial, R.M., dan Riezki, A. (2018). Artikel Tinjauan: Anti Kanker Dari Tanaman Herbal. </w:t>
      </w:r>
      <w:r w:rsidRPr="005601F5">
        <w:rPr>
          <w:rFonts w:asciiTheme="majorBidi" w:hAnsiTheme="majorBidi" w:cstheme="majorBidi"/>
          <w:i/>
          <w:iCs/>
          <w:color w:val="000000" w:themeColor="text1"/>
          <w:szCs w:val="24"/>
          <w:lang w:val="id-ID"/>
        </w:rPr>
        <w:t xml:space="preserve">Farmaka. </w:t>
      </w: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t>Bandung: Universitas Padjadjaran. 16(1): 15-23.</w:t>
      </w:r>
    </w:p>
    <w:p w14:paraId="08600DE5" w14:textId="77777777" w:rsidR="0061776B" w:rsidRPr="005601F5" w:rsidRDefault="0061776B" w:rsidP="0061776B">
      <w:pPr>
        <w:rPr>
          <w:rFonts w:asciiTheme="majorBidi" w:hAnsiTheme="majorBidi" w:cstheme="majorBidi"/>
          <w:color w:val="000000" w:themeColor="text1"/>
          <w:szCs w:val="24"/>
          <w:lang w:val="id-ID"/>
        </w:rPr>
      </w:pPr>
    </w:p>
    <w:p w14:paraId="6801BABE" w14:textId="77777777" w:rsidR="0061776B" w:rsidRPr="005601F5" w:rsidRDefault="0061776B" w:rsidP="0061776B">
      <w:pPr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5601F5">
        <w:rPr>
          <w:rFonts w:asciiTheme="majorBidi" w:hAnsiTheme="majorBidi" w:cstheme="majorBidi"/>
          <w:color w:val="000000" w:themeColor="text1"/>
          <w:szCs w:val="24"/>
          <w:lang w:val="id-ID"/>
        </w:rPr>
        <w:br w:type="page"/>
      </w:r>
      <w:bookmarkStart w:id="0" w:name="_GoBack"/>
      <w:bookmarkEnd w:id="0"/>
    </w:p>
    <w:sectPr w:rsidR="0061776B" w:rsidRPr="005601F5" w:rsidSect="00A8073F">
      <w:headerReference w:type="even" r:id="rId9"/>
      <w:headerReference w:type="default" r:id="rId10"/>
      <w:footerReference w:type="default" r:id="rId11"/>
      <w:footerReference w:type="first" r:id="rId12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945CA" w14:textId="77777777" w:rsidR="00B20E18" w:rsidRDefault="00B20E18" w:rsidP="00593D46">
      <w:r>
        <w:separator/>
      </w:r>
    </w:p>
  </w:endnote>
  <w:endnote w:type="continuationSeparator" w:id="0">
    <w:p w14:paraId="080C63A9" w14:textId="77777777" w:rsidR="00B20E18" w:rsidRDefault="00B20E18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84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03C1B" w14:textId="77777777" w:rsidR="00D967CA" w:rsidRDefault="00D96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1EC5BB" w14:textId="77777777" w:rsidR="00D967CA" w:rsidRDefault="00D96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91AB1" w14:textId="77777777" w:rsidR="00B20E18" w:rsidRDefault="00B20E18" w:rsidP="00593D46">
      <w:r>
        <w:separator/>
      </w:r>
    </w:p>
  </w:footnote>
  <w:footnote w:type="continuationSeparator" w:id="0">
    <w:p w14:paraId="10EE4E0F" w14:textId="77777777" w:rsidR="00B20E18" w:rsidRDefault="00B20E18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83"/>
    <w:multiLevelType w:val="multilevel"/>
    <w:tmpl w:val="BECE70A2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1C57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33EBF"/>
    <w:rsid w:val="00135B55"/>
    <w:rsid w:val="00136373"/>
    <w:rsid w:val="00151DB8"/>
    <w:rsid w:val="0016182B"/>
    <w:rsid w:val="00162362"/>
    <w:rsid w:val="00170AD1"/>
    <w:rsid w:val="00172F5F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AC9"/>
    <w:rsid w:val="002750AC"/>
    <w:rsid w:val="00276293"/>
    <w:rsid w:val="00277C36"/>
    <w:rsid w:val="00290238"/>
    <w:rsid w:val="002948BD"/>
    <w:rsid w:val="00296774"/>
    <w:rsid w:val="002B2D5C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F0CFB"/>
    <w:rsid w:val="004F5F55"/>
    <w:rsid w:val="0051496E"/>
    <w:rsid w:val="00514B60"/>
    <w:rsid w:val="00524FFA"/>
    <w:rsid w:val="00534D0D"/>
    <w:rsid w:val="00536FD7"/>
    <w:rsid w:val="00540929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2AC2"/>
    <w:rsid w:val="005B2F65"/>
    <w:rsid w:val="005B3E5A"/>
    <w:rsid w:val="005C0DE9"/>
    <w:rsid w:val="005C0E11"/>
    <w:rsid w:val="005C6335"/>
    <w:rsid w:val="005D39A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1776B"/>
    <w:rsid w:val="006203F1"/>
    <w:rsid w:val="00623709"/>
    <w:rsid w:val="00623EF5"/>
    <w:rsid w:val="00626583"/>
    <w:rsid w:val="00632160"/>
    <w:rsid w:val="0063228A"/>
    <w:rsid w:val="00634B10"/>
    <w:rsid w:val="00637B13"/>
    <w:rsid w:val="006439EC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C26"/>
    <w:rsid w:val="009F3A34"/>
    <w:rsid w:val="00A05AFF"/>
    <w:rsid w:val="00A06713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55A3"/>
    <w:rsid w:val="00A966C8"/>
    <w:rsid w:val="00AA07D0"/>
    <w:rsid w:val="00AA1113"/>
    <w:rsid w:val="00AA42F5"/>
    <w:rsid w:val="00AB1681"/>
    <w:rsid w:val="00AB31FC"/>
    <w:rsid w:val="00AB42A2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0E18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40C9"/>
    <w:rsid w:val="00C17AC8"/>
    <w:rsid w:val="00C26B30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numbering" w:customStyle="1" w:styleId="Style1">
    <w:name w:val="Style1"/>
    <w:uiPriority w:val="99"/>
    <w:rsid w:val="0061776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numbering" w:customStyle="1" w:styleId="Style1">
    <w:name w:val="Style1"/>
    <w:uiPriority w:val="99"/>
    <w:rsid w:val="006177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7EAF-7C15-4962-9538-8C717AD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2021-08-07T07:57:00Z</dcterms:created>
  <dcterms:modified xsi:type="dcterms:W3CDTF">2021-08-07T07:57:00Z</dcterms:modified>
</cp:coreProperties>
</file>