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A2" w:rsidRDefault="00C36BA2" w:rsidP="00C36BA2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DAFTAR PUSTAKA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Adiguna parjan, (2014).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Secret of Herbal.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Cetakan pertama,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Cemerlang Publishing.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Ash Shayim, Muhammad.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(2012). Sehat dengan herbal pilihan.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Cetakan pertama,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Solo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Pustaka Arafah.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Brooks, G. F., Butel, J.S., Morse, S.A.,.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Medical Microbiology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20. Terjemahan oleh Bagian Mikrobiologi Fakultas Kedokteran Universitas Airlangga.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Jakatra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Salemba Medika.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Backer, C.A., &amp; Bakhuisen van den Brink R.C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Flora of Java (Spermatophytes Only). Vol. III Wolters-Noordhoff, N.V. – Groningen-The Netherlands.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Chairunnisa, Firda Alima. (2015). </w:t>
      </w:r>
      <w:r>
        <w:rPr>
          <w:rFonts w:ascii="Times New Roman" w:hAnsi="Times New Roman" w:cs="Times New Roman"/>
          <w:bCs/>
          <w:sz w:val="24"/>
          <w:szCs w:val="24"/>
        </w:rPr>
        <w:t>Pengaruh Daya Antibakteri Obat Kumur Ekstrak Etanol Daun Ciplukan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Physalis angulata </w:t>
      </w:r>
      <w:r>
        <w:rPr>
          <w:rFonts w:ascii="Times New Roman" w:hAnsi="Times New Roman" w:cs="Times New Roman"/>
          <w:bCs/>
          <w:sz w:val="24"/>
          <w:szCs w:val="24"/>
        </w:rPr>
        <w:t xml:space="preserve">L.) terhadap Bakteri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Streptococcus mutans</w:t>
      </w:r>
      <w:r>
        <w:rPr>
          <w:rFonts w:ascii="Times New Roman" w:hAnsi="Times New Roman" w:cs="Times New Roman"/>
          <w:sz w:val="24"/>
          <w:szCs w:val="24"/>
        </w:rPr>
        <w:t>. (Skripsi, Universitas Muhammadiyah Yogyakarta)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Cahaya tim,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Caca.,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(2012). Kumpulan Obat Timur Tengah Cetakan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Ketiga  Jakarta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Timur:Rama Edukasitama.</w:t>
      </w:r>
    </w:p>
    <w:p w:rsidR="00C36BA2" w:rsidRDefault="00C36BA2" w:rsidP="00C36BA2">
      <w:pPr>
        <w:spacing w:before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Depkes RI., (1995).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Farmakope Indonesia. </w:t>
      </w:r>
      <w:r>
        <w:rPr>
          <w:rFonts w:ascii="Times New Roman" w:hAnsi="Times New Roman"/>
          <w:sz w:val="24"/>
          <w:szCs w:val="24"/>
        </w:rPr>
        <w:t>Edisi IV.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Jakarta : Depatermen Kesehatan R</w:t>
      </w:r>
      <w:r>
        <w:rPr>
          <w:rFonts w:ascii="Times New Roman" w:hAnsi="Times New Roman"/>
          <w:sz w:val="24"/>
          <w:szCs w:val="24"/>
          <w:lang w:val="en-US"/>
        </w:rPr>
        <w:t xml:space="preserve">epublik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ndonesia.</w:t>
      </w:r>
    </w:p>
    <w:p w:rsidR="00C36BA2" w:rsidRDefault="00C36BA2" w:rsidP="00C36BA2">
      <w:pPr>
        <w:spacing w:before="240"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Depkes RI.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Farmakope Herbal Indonesia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Edisi 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Departemen Kesehatan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epublik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ndonesia.</w:t>
      </w:r>
    </w:p>
    <w:p w:rsidR="00C36BA2" w:rsidRDefault="00C36BA2" w:rsidP="00C36BA2">
      <w:pPr>
        <w:spacing w:before="240"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Depkes RI., (1979).</w:t>
      </w:r>
      <w:r>
        <w:rPr>
          <w:rFonts w:ascii="Times New Roman" w:hAnsi="Times New Roman" w:cs="Times New Roman"/>
          <w:i/>
          <w:sz w:val="24"/>
          <w:szCs w:val="24"/>
        </w:rPr>
        <w:t xml:space="preserve"> Farmakope Indonesia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edisi III. Jakarta: Departemen Kesehatan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epublik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ndonesia.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Acuan Sediaan Herbal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Departemen Kesehatan Republik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Indnoesia.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986)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Acuan Sediaan Herbal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Departemen Kesehatan Republik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Indnoesia.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Satya Bayu, (2013). Koleksi Tumbuhan Berkhasiat. Edisi 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Rapha Piblishing.</w:t>
      </w:r>
    </w:p>
    <w:p w:rsidR="00C36BA2" w:rsidRDefault="00C36BA2" w:rsidP="00C36BA2">
      <w:pPr>
        <w:spacing w:before="240"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Entjang, 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Mikrobiologi dan Parasitologi Akademi Keperawatan dan Sekolah Tenag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Kesehatan yang Sederajat.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Citra Aditya Bakti Fardiaz.S.1989. IPB.Bogor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Mikrobilogi Pangan. Pusat ntar Universitas Pangan dan Gizi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BA2" w:rsidRDefault="00C36BA2" w:rsidP="00C36BA2">
      <w:pPr>
        <w:spacing w:before="240"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Haryoto.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Bertanam Seledri Secara Hidroponik.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 : Kanisius.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Hongini Yundali Siti, (2012). Kesehatan Gigi dan Mulut Cetakan pertama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PustakaReka Cipta</w:t>
      </w:r>
    </w:p>
    <w:p w:rsidR="00C36BA2" w:rsidRDefault="00C36BA2" w:rsidP="00C36BA2">
      <w:pPr>
        <w:spacing w:before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Harbone, JB.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996)</w:t>
      </w:r>
      <w:r>
        <w:rPr>
          <w:rFonts w:ascii="Times New Roman" w:hAnsi="Times New Roman"/>
          <w:sz w:val="24"/>
          <w:szCs w:val="24"/>
        </w:rPr>
        <w:t>. Metode Fitokimia Penuntun Cara Modren Menganalisis   Tumbuhan.</w:t>
      </w:r>
      <w:proofErr w:type="gramEnd"/>
      <w:r>
        <w:rPr>
          <w:rFonts w:ascii="Times New Roman" w:hAnsi="Times New Roman"/>
          <w:sz w:val="24"/>
          <w:szCs w:val="24"/>
        </w:rPr>
        <w:t xml:space="preserve"> Bandung </w:t>
      </w:r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sz w:val="24"/>
          <w:szCs w:val="24"/>
        </w:rPr>
        <w:t>Penerbit ITB.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Hidayaningtias, P. (2008). </w:t>
      </w:r>
      <w:r>
        <w:rPr>
          <w:rFonts w:ascii="Times New Roman" w:hAnsi="Times New Roman" w:cs="Times New Roman"/>
          <w:bCs/>
          <w:sz w:val="24"/>
          <w:szCs w:val="24"/>
        </w:rPr>
        <w:t xml:space="preserve">Perbandingan Efek Antibakteri Air Seduhan Daun Sirih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(Piper betle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.) </w:t>
      </w:r>
      <w:r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Streptococcus mutans </w:t>
      </w:r>
      <w:r>
        <w:rPr>
          <w:rFonts w:ascii="Times New Roman" w:hAnsi="Times New Roman" w:cs="Times New Roman"/>
          <w:bCs/>
          <w:sz w:val="24"/>
          <w:szCs w:val="24"/>
        </w:rPr>
        <w:t xml:space="preserve">Pada Waktu Kontak Dan Konsentrasi Yang Berbeda. </w:t>
      </w:r>
      <w:r>
        <w:rPr>
          <w:rFonts w:ascii="Times New Roman" w:hAnsi="Times New Roman" w:cs="Times New Roman"/>
          <w:sz w:val="24"/>
          <w:szCs w:val="24"/>
        </w:rPr>
        <w:t>(Doctoral dissertation, Faculty of Medicine).</w:t>
      </w:r>
    </w:p>
    <w:p w:rsidR="00C36BA2" w:rsidRDefault="00C36BA2" w:rsidP="00C36BA2">
      <w:pPr>
        <w:autoSpaceDE w:val="0"/>
        <w:autoSpaceDN w:val="0"/>
        <w:adjustRightInd w:val="0"/>
        <w:spacing w:after="0"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Hastuti S., dan Andriyani A. (2010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Perbedaan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pengaruh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kesehatan gigi dalam meningkatkan pengetahuan tentang kesehatan gigi pada anak di SD Negeri 2 Sambi Kecamatan Sambi Kabupaten Boyolali</w:t>
      </w:r>
      <w:r>
        <w:rPr>
          <w:rFonts w:ascii="Times New Roman" w:hAnsi="Times New Roman" w:cs="Times New Roman"/>
          <w:sz w:val="24"/>
          <w:szCs w:val="24"/>
          <w:lang w:val="en-US"/>
        </w:rPr>
        <w:t>. Jurnal Volume 7, Edisi 2,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Hal 625-632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Sekolah Tinggi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Ilmu Kesehatan Aisyiyah. </w:t>
      </w:r>
    </w:p>
    <w:p w:rsidR="00C36BA2" w:rsidRDefault="00C36BA2" w:rsidP="00C36BA2">
      <w:pPr>
        <w:autoSpaceDE w:val="0"/>
        <w:autoSpaceDN w:val="0"/>
        <w:adjustRightInd w:val="0"/>
        <w:spacing w:after="0"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Haryanto Sri S. BA Nugroho, (2006) Sehat dan Bugar secara Jasmani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Penebar Swadaya.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Morales G, Sierra P, Mancilla, Parades A, Loyola LA, Gallardo O, Borquez J.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Secondary Metabolites from Four Medicinal Plants from Northern Chile, Antimicrobial Activity, and Biotoxicity against Artemia salina.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Journal Chile Chem. 48 (2)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Nuraini.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>
        <w:rPr>
          <w:rFonts w:ascii="Times New Roman" w:hAnsi="Times New Roman" w:cs="Times New Roman"/>
          <w:bCs/>
          <w:sz w:val="24"/>
          <w:szCs w:val="24"/>
        </w:rPr>
        <w:t xml:space="preserve">Optimas Formulasi Sediaan Obat Kumur dari Minyak Atsiri Daun Sirih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(Piper betle </w:t>
      </w:r>
      <w:r>
        <w:rPr>
          <w:rFonts w:ascii="Times New Roman" w:hAnsi="Times New Roman" w:cs="Times New Roman"/>
          <w:bCs/>
          <w:sz w:val="24"/>
          <w:szCs w:val="24"/>
        </w:rPr>
        <w:t>L.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Skripsi, Yogyakarta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Universitas Muhammadiyah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Pelczar.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M.J. dan E.C.S. Chan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1998).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Dasar – dasar Mikrobiologi.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Jilid 1 UI Press.Jakarta.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 106 – 113.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Puspita, Kurlita Dian. (2011). </w:t>
      </w:r>
      <w:r>
        <w:rPr>
          <w:rFonts w:ascii="Times New Roman" w:hAnsi="Times New Roman" w:cs="Times New Roman"/>
          <w:bCs/>
          <w:sz w:val="24"/>
          <w:szCs w:val="24"/>
        </w:rPr>
        <w:t>Daya Antibakteri Ekstrak Etanol Daun Seledri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Apium graveolens </w:t>
      </w:r>
      <w:r>
        <w:rPr>
          <w:rFonts w:ascii="Times New Roman" w:hAnsi="Times New Roman" w:cs="Times New Roman"/>
          <w:bCs/>
          <w:sz w:val="24"/>
          <w:szCs w:val="24"/>
        </w:rPr>
        <w:t xml:space="preserve">L.) Terhadap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Streptococcus mutans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Skripsi, Universitas Muhammadiyah Yogyakarta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Rozi. (2017). </w:t>
      </w:r>
      <w:r>
        <w:rPr>
          <w:rFonts w:ascii="Times New Roman" w:hAnsi="Times New Roman" w:cs="Times New Roman"/>
          <w:bCs/>
          <w:sz w:val="24"/>
          <w:szCs w:val="24"/>
        </w:rPr>
        <w:t>Metode Perhitungan Bakteri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Standard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McFarland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Airlangga.</w:t>
      </w:r>
    </w:p>
    <w:p w:rsidR="00C36BA2" w:rsidRDefault="00C36BA2" w:rsidP="00C36BA2">
      <w:p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Rifiani Nisya, (2014).The Secret of Herbal.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Cemerlang Publishing.</w:t>
      </w:r>
    </w:p>
    <w:p w:rsidR="00C36BA2" w:rsidRDefault="00C36BA2" w:rsidP="00C36BA2">
      <w:pPr>
        <w:spacing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Rachmawati, I. (2014). </w:t>
      </w:r>
      <w:r>
        <w:rPr>
          <w:rFonts w:ascii="Times New Roman" w:hAnsi="Times New Roman" w:cs="Times New Roman"/>
          <w:bCs/>
          <w:sz w:val="24"/>
          <w:szCs w:val="24"/>
        </w:rPr>
        <w:t xml:space="preserve">Pengaruh Konsentrasi Ekstrak Etanol Daun Seledri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(Apium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garveolens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Terhadap Hambatan Pertumbuhan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Candida albicans In Vitro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Surakarta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Doctoral dissertation, Universitas Muhammadiyah.</w:t>
      </w:r>
    </w:p>
    <w:p w:rsidR="00C36BA2" w:rsidRDefault="00C36BA2" w:rsidP="00C36BA2">
      <w:pPr>
        <w:autoSpaceDE w:val="0"/>
        <w:autoSpaceDN w:val="0"/>
        <w:adjustRightInd w:val="0"/>
        <w:spacing w:after="0" w:line="240" w:lineRule="auto"/>
        <w:ind w:left="851" w:right="113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Sakinah, N., Dwyana, Z., Tambaru, E., &amp; Rante, H. (2016).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Uji Aktivitas Sediaan Obat kumur Ekstrak Daun Miana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Coleus scutellarioides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(L.)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Benth Terhadap Bakteri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Streptococcus mutans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(Hasil Penelitian Ilmiah, Universitas Hasanuddin).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Diakses pada 02 Februari 2018.</w:t>
      </w:r>
      <w:proofErr w:type="gramEnd"/>
    </w:p>
    <w:p w:rsidR="00C36BA2" w:rsidRDefault="00C36BA2" w:rsidP="00C36BA2">
      <w:pPr>
        <w:autoSpaceDE w:val="0"/>
        <w:autoSpaceDN w:val="0"/>
        <w:adjustRightInd w:val="0"/>
        <w:spacing w:before="240"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Sudjadi., (1988). </w:t>
      </w:r>
      <w:r>
        <w:rPr>
          <w:rFonts w:ascii="Times New Roman" w:hAnsi="Times New Roman" w:cs="Times New Roman"/>
          <w:i/>
          <w:sz w:val="24"/>
          <w:szCs w:val="24"/>
        </w:rPr>
        <w:t>Metode Pemisahan.</w:t>
      </w:r>
      <w:r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Fakultas Farmasi Universitas GadjahMada. </w:t>
      </w:r>
    </w:p>
    <w:p w:rsidR="00C36BA2" w:rsidRDefault="00C36BA2" w:rsidP="00C36BA2">
      <w:pPr>
        <w:autoSpaceDE w:val="0"/>
        <w:autoSpaceDN w:val="0"/>
        <w:adjustRightInd w:val="0"/>
        <w:spacing w:before="240" w:line="240" w:lineRule="auto"/>
        <w:ind w:left="851" w:right="11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Sutriani, I., (2008).</w:t>
      </w:r>
      <w:r>
        <w:rPr>
          <w:rFonts w:ascii="Times New Roman" w:hAnsi="Times New Roman" w:cs="Times New Roman"/>
          <w:i/>
          <w:sz w:val="24"/>
          <w:szCs w:val="24"/>
        </w:rPr>
        <w:t xml:space="preserve"> Teknik Pembelajaran Fitokimia.</w:t>
      </w:r>
      <w:r>
        <w:rPr>
          <w:rFonts w:ascii="Times New Roman" w:hAnsi="Times New Roman" w:cs="Times New Roman"/>
          <w:sz w:val="24"/>
          <w:szCs w:val="24"/>
        </w:rPr>
        <w:t xml:space="preserve"> Semarang: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Muhammadya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6BA2" w:rsidRDefault="00C36BA2" w:rsidP="00C36BA2">
      <w:pPr>
        <w:autoSpaceDE w:val="0"/>
        <w:autoSpaceDN w:val="0"/>
        <w:adjustRightInd w:val="0"/>
        <w:spacing w:after="0" w:line="240" w:lineRule="auto"/>
        <w:ind w:left="851" w:right="113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World Health Organization; (2009).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Milk fluoridation for the prevention ofdental caries.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1" w:right="113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World Health Organization.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Oral health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[Cited 22 April 2018].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 from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http://www.who.int/oral_health/publica tions/factsheet/en/</w:t>
        </w:r>
      </w:hyperlink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BA2" w:rsidRDefault="00C36BA2" w:rsidP="00C36BA2">
      <w:pPr>
        <w:autoSpaceDE w:val="0"/>
        <w:autoSpaceDN w:val="0"/>
        <w:adjustRightInd w:val="0"/>
        <w:spacing w:after="0"/>
        <w:ind w:left="850" w:right="11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75617A" w:rsidRPr="00C36BA2" w:rsidRDefault="0075617A" w:rsidP="00C36BA2">
      <w:bookmarkStart w:id="0" w:name="_GoBack"/>
      <w:bookmarkEnd w:id="0"/>
    </w:p>
    <w:sectPr w:rsidR="0075617A" w:rsidRPr="00C36BA2" w:rsidSect="005538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61"/>
    <w:multiLevelType w:val="multilevel"/>
    <w:tmpl w:val="1D360F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">
    <w:nsid w:val="0FEB62D6"/>
    <w:multiLevelType w:val="multilevel"/>
    <w:tmpl w:val="76A889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AF15467"/>
    <w:multiLevelType w:val="multilevel"/>
    <w:tmpl w:val="9FE0F45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2D722D15"/>
    <w:multiLevelType w:val="multilevel"/>
    <w:tmpl w:val="C4FA4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>
      <w:start w:val="3"/>
      <w:numFmt w:val="decimal"/>
      <w:isLgl/>
      <w:lvlText w:val="%1.%2"/>
      <w:lvlJc w:val="left"/>
      <w:pPr>
        <w:ind w:left="1200" w:hanging="720"/>
      </w:pPr>
    </w:lvl>
    <w:lvl w:ilvl="2">
      <w:start w:val="2"/>
      <w:numFmt w:val="decimal"/>
      <w:isLgl/>
      <w:lvlText w:val="%1.%2.%3"/>
      <w:lvlJc w:val="left"/>
      <w:pPr>
        <w:ind w:left="1320" w:hanging="720"/>
      </w:pPr>
    </w:lvl>
    <w:lvl w:ilvl="3">
      <w:start w:val="2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4">
    <w:nsid w:val="41773D9E"/>
    <w:multiLevelType w:val="multilevel"/>
    <w:tmpl w:val="940C1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64C93619"/>
    <w:multiLevelType w:val="multilevel"/>
    <w:tmpl w:val="5BC29E36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</w:rPr>
    </w:lvl>
  </w:abstractNum>
  <w:abstractNum w:abstractNumId="6">
    <w:nsid w:val="65680940"/>
    <w:multiLevelType w:val="multilevel"/>
    <w:tmpl w:val="004E1B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78A76A76"/>
    <w:multiLevelType w:val="hybridMultilevel"/>
    <w:tmpl w:val="70365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B"/>
    <w:rsid w:val="002D0C7C"/>
    <w:rsid w:val="00383EE6"/>
    <w:rsid w:val="00516B2B"/>
    <w:rsid w:val="005538F7"/>
    <w:rsid w:val="0075617A"/>
    <w:rsid w:val="00863A5C"/>
    <w:rsid w:val="00B767FB"/>
    <w:rsid w:val="00C1641B"/>
    <w:rsid w:val="00C36BA2"/>
    <w:rsid w:val="00CE778A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B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767FB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767FB"/>
    <w:rPr>
      <w:rFonts w:asciiTheme="minorHAnsi" w:hAnsiTheme="minorHAnsi" w:cstheme="minorBidi"/>
      <w:sz w:val="22"/>
      <w:lang w:val="id-ID"/>
    </w:rPr>
  </w:style>
  <w:style w:type="character" w:styleId="Hyperlink">
    <w:name w:val="Hyperlink"/>
    <w:basedOn w:val="DefaultParagraphFont"/>
    <w:uiPriority w:val="99"/>
    <w:unhideWhenUsed/>
    <w:rsid w:val="00C36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B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767FB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767FB"/>
    <w:rPr>
      <w:rFonts w:asciiTheme="minorHAnsi" w:hAnsiTheme="minorHAnsi" w:cstheme="minorBidi"/>
      <w:sz w:val="22"/>
      <w:lang w:val="id-ID"/>
    </w:rPr>
  </w:style>
  <w:style w:type="character" w:styleId="Hyperlink">
    <w:name w:val="Hyperlink"/>
    <w:basedOn w:val="DefaultParagraphFont"/>
    <w:uiPriority w:val="99"/>
    <w:unhideWhenUsed/>
    <w:rsid w:val="00C36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oral_health/publica%20tions/factsheet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2</cp:revision>
  <dcterms:created xsi:type="dcterms:W3CDTF">2021-08-12T06:24:00Z</dcterms:created>
  <dcterms:modified xsi:type="dcterms:W3CDTF">2021-08-12T06:24:00Z</dcterms:modified>
</cp:coreProperties>
</file>