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9C" w:rsidRPr="00DF6D5E" w:rsidRDefault="007B6E9C" w:rsidP="007B6E9C">
      <w:pPr>
        <w:spacing w:line="48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eastAsia="id-ID"/>
        </w:rPr>
      </w:pPr>
      <w:r w:rsidRPr="00DF6D5E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eastAsia="id-ID"/>
        </w:rPr>
        <w:t>DAFTAR PUSTAKA</w:t>
      </w:r>
    </w:p>
    <w:p w:rsidR="007B6E9C" w:rsidRDefault="007B6E9C" w:rsidP="007B6E9C">
      <w:pPr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Arsyad, A. 2013.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B3152">
        <w:rPr>
          <w:rFonts w:ascii="Times New Roman" w:hAnsi="Times New Roman" w:cs="Times New Roman"/>
          <w:i/>
          <w:iCs/>
          <w:sz w:val="24"/>
          <w:szCs w:val="24"/>
          <w:lang w:val="en"/>
        </w:rPr>
        <w:t>Media Pembelajaran.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Jakarta: PT Raja Grafindo.</w:t>
      </w:r>
    </w:p>
    <w:p w:rsidR="007B6E9C" w:rsidRDefault="007B6E9C" w:rsidP="007B6E9C">
      <w:pPr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Asyah, N. 2018</w:t>
      </w:r>
      <w:r w:rsidRPr="00257C80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257C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7767D">
        <w:rPr>
          <w:rFonts w:ascii="Times New Roman" w:hAnsi="Times New Roman" w:cs="Times New Roman"/>
          <w:i/>
          <w:iCs/>
          <w:sz w:val="24"/>
          <w:szCs w:val="24"/>
          <w:lang w:val="en"/>
        </w:rPr>
        <w:t>Kurikulum Pembelajaran</w:t>
      </w:r>
      <w:r w:rsidRPr="00257C80">
        <w:rPr>
          <w:rFonts w:ascii="Times New Roman" w:hAnsi="Times New Roman" w:cs="Times New Roman"/>
          <w:sz w:val="24"/>
          <w:szCs w:val="24"/>
          <w:lang w:val="en"/>
        </w:rPr>
        <w:t>. Modul Kuliah. Medan: Universitas Muslim Nusantara Al-Washliyah.</w:t>
      </w:r>
    </w:p>
    <w:p w:rsidR="007B6E9C" w:rsidRDefault="007B6E9C" w:rsidP="007B6E9C">
      <w:pPr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Agnesti, N. 2018.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7767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Pengembangan Modul IPA Bercirikan Contextual Teaching </w:t>
      </w:r>
      <w:proofErr w:type="gramStart"/>
      <w:r w:rsidRPr="0057767D">
        <w:rPr>
          <w:rFonts w:ascii="Times New Roman" w:hAnsi="Times New Roman" w:cs="Times New Roman"/>
          <w:i/>
          <w:iCs/>
          <w:sz w:val="24"/>
          <w:szCs w:val="24"/>
          <w:lang w:val="en"/>
        </w:rPr>
        <w:t>And</w:t>
      </w:r>
      <w:proofErr w:type="gramEnd"/>
      <w:r w:rsidRPr="0057767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Learning (CTL) Pada Materi Sifat Benda Dan Perubahan Wujud Zat Siswa Kelas XI SMALB-C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(Skripsi)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Universitas Islam Negeri Walisongo Semarang.</w:t>
      </w:r>
      <w:proofErr w:type="gramEnd"/>
    </w:p>
    <w:p w:rsidR="007B6E9C" w:rsidRPr="008E6DD7" w:rsidRDefault="007B6E9C" w:rsidP="007B6E9C">
      <w:pPr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Daryanto.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2013. </w:t>
      </w:r>
      <w:r w:rsidRPr="00456A04">
        <w:rPr>
          <w:rFonts w:ascii="Times New Roman" w:hAnsi="Times New Roman" w:cs="Times New Roman"/>
          <w:i/>
          <w:iCs/>
          <w:sz w:val="24"/>
          <w:szCs w:val="24"/>
          <w:lang w:val="en"/>
        </w:rPr>
        <w:t>Menyusun Modul Bahan Ajar Untuk Persiapan Guru Dalam Mengajar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Yogyakarta: Gava Media.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Direktorat Jenderal Manajemen Pendidikan Dasar dan Menengah.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2008. 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PANDUAN PENGEMBANGAN BAHAN AJAR.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Departemen Pendidikan Nasional, Jakarta. </w:t>
      </w: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31 hal.</w:t>
      </w:r>
      <w:proofErr w:type="gramEnd"/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Djamarah, B. 2013.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r w:rsidRPr="007B3152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Strategi Belajar Mengajar.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Jakarta: PT Rineka Cipta.</w:t>
      </w:r>
    </w:p>
    <w:p w:rsidR="007B6E9C" w:rsidRPr="00564D5C" w:rsidRDefault="007B6E9C" w:rsidP="007B6E9C">
      <w:pPr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C80">
        <w:rPr>
          <w:rFonts w:ascii="Times New Roman" w:hAnsi="Times New Roman" w:cs="Times New Roman"/>
          <w:sz w:val="24"/>
          <w:szCs w:val="24"/>
          <w:lang w:val="en"/>
        </w:rPr>
        <w:t>Farida, N. K. (2016). Pembelajaran IPA SD. Malang: Ediide Infografika.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Fathurrohman, M. &amp; Sulistyorini.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2012. 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BELAJAR &amp; PEMBELAJARAN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u w:val="single"/>
          <w:lang w:eastAsia="id-ID"/>
        </w:rPr>
        <w:t>.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Yogyakarta: Teras.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Hamalik, O. 2012.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gramStart"/>
      <w:r w:rsidRPr="00456A04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Proses Belajar Mengajar.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Jakarta: Bumi Aksara.</w:t>
      </w:r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Huda, M. 2014. </w:t>
      </w:r>
      <w:proofErr w:type="gramStart"/>
      <w:r w:rsidRPr="007B3152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Model-Model Pengajaran dan Pembelajaran.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Yogyakarta: Pustaka Belajar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Johnson, Elaine. 2011. 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CTL – Contextual Teaching &amp; Learning Menjadikan Kegiatan Belajar Mengajar Mengasyikan dan Bermakna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. Bandung: Kaifa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Karitas, D. 2017. </w:t>
      </w:r>
      <w:proofErr w:type="gramStart"/>
      <w:r w:rsidRPr="008C04DF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Panas dan Perpindahannya.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Jakarta: Pusat Kurikulum dan Perbukuan.</w:t>
      </w:r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Khalifah, Nur Diah. </w:t>
      </w: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2018. </w:t>
      </w:r>
      <w:r w:rsidRPr="00456A04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Pengembangan Modul Bahasa Indonesia Berbasis Nilai-Nilai Karakter Tema Pahlawanku Kelas IV SD/MI.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Skripsi UIN Lampung.</w:t>
      </w:r>
      <w:proofErr w:type="gramEnd"/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Khuryati &amp; Kartika, Ika.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2014.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 xml:space="preserve"> Pengembangan Modul Pembelajaran IPA Terpadu Berbasis Contextual Teaching </w:t>
      </w:r>
      <w:proofErr w:type="gramStart"/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And</w:t>
      </w:r>
      <w:proofErr w:type="gramEnd"/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 xml:space="preserve"> Learning (CTL) Untuk SMP/MTs Kelas VII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. Jurnal Kaunia. X (1):50-58.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sectPr w:rsidR="007B6E9C" w:rsidSect="00A5322C">
          <w:headerReference w:type="default" r:id="rId6"/>
          <w:footerReference w:type="default" r:id="rId7"/>
          <w:pgSz w:w="11907" w:h="16840" w:code="9"/>
          <w:pgMar w:top="2268" w:right="1701" w:bottom="1701" w:left="2268" w:header="708" w:footer="708" w:gutter="0"/>
          <w:pgNumType w:start="70"/>
          <w:cols w:space="708"/>
          <w:docGrid w:linePitch="360"/>
        </w:sectPr>
      </w:pP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Kumala, Nur Farida. </w:t>
      </w: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2016. 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Pembelajaran IPA Sekolah Dasar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Malang: Ediide Infografika.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lastRenderedPageBreak/>
        <w:t xml:space="preserve">Laili, F. 2018. </w:t>
      </w:r>
      <w:r w:rsidRPr="0057767D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Pengembangan Modul Berbasis Model Pembelajaran Problem Solving Pada Tema 6 Subtema Tubuh Manusia Kelas V SD/MI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. (Skripsi) Universitas Islam Negeri Raden Intan Lampung.</w:t>
      </w:r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Made, W. 2011.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r w:rsidRPr="008C731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Strategi Pembelajaran Inovatif Kontemporer.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Jakarta: Bumi Aksara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Majid, Abdul. </w:t>
      </w: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2013. Perencanaan Pembelajaran Mengembangkan Standar Kompetensi Guru.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Bandung: PT Remaja Rosdakarya.</w:t>
      </w:r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Nasiroh, D. 2014. </w:t>
      </w:r>
      <w:r w:rsidRPr="00564D5C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Pengembangan Modul Dengan Pendekatan Kontekstual Pada Materi Barisan Dan Deret Untuk Siswa SMP Terbuka Kelas IX.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(Skripsi) </w:t>
      </w: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Universitas Negeri Yogyakarta.</w:t>
      </w:r>
      <w:proofErr w:type="gramEnd"/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Nurdyansyah, &amp; Fahyuni, F. 2016. 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INOVASI MODEL PEMBELAJARAN Sesuai Kurikulum 2013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. Sidoarjo: Nizamia Learning Center.</w:t>
      </w:r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Nurhadi, dkk.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2003. </w:t>
      </w:r>
      <w:r w:rsidRPr="008C731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Pembelajaran Kontekstual (Cooperative Learning di Ruang-Ruang Kelas)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. Jakarta: Gramedia Widiasarana.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Prastowo, Andi. </w:t>
      </w: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2014. </w:t>
      </w:r>
      <w:r w:rsidRPr="00B3242C">
        <w:rPr>
          <w:rFonts w:asciiTheme="majorBidi" w:eastAsiaTheme="minorEastAsia" w:hAnsiTheme="majorBidi" w:cstheme="majorBidi"/>
          <w:i/>
          <w:color w:val="000000" w:themeColor="text1"/>
          <w:sz w:val="24"/>
          <w:szCs w:val="24"/>
          <w:lang w:eastAsia="id-ID"/>
        </w:rPr>
        <w:t>Panduan Kreatif Membuat Bahan Ajar Inovatif.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Yogyakarta: Diva Press.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Rusman.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2010. </w:t>
      </w:r>
      <w:r w:rsidRPr="008C731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Model-Model Pembelajaran: Mengembangkan Profesionalisme Guru.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Jakarta: Raja Grafindo Persada.</w:t>
      </w:r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Sanjaya, W. 2006.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r w:rsidRPr="00820BA3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 xml:space="preserve">Strategi Pembelajaran: Berorientasi Standar Proses Pendidikan.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Jakarta: Kencana Prenada Media Group.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Saputro, Budiyono. 2017. 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Manajemen Penelitian Pengembangan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. Yogyakarta: Aswaja Pressindo.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Shoimin, A. 2013.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gramStart"/>
      <w:r w:rsidRPr="007B3152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Model Pembelajaran Inovatif dan Kurikulum.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Yogyakarta: Ar-Ruzz Media.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Sitepu, B.P. 2014. </w:t>
      </w:r>
      <w:r w:rsidRPr="007B3152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Pengembangan Sumber Belajar.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Jakarta: Persada.</w:t>
      </w:r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Sitohang, dkk.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2015. </w:t>
      </w:r>
      <w:r w:rsidRPr="00820BA3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Pengembangan Buku Ajar Berbasis Kontekstual dengan Tema Sehat Itu Penting.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Medan: Perpustakaan Program Pascasarjana Universitas Negeri Medan. </w:t>
      </w: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Vol 2 No 2.</w:t>
      </w:r>
      <w:proofErr w:type="gramEnd"/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Sudarno, dkk.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2015.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 xml:space="preserve"> Pengembangan Modul IPA Terpadu Berbasis Kontekstual Dengan Tema Pembuatan Tahu Kelas VII SMP Negeri 2 Jatiyoso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Jurnal Inkuiri. 4 (3):104-111.</w:t>
      </w:r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Sudjana.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2013. 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Dasar-Dasar Proses Belajar Mengajar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. Bandung: Sinar Baru Algesindo.</w:t>
      </w:r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lastRenderedPageBreak/>
        <w:t>Sugiyono.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2015. 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Metode Penelitian Kuantitatif, Kualitatif dan R&amp;D.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Bandung: Alfabeta Bandung.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Sugiyono.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2019. 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Metode Penelitian &amp; Pengembangan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Bandung: Alfabeta Bandung.</w:t>
      </w:r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Sukmadinata, dan Nana.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2006. </w:t>
      </w:r>
      <w:r w:rsidRPr="00820BA3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Metode Penelitian Pendidikan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. Bandung: Remaja Rosdakarya.</w:t>
      </w:r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Sulistyowati, P dan Putri, MN.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2018. 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Pengembangan Bahan Ajar Modul Berbasis Contextual Teaching and Learning (CTL) Kelas IV Tema 3 Subtema 1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Jurnal Pendidikan (Teori dan Praktik). 3 (1):1-6. </w:t>
      </w:r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Susilo A, Siswandari, dan Bandi. </w:t>
      </w: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2016. </w:t>
      </w:r>
      <w:r w:rsidRPr="00B3242C">
        <w:rPr>
          <w:rFonts w:asciiTheme="majorBidi" w:eastAsiaTheme="minorEastAsia" w:hAnsiTheme="majorBidi" w:cstheme="majorBidi"/>
          <w:i/>
          <w:color w:val="000000" w:themeColor="text1"/>
          <w:sz w:val="24"/>
          <w:szCs w:val="24"/>
          <w:lang w:eastAsia="id-ID"/>
        </w:rPr>
        <w:t xml:space="preserve">Pengembangan Modul Berbasis Pembelajaran Saintifik Untuk Peningkatan Kemampuan Mencipta Siswa Dalam Proses Pembelajaran Akuntansi Siswa Kelas XII SMA N 1 Slogohima 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2014.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Jurnal Pendidikan Teknologi dan Kejuruan.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26 No. 1 Juni 2016.</w:t>
      </w:r>
      <w:proofErr w:type="gramEnd"/>
    </w:p>
    <w:p w:rsidR="007B6E9C" w:rsidRPr="00DF6D5E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Vembriarto.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1975. </w:t>
      </w:r>
      <w:r w:rsidRPr="00B3242C">
        <w:rPr>
          <w:rFonts w:asciiTheme="majorBidi" w:eastAsiaTheme="minorEastAsia" w:hAnsiTheme="majorBidi" w:cstheme="majorBidi"/>
          <w:i/>
          <w:color w:val="000000" w:themeColor="text1"/>
          <w:sz w:val="24"/>
          <w:szCs w:val="24"/>
          <w:lang w:eastAsia="id-ID"/>
        </w:rPr>
        <w:t>Pengantar Pengajaran Modul.</w:t>
      </w:r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Yogyakarta: Yayasan Pendidikan Paramita.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Warsiti.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2011. </w:t>
      </w:r>
      <w:r w:rsidRPr="00DF6D5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Penerapan Model Pembelajaran Kontekstual (CTL) Upaya Meningkatkan Kualitas Pembelajaran Konsep Dasar IPA 1 Pada Mahasiswa Program S1 PGSD Kampus Kebumen FKIP.</w:t>
      </w:r>
      <w:proofErr w:type="gramEnd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Jurnal Pendidikan. </w:t>
      </w:r>
      <w:proofErr w:type="gramStart"/>
      <w:r w:rsidRPr="00DF6D5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Vol 2 tahun 2013.</w:t>
      </w:r>
      <w:proofErr w:type="gramEnd"/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Widyoko, Eko Putro. </w:t>
      </w:r>
      <w:proofErr w:type="gramStart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2012. </w:t>
      </w:r>
      <w:r w:rsidRPr="00820BA3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Teknik Penyusunan Instrument Penelitian.</w:t>
      </w:r>
      <w:proofErr w:type="gramEnd"/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Yogyakarta: Pustaka Pelajar.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Yusuf, M. 2014. </w:t>
      </w:r>
      <w:r w:rsidRPr="007B3152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Metode Penelitian Kuantitatif, Kualitatif dan Penelitian Gabungan.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 Jakarta: Pranamedia Group.</w:t>
      </w: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</w:p>
    <w:p w:rsidR="007B6E9C" w:rsidRDefault="007B6E9C" w:rsidP="007B6E9C">
      <w:pPr>
        <w:spacing w:before="240" w:line="240" w:lineRule="auto"/>
        <w:ind w:left="720" w:hanging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</w:p>
    <w:p w:rsidR="003A4CB9" w:rsidRPr="007B6E9C" w:rsidRDefault="003A4CB9" w:rsidP="007B6E9C">
      <w:bookmarkStart w:id="0" w:name="_GoBack"/>
      <w:bookmarkEnd w:id="0"/>
    </w:p>
    <w:sectPr w:rsidR="003A4CB9" w:rsidRPr="007B6E9C" w:rsidSect="00561D74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769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E9C" w:rsidRDefault="007B6E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7B6E9C" w:rsidRDefault="007B6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81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05AB" w:rsidRDefault="00560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E9C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5605AB" w:rsidRDefault="005605A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9C" w:rsidRDefault="007B6E9C">
    <w:pPr>
      <w:pStyle w:val="Header"/>
      <w:jc w:val="right"/>
    </w:pPr>
  </w:p>
  <w:p w:rsidR="007B6E9C" w:rsidRDefault="007B6E9C" w:rsidP="007356A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AB" w:rsidRDefault="005605AB">
    <w:pPr>
      <w:pStyle w:val="Header"/>
      <w:jc w:val="right"/>
    </w:pPr>
  </w:p>
  <w:p w:rsidR="005605AB" w:rsidRDefault="00560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631"/>
    <w:multiLevelType w:val="hybridMultilevel"/>
    <w:tmpl w:val="42506F4E"/>
    <w:lvl w:ilvl="0" w:tplc="2EA02E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1D9"/>
    <w:multiLevelType w:val="hybridMultilevel"/>
    <w:tmpl w:val="37FC3B1A"/>
    <w:lvl w:ilvl="0" w:tplc="A016E2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953"/>
    <w:multiLevelType w:val="hybridMultilevel"/>
    <w:tmpl w:val="6D26CC5C"/>
    <w:lvl w:ilvl="0" w:tplc="C1B24D6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7834"/>
    <w:multiLevelType w:val="hybridMultilevel"/>
    <w:tmpl w:val="24508780"/>
    <w:lvl w:ilvl="0" w:tplc="9E9C5C22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2F95"/>
    <w:multiLevelType w:val="hybridMultilevel"/>
    <w:tmpl w:val="3356CEB6"/>
    <w:lvl w:ilvl="0" w:tplc="707A5B1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96E20"/>
    <w:multiLevelType w:val="hybridMultilevel"/>
    <w:tmpl w:val="6B5E5E8C"/>
    <w:lvl w:ilvl="0" w:tplc="B58ADCD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A3FAA"/>
    <w:multiLevelType w:val="hybridMultilevel"/>
    <w:tmpl w:val="1FDC9CE8"/>
    <w:lvl w:ilvl="0" w:tplc="1B96B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E2ABE"/>
    <w:multiLevelType w:val="hybridMultilevel"/>
    <w:tmpl w:val="DBD62B5E"/>
    <w:lvl w:ilvl="0" w:tplc="8E222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22BBC"/>
    <w:multiLevelType w:val="hybridMultilevel"/>
    <w:tmpl w:val="2864E284"/>
    <w:lvl w:ilvl="0" w:tplc="53566BA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2097E"/>
    <w:multiLevelType w:val="hybridMultilevel"/>
    <w:tmpl w:val="C2AE1918"/>
    <w:lvl w:ilvl="0" w:tplc="C18CB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94ADF"/>
    <w:multiLevelType w:val="hybridMultilevel"/>
    <w:tmpl w:val="2290613E"/>
    <w:lvl w:ilvl="0" w:tplc="79D42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73AE3"/>
    <w:multiLevelType w:val="hybridMultilevel"/>
    <w:tmpl w:val="5A0005A4"/>
    <w:lvl w:ilvl="0" w:tplc="DFF8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01FF"/>
    <w:multiLevelType w:val="hybridMultilevel"/>
    <w:tmpl w:val="8E3277A0"/>
    <w:lvl w:ilvl="0" w:tplc="1A4C17D8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C1B0E"/>
    <w:multiLevelType w:val="hybridMultilevel"/>
    <w:tmpl w:val="428C7A68"/>
    <w:lvl w:ilvl="0" w:tplc="6964BBFC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0604F"/>
    <w:multiLevelType w:val="hybridMultilevel"/>
    <w:tmpl w:val="EEBA02CC"/>
    <w:lvl w:ilvl="0" w:tplc="080E74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D0C7A"/>
    <w:multiLevelType w:val="hybridMultilevel"/>
    <w:tmpl w:val="E17023E2"/>
    <w:lvl w:ilvl="0" w:tplc="7E2E3D64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E0009"/>
    <w:multiLevelType w:val="hybridMultilevel"/>
    <w:tmpl w:val="F6F6F98E"/>
    <w:lvl w:ilvl="0" w:tplc="25BE5E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A2E"/>
    <w:multiLevelType w:val="hybridMultilevel"/>
    <w:tmpl w:val="76680686"/>
    <w:lvl w:ilvl="0" w:tplc="A4166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21B3E"/>
    <w:multiLevelType w:val="hybridMultilevel"/>
    <w:tmpl w:val="9B3CEDCE"/>
    <w:lvl w:ilvl="0" w:tplc="8B8C1FD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55E29"/>
    <w:multiLevelType w:val="hybridMultilevel"/>
    <w:tmpl w:val="A29CE4FE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32EE1A99"/>
    <w:multiLevelType w:val="hybridMultilevel"/>
    <w:tmpl w:val="1A5C7EF4"/>
    <w:lvl w:ilvl="0" w:tplc="F4308B7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7829"/>
    <w:multiLevelType w:val="hybridMultilevel"/>
    <w:tmpl w:val="09F0758A"/>
    <w:lvl w:ilvl="0" w:tplc="EAECE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31834"/>
    <w:multiLevelType w:val="hybridMultilevel"/>
    <w:tmpl w:val="6F08FC74"/>
    <w:lvl w:ilvl="0" w:tplc="03A64B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21CCE"/>
    <w:multiLevelType w:val="hybridMultilevel"/>
    <w:tmpl w:val="62E09AD6"/>
    <w:lvl w:ilvl="0" w:tplc="AEAEE0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95454"/>
    <w:multiLevelType w:val="hybridMultilevel"/>
    <w:tmpl w:val="5DA26FA4"/>
    <w:lvl w:ilvl="0" w:tplc="E0FE042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77913"/>
    <w:multiLevelType w:val="hybridMultilevel"/>
    <w:tmpl w:val="3D30EE64"/>
    <w:lvl w:ilvl="0" w:tplc="5E26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3019B"/>
    <w:multiLevelType w:val="hybridMultilevel"/>
    <w:tmpl w:val="8E389EDA"/>
    <w:lvl w:ilvl="0" w:tplc="F20AF3A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D60D8"/>
    <w:multiLevelType w:val="hybridMultilevel"/>
    <w:tmpl w:val="34C4BA2C"/>
    <w:lvl w:ilvl="0" w:tplc="36B6409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73E39"/>
    <w:multiLevelType w:val="hybridMultilevel"/>
    <w:tmpl w:val="2458AA88"/>
    <w:lvl w:ilvl="0" w:tplc="BE14883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D0048"/>
    <w:multiLevelType w:val="hybridMultilevel"/>
    <w:tmpl w:val="09B4B272"/>
    <w:lvl w:ilvl="0" w:tplc="4B2A1BE6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A1E38"/>
    <w:multiLevelType w:val="hybridMultilevel"/>
    <w:tmpl w:val="A4606382"/>
    <w:lvl w:ilvl="0" w:tplc="E06E8F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30454E6"/>
    <w:multiLevelType w:val="hybridMultilevel"/>
    <w:tmpl w:val="7CBEFA84"/>
    <w:lvl w:ilvl="0" w:tplc="947E18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7067F"/>
    <w:multiLevelType w:val="hybridMultilevel"/>
    <w:tmpl w:val="B52A9006"/>
    <w:lvl w:ilvl="0" w:tplc="986CDD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B217C"/>
    <w:multiLevelType w:val="hybridMultilevel"/>
    <w:tmpl w:val="B32C3962"/>
    <w:lvl w:ilvl="0" w:tplc="986CDD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34F54"/>
    <w:multiLevelType w:val="hybridMultilevel"/>
    <w:tmpl w:val="B5EA78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94EC6"/>
    <w:multiLevelType w:val="hybridMultilevel"/>
    <w:tmpl w:val="BFC09B6A"/>
    <w:lvl w:ilvl="0" w:tplc="DE5E6748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37829"/>
    <w:multiLevelType w:val="hybridMultilevel"/>
    <w:tmpl w:val="42F8A5D6"/>
    <w:lvl w:ilvl="0" w:tplc="824E7B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168AC"/>
    <w:multiLevelType w:val="hybridMultilevel"/>
    <w:tmpl w:val="5D389C32"/>
    <w:lvl w:ilvl="0" w:tplc="C0E22F10">
      <w:start w:val="1"/>
      <w:numFmt w:val="lowerLetter"/>
      <w:lvlText w:val="%1.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>
    <w:nsid w:val="78C60E9A"/>
    <w:multiLevelType w:val="hybridMultilevel"/>
    <w:tmpl w:val="AC467160"/>
    <w:lvl w:ilvl="0" w:tplc="09901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B1B00"/>
    <w:multiLevelType w:val="hybridMultilevel"/>
    <w:tmpl w:val="0F883B5E"/>
    <w:lvl w:ilvl="0" w:tplc="AC78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1"/>
  </w:num>
  <w:num w:numId="5">
    <w:abstractNumId w:val="31"/>
  </w:num>
  <w:num w:numId="6">
    <w:abstractNumId w:val="16"/>
  </w:num>
  <w:num w:numId="7">
    <w:abstractNumId w:val="21"/>
  </w:num>
  <w:num w:numId="8">
    <w:abstractNumId w:val="6"/>
  </w:num>
  <w:num w:numId="9">
    <w:abstractNumId w:val="9"/>
  </w:num>
  <w:num w:numId="10">
    <w:abstractNumId w:val="37"/>
  </w:num>
  <w:num w:numId="11">
    <w:abstractNumId w:val="28"/>
  </w:num>
  <w:num w:numId="12">
    <w:abstractNumId w:val="7"/>
  </w:num>
  <w:num w:numId="13">
    <w:abstractNumId w:val="0"/>
  </w:num>
  <w:num w:numId="14">
    <w:abstractNumId w:val="27"/>
  </w:num>
  <w:num w:numId="15">
    <w:abstractNumId w:val="24"/>
  </w:num>
  <w:num w:numId="16">
    <w:abstractNumId w:val="33"/>
  </w:num>
  <w:num w:numId="17">
    <w:abstractNumId w:val="32"/>
  </w:num>
  <w:num w:numId="18">
    <w:abstractNumId w:val="18"/>
  </w:num>
  <w:num w:numId="19">
    <w:abstractNumId w:val="14"/>
  </w:num>
  <w:num w:numId="20">
    <w:abstractNumId w:val="4"/>
  </w:num>
  <w:num w:numId="21">
    <w:abstractNumId w:val="36"/>
  </w:num>
  <w:num w:numId="22">
    <w:abstractNumId w:val="15"/>
  </w:num>
  <w:num w:numId="23">
    <w:abstractNumId w:val="17"/>
  </w:num>
  <w:num w:numId="24">
    <w:abstractNumId w:val="23"/>
  </w:num>
  <w:num w:numId="25">
    <w:abstractNumId w:val="39"/>
  </w:num>
  <w:num w:numId="26">
    <w:abstractNumId w:val="5"/>
  </w:num>
  <w:num w:numId="27">
    <w:abstractNumId w:val="25"/>
  </w:num>
  <w:num w:numId="28">
    <w:abstractNumId w:val="2"/>
  </w:num>
  <w:num w:numId="29">
    <w:abstractNumId w:val="8"/>
  </w:num>
  <w:num w:numId="30">
    <w:abstractNumId w:val="20"/>
  </w:num>
  <w:num w:numId="31">
    <w:abstractNumId w:val="12"/>
  </w:num>
  <w:num w:numId="32">
    <w:abstractNumId w:val="34"/>
  </w:num>
  <w:num w:numId="33">
    <w:abstractNumId w:val="22"/>
  </w:num>
  <w:num w:numId="34">
    <w:abstractNumId w:val="3"/>
  </w:num>
  <w:num w:numId="35">
    <w:abstractNumId w:val="38"/>
  </w:num>
  <w:num w:numId="36">
    <w:abstractNumId w:val="26"/>
  </w:num>
  <w:num w:numId="37">
    <w:abstractNumId w:val="10"/>
  </w:num>
  <w:num w:numId="38">
    <w:abstractNumId w:val="13"/>
  </w:num>
  <w:num w:numId="39">
    <w:abstractNumId w:val="35"/>
  </w:num>
  <w:num w:numId="40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74"/>
    <w:rsid w:val="002C50BC"/>
    <w:rsid w:val="003A4CB9"/>
    <w:rsid w:val="005605AB"/>
    <w:rsid w:val="00561D74"/>
    <w:rsid w:val="00636C4B"/>
    <w:rsid w:val="007B6E9C"/>
    <w:rsid w:val="0094260A"/>
    <w:rsid w:val="00B71D12"/>
    <w:rsid w:val="00CE66B0"/>
    <w:rsid w:val="00D5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AB"/>
  </w:style>
  <w:style w:type="paragraph" w:styleId="Footer">
    <w:name w:val="footer"/>
    <w:basedOn w:val="Normal"/>
    <w:link w:val="FooterChar"/>
    <w:uiPriority w:val="99"/>
    <w:unhideWhenUsed/>
    <w:rsid w:val="0056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AB"/>
  </w:style>
  <w:style w:type="table" w:styleId="TableGrid">
    <w:name w:val="Table Grid"/>
    <w:basedOn w:val="TableNormal"/>
    <w:uiPriority w:val="39"/>
    <w:rsid w:val="00636C4B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36C4B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xlpa">
    <w:name w:val="_04xlpa"/>
    <w:basedOn w:val="Normal"/>
    <w:rsid w:val="0063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636C4B"/>
  </w:style>
  <w:style w:type="character" w:styleId="Hyperlink">
    <w:name w:val="Hyperlink"/>
    <w:basedOn w:val="DefaultParagraphFont"/>
    <w:uiPriority w:val="99"/>
    <w:unhideWhenUsed/>
    <w:rsid w:val="00636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AB"/>
  </w:style>
  <w:style w:type="paragraph" w:styleId="Footer">
    <w:name w:val="footer"/>
    <w:basedOn w:val="Normal"/>
    <w:link w:val="FooterChar"/>
    <w:uiPriority w:val="99"/>
    <w:unhideWhenUsed/>
    <w:rsid w:val="0056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AB"/>
  </w:style>
  <w:style w:type="table" w:styleId="TableGrid">
    <w:name w:val="Table Grid"/>
    <w:basedOn w:val="TableNormal"/>
    <w:uiPriority w:val="39"/>
    <w:rsid w:val="00636C4B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36C4B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xlpa">
    <w:name w:val="_04xlpa"/>
    <w:basedOn w:val="Normal"/>
    <w:rsid w:val="0063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636C4B"/>
  </w:style>
  <w:style w:type="character" w:styleId="Hyperlink">
    <w:name w:val="Hyperlink"/>
    <w:basedOn w:val="DefaultParagraphFont"/>
    <w:uiPriority w:val="99"/>
    <w:unhideWhenUsed/>
    <w:rsid w:val="00636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2021-11-23T05:50:00Z</dcterms:created>
  <dcterms:modified xsi:type="dcterms:W3CDTF">2021-11-23T05:50:00Z</dcterms:modified>
</cp:coreProperties>
</file>