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7" w:rsidRDefault="00254CAB" w:rsidP="00E11558">
      <w:pPr>
        <w:spacing w:after="0"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DAFTAR PUSTAKA</w:t>
      </w:r>
    </w:p>
    <w:p w:rsidR="00254CAB" w:rsidRDefault="00254CAB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Almatsier, S. (2004). </w:t>
      </w:r>
      <w:r>
        <w:rPr>
          <w:rFonts w:eastAsia="SimSun" w:cs="Times New Roman"/>
          <w:i/>
          <w:color w:val="000000"/>
          <w:szCs w:val="24"/>
        </w:rPr>
        <w:t xml:space="preserve">Prinsip Dasar Ilmu Gizi. </w:t>
      </w:r>
      <w:r>
        <w:rPr>
          <w:rFonts w:eastAsia="SimSun" w:cs="Times New Roman"/>
          <w:color w:val="000000"/>
          <w:szCs w:val="24"/>
        </w:rPr>
        <w:t>Cetakan keempat. Jakarta: PT. Gramedia Pustaka Utama. Halaman 235 – 241, 246.</w:t>
      </w:r>
    </w:p>
    <w:p w:rsidR="00E11558" w:rsidRDefault="00E11558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Budiyanto, H. M. A. K. (2004). </w:t>
      </w:r>
      <w:r>
        <w:rPr>
          <w:rFonts w:eastAsia="SimSun" w:cs="Times New Roman"/>
          <w:i/>
          <w:color w:val="000000"/>
          <w:szCs w:val="24"/>
        </w:rPr>
        <w:t xml:space="preserve">Dasar – Dasar Ilmu Gizi. </w:t>
      </w:r>
      <w:r>
        <w:rPr>
          <w:rFonts w:eastAsia="SimSun" w:cs="Times New Roman"/>
          <w:color w:val="000000"/>
          <w:szCs w:val="24"/>
        </w:rPr>
        <w:t>Cetakan Keempat. Malang: UMM Press. Halaman 60-61.</w:t>
      </w:r>
    </w:p>
    <w:p w:rsidR="00E11558" w:rsidRDefault="00E11558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Cayme, J-M. C., and Asor Jr, A.N. (2015). </w:t>
      </w:r>
      <w:r w:rsidRPr="00E11558">
        <w:rPr>
          <w:rFonts w:eastAsia="SimSun" w:cs="Times New Roman"/>
          <w:i/>
          <w:color w:val="000000"/>
          <w:szCs w:val="24"/>
        </w:rPr>
        <w:t>Extraction Method For Quantifying Iron, Calcium and Magnesium in a Historic Brickwork Produced During the Spanish Colonial period in the Philippine</w:t>
      </w:r>
      <w:r>
        <w:rPr>
          <w:rFonts w:eastAsia="SimSun" w:cs="Times New Roman"/>
          <w:i/>
          <w:color w:val="000000"/>
          <w:szCs w:val="24"/>
        </w:rPr>
        <w:t xml:space="preserve">. Kimika. </w:t>
      </w:r>
      <w:r>
        <w:rPr>
          <w:rFonts w:eastAsia="SimSun" w:cs="Times New Roman"/>
          <w:color w:val="000000"/>
          <w:szCs w:val="24"/>
        </w:rPr>
        <w:t>vol.</w:t>
      </w:r>
      <w:r w:rsidR="008A33B6">
        <w:rPr>
          <w:rFonts w:eastAsia="SimSun" w:cs="Times New Roman"/>
          <w:color w:val="000000"/>
          <w:szCs w:val="24"/>
        </w:rPr>
        <w:t xml:space="preserve"> </w:t>
      </w:r>
      <w:r>
        <w:rPr>
          <w:rFonts w:eastAsia="SimSun" w:cs="Times New Roman"/>
          <w:color w:val="000000"/>
          <w:szCs w:val="24"/>
        </w:rPr>
        <w:t>6(1): 4.</w:t>
      </w:r>
    </w:p>
    <w:p w:rsidR="008A33B6" w:rsidRDefault="008A33B6" w:rsidP="00586D3B">
      <w:pPr>
        <w:spacing w:after="0" w:line="360" w:lineRule="auto"/>
      </w:pPr>
      <w:r>
        <w:rPr>
          <w:rFonts w:eastAsia="SimSun" w:cs="Times New Roman"/>
          <w:color w:val="000000"/>
          <w:szCs w:val="24"/>
        </w:rPr>
        <w:t>Cristin, N. (2015). Skrining Fitokimia Dan Uji Aktivitas Antioksidan Sari Daging</w:t>
      </w:r>
    </w:p>
    <w:p w:rsidR="008A33B6" w:rsidRDefault="008A33B6" w:rsidP="00586D3B">
      <w:pPr>
        <w:spacing w:line="360" w:lineRule="auto"/>
        <w:ind w:left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Buah Semangka </w:t>
      </w:r>
      <w:r>
        <w:rPr>
          <w:rFonts w:eastAsia="SimSun" w:cs="Times New Roman"/>
          <w:i/>
          <w:color w:val="000000"/>
          <w:szCs w:val="24"/>
        </w:rPr>
        <w:t xml:space="preserve">(Citrullus lanatus (Thunb.) Matsum.&amp; Nakai) </w:t>
      </w:r>
      <w:r>
        <w:rPr>
          <w:rFonts w:eastAsia="SimSun" w:cs="Times New Roman"/>
          <w:color w:val="000000"/>
          <w:szCs w:val="24"/>
        </w:rPr>
        <w:t xml:space="preserve">Dengan Metode DPPH </w:t>
      </w:r>
      <w:r>
        <w:rPr>
          <w:rFonts w:eastAsia="SimSun" w:cs="Times New Roman"/>
          <w:i/>
          <w:color w:val="000000"/>
          <w:szCs w:val="24"/>
        </w:rPr>
        <w:t>(1,1diphenyl-2-Picrylhydrazil)</w:t>
      </w:r>
      <w:r>
        <w:rPr>
          <w:rFonts w:eastAsia="SimSun" w:cs="Times New Roman"/>
          <w:color w:val="000000"/>
          <w:szCs w:val="24"/>
        </w:rPr>
        <w:t xml:space="preserve">. </w:t>
      </w:r>
      <w:r>
        <w:rPr>
          <w:rFonts w:eastAsia="SimSun" w:cs="Times New Roman"/>
          <w:i/>
          <w:color w:val="000000"/>
          <w:szCs w:val="24"/>
        </w:rPr>
        <w:t>Skripsi</w:t>
      </w:r>
      <w:r>
        <w:rPr>
          <w:rFonts w:eastAsia="SimSun" w:cs="Times New Roman"/>
          <w:color w:val="000000"/>
          <w:szCs w:val="24"/>
        </w:rPr>
        <w:t>. Program Studi Sarjana Farmasi. Fakultas Farmasi. Universitas Sumatera Utara, Medan.</w:t>
      </w:r>
    </w:p>
    <w:p w:rsidR="0060292C" w:rsidRDefault="0060292C" w:rsidP="0060292C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Ermer, J., dan McB, Miller, J.H. (2005). </w:t>
      </w:r>
      <w:r w:rsidRPr="0060292C">
        <w:rPr>
          <w:rFonts w:eastAsia="SimSun" w:cs="Times New Roman"/>
          <w:i/>
          <w:color w:val="000000"/>
          <w:szCs w:val="24"/>
        </w:rPr>
        <w:t>Method Validation in Pharmaceutical Analysis</w:t>
      </w:r>
      <w:r>
        <w:rPr>
          <w:rFonts w:eastAsia="SimSun" w:cs="Times New Roman"/>
          <w:color w:val="000000"/>
          <w:szCs w:val="24"/>
        </w:rPr>
        <w:t>. Weinheim: Wiley-Vch Verlag GmbH &amp; Co. KGaA. Halaman 171.</w:t>
      </w:r>
    </w:p>
    <w:p w:rsidR="008A33B6" w:rsidRDefault="008A33B6" w:rsidP="00586D3B">
      <w:pPr>
        <w:spacing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Gandjar, I. G. dan Rohman, A. (2012). </w:t>
      </w:r>
      <w:r w:rsidRPr="001007E5">
        <w:rPr>
          <w:rFonts w:cs="Times New Roman"/>
          <w:i/>
          <w:szCs w:val="24"/>
        </w:rPr>
        <w:t>Kimia Farmasi</w:t>
      </w:r>
      <w:r>
        <w:rPr>
          <w:rFonts w:cs="Times New Roman"/>
          <w:i/>
          <w:szCs w:val="24"/>
        </w:rPr>
        <w:t xml:space="preserve"> </w:t>
      </w:r>
      <w:r w:rsidRPr="001007E5">
        <w:rPr>
          <w:rFonts w:cs="Times New Roman"/>
          <w:i/>
          <w:szCs w:val="24"/>
        </w:rPr>
        <w:t>Analisis</w:t>
      </w:r>
      <w:r>
        <w:rPr>
          <w:rFonts w:cs="Times New Roman"/>
          <w:szCs w:val="24"/>
        </w:rPr>
        <w:t>. Cetakan Kesepuluh. Yogyakarta: Pustaka Pelajar. Halaman 298-299, 305-313.</w:t>
      </w:r>
    </w:p>
    <w:p w:rsidR="00A81C52" w:rsidRDefault="00A81C52" w:rsidP="0060292C">
      <w:pPr>
        <w:spacing w:line="360" w:lineRule="auto"/>
        <w:ind w:left="720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Harmita. (2004). Petunjuk Pelaksanaan Validasi Metode dan Cara Perhitungannya. Review Artikel. </w:t>
      </w:r>
      <w:r w:rsidRPr="001007E5">
        <w:rPr>
          <w:rFonts w:cs="Times New Roman"/>
          <w:i/>
          <w:szCs w:val="24"/>
        </w:rPr>
        <w:t>Majalah</w:t>
      </w:r>
      <w:r>
        <w:rPr>
          <w:rFonts w:cs="Times New Roman"/>
          <w:i/>
          <w:szCs w:val="24"/>
        </w:rPr>
        <w:t xml:space="preserve"> </w:t>
      </w:r>
      <w:r w:rsidRPr="001007E5">
        <w:rPr>
          <w:rFonts w:cs="Times New Roman"/>
          <w:i/>
          <w:szCs w:val="24"/>
        </w:rPr>
        <w:t>Ilmu</w:t>
      </w:r>
      <w:r>
        <w:rPr>
          <w:rFonts w:cs="Times New Roman"/>
          <w:i/>
          <w:szCs w:val="24"/>
        </w:rPr>
        <w:t xml:space="preserve"> </w:t>
      </w:r>
      <w:r w:rsidRPr="001007E5">
        <w:rPr>
          <w:rFonts w:cs="Times New Roman"/>
          <w:i/>
          <w:szCs w:val="24"/>
        </w:rPr>
        <w:t>Kefarmasian</w:t>
      </w:r>
      <w:r>
        <w:rPr>
          <w:rFonts w:cs="Times New Roman"/>
          <w:szCs w:val="24"/>
        </w:rPr>
        <w:t>. 1(3): 117-135.</w:t>
      </w:r>
    </w:p>
    <w:p w:rsidR="00A81C52" w:rsidRDefault="00A81C52" w:rsidP="00586D3B">
      <w:pPr>
        <w:spacing w:line="360" w:lineRule="auto"/>
        <w:ind w:left="720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Harris, D. C. (2007). </w:t>
      </w:r>
      <w:r w:rsidRPr="00C622EB">
        <w:rPr>
          <w:rFonts w:cs="Times New Roman"/>
          <w:i/>
          <w:szCs w:val="24"/>
        </w:rPr>
        <w:t>Quantitative Chemical Analysis</w:t>
      </w:r>
      <w:r>
        <w:rPr>
          <w:rFonts w:cs="Times New Roman"/>
          <w:szCs w:val="24"/>
        </w:rPr>
        <w:t>. Seventh Edition. New York: WH. H. Freeman and Company. Halaman 455.</w:t>
      </w:r>
    </w:p>
    <w:p w:rsidR="0060292C" w:rsidRDefault="0060292C" w:rsidP="00586D3B">
      <w:pPr>
        <w:spacing w:line="360" w:lineRule="auto"/>
        <w:ind w:left="720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Hartati, I., Yulianto, M. E., Handayani, D. (2010). Reduksi Dioscorin Umbi Gadung Melalui Ekstraksi Gelombang Mikro. </w:t>
      </w:r>
      <w:r w:rsidRPr="0060292C">
        <w:rPr>
          <w:rFonts w:cs="Times New Roman"/>
          <w:i/>
          <w:szCs w:val="24"/>
        </w:rPr>
        <w:t>Prosiding Seminar Nasional Unimus</w:t>
      </w:r>
      <w:r>
        <w:rPr>
          <w:rFonts w:cs="Times New Roman"/>
          <w:szCs w:val="24"/>
        </w:rPr>
        <w:t>. Halaman 60-61.</w:t>
      </w:r>
    </w:p>
    <w:p w:rsidR="00A81C52" w:rsidRDefault="00A81C52" w:rsidP="00586D3B">
      <w:pPr>
        <w:spacing w:line="360" w:lineRule="auto"/>
        <w:ind w:left="720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Herbarium Medanense. (2019). Herbarium Medanense (Meda) Universitas Sumatera Utara.</w:t>
      </w:r>
    </w:p>
    <w:p w:rsidR="00586D3B" w:rsidRDefault="00586D3B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lastRenderedPageBreak/>
        <w:t xml:space="preserve">Kristianingrum, S. (2012). Kajian Berbagai Proses Destruksi Sampel Dan Efeknya. </w:t>
      </w:r>
      <w:r>
        <w:rPr>
          <w:rFonts w:eastAsia="SimSun" w:cs="Times New Roman"/>
          <w:i/>
          <w:color w:val="000000"/>
          <w:szCs w:val="24"/>
        </w:rPr>
        <w:t xml:space="preserve">Prosiding Seminar Nasional Penelitian, Pendidikan dan Penerapan MIPA. </w:t>
      </w:r>
      <w:r>
        <w:rPr>
          <w:rFonts w:eastAsia="SimSun" w:cs="Times New Roman"/>
          <w:color w:val="000000"/>
          <w:szCs w:val="24"/>
        </w:rPr>
        <w:t>Jurusan Pendidikan Kimia, Fakultas MIPA, Universitas Negeri</w:t>
      </w:r>
      <w:r>
        <w:t xml:space="preserve"> </w:t>
      </w:r>
      <w:r>
        <w:rPr>
          <w:rFonts w:eastAsia="SimSun" w:cs="Times New Roman"/>
          <w:color w:val="000000"/>
          <w:szCs w:val="24"/>
        </w:rPr>
        <w:t>Yogyakarta.</w:t>
      </w:r>
    </w:p>
    <w:p w:rsidR="00474F5F" w:rsidRDefault="00474F5F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Peticilia, A., Scaeteanu G. V., Madjar R., Stanica F., dan Asanica A. (2015). Fertilization effect on mineral nutrition of actinidia deliciosa (kiwi) cultivated on defferent substrates. </w:t>
      </w:r>
      <w:r>
        <w:rPr>
          <w:rFonts w:eastAsia="SimSun" w:cs="Times New Roman"/>
          <w:i/>
          <w:color w:val="000000"/>
          <w:szCs w:val="24"/>
        </w:rPr>
        <w:t>Agriculture and Agricultural Science Procedia</w:t>
      </w:r>
      <w:r>
        <w:rPr>
          <w:rFonts w:eastAsia="SimSun" w:cs="Times New Roman"/>
          <w:color w:val="000000"/>
          <w:szCs w:val="24"/>
        </w:rPr>
        <w:t>. 6(2015): 132-138.</w:t>
      </w:r>
    </w:p>
    <w:p w:rsidR="0060292C" w:rsidRPr="0060292C" w:rsidRDefault="0060292C" w:rsidP="00586D3B">
      <w:pPr>
        <w:spacing w:line="360" w:lineRule="auto"/>
        <w:ind w:left="709" w:hanging="709"/>
        <w:jc w:val="both"/>
      </w:pPr>
      <w:r>
        <w:rPr>
          <w:rFonts w:eastAsia="SimSun" w:cs="Times New Roman"/>
          <w:color w:val="000000"/>
          <w:szCs w:val="24"/>
        </w:rPr>
        <w:t>Rahayu, E. S., dan Pribadi, P. (2012). Kadar Vitamin dan Mineral dalam Buah Segar dan Manisan Basah Karika Dieng (</w:t>
      </w:r>
      <w:r>
        <w:rPr>
          <w:rFonts w:eastAsia="SimSun" w:cs="Times New Roman"/>
          <w:i/>
          <w:color w:val="000000"/>
          <w:szCs w:val="24"/>
        </w:rPr>
        <w:t xml:space="preserve">Carica pubescenes </w:t>
      </w:r>
      <w:r>
        <w:rPr>
          <w:rFonts w:eastAsia="SimSun" w:cs="Times New Roman"/>
          <w:color w:val="000000"/>
          <w:szCs w:val="24"/>
        </w:rPr>
        <w:t xml:space="preserve">Lenne &amp; K. Koch). </w:t>
      </w:r>
      <w:r>
        <w:rPr>
          <w:rFonts w:eastAsia="SimSun" w:cs="Times New Roman"/>
          <w:i/>
          <w:color w:val="000000"/>
          <w:szCs w:val="24"/>
        </w:rPr>
        <w:t>Biosantifika</w:t>
      </w:r>
      <w:r>
        <w:rPr>
          <w:rFonts w:eastAsia="SimSun" w:cs="Times New Roman"/>
          <w:color w:val="000000"/>
          <w:szCs w:val="24"/>
        </w:rPr>
        <w:t xml:space="preserve"> 4(2): 90-93.</w:t>
      </w:r>
    </w:p>
    <w:p w:rsidR="00586D3B" w:rsidRDefault="00586D3B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Rukmana, R. (1994). </w:t>
      </w:r>
      <w:r>
        <w:rPr>
          <w:rFonts w:eastAsia="SimSun" w:cs="Times New Roman"/>
          <w:i/>
          <w:color w:val="000000"/>
          <w:szCs w:val="24"/>
        </w:rPr>
        <w:t xml:space="preserve">Budidaya Semangka Hibrida. </w:t>
      </w:r>
      <w:r>
        <w:rPr>
          <w:rFonts w:eastAsia="SimSun" w:cs="Times New Roman"/>
          <w:color w:val="000000"/>
          <w:szCs w:val="24"/>
        </w:rPr>
        <w:t>Yogyakarta: Penerbit Kanisius. Halaman 25-36.</w:t>
      </w:r>
    </w:p>
    <w:p w:rsidR="00586D3B" w:rsidRDefault="00586D3B" w:rsidP="00586D3B">
      <w:pPr>
        <w:spacing w:line="360" w:lineRule="auto"/>
        <w:ind w:left="709" w:hanging="709"/>
        <w:jc w:val="both"/>
      </w:pPr>
      <w:r>
        <w:rPr>
          <w:rFonts w:ascii="Times" w:eastAsia="Times" w:hAnsi="Times" w:cs="Times"/>
          <w:color w:val="000000"/>
          <w:szCs w:val="24"/>
        </w:rPr>
        <w:t xml:space="preserve">Saraan, S.M.D. (2012). </w:t>
      </w:r>
      <w:r>
        <w:rPr>
          <w:rFonts w:eastAsia="SimSun" w:cs="Times New Roman"/>
          <w:color w:val="000000"/>
          <w:szCs w:val="24"/>
        </w:rPr>
        <w:t>Penetapan Kadar Kalium, Natrium Dan Magnesium Pada</w:t>
      </w:r>
      <w:r>
        <w:t xml:space="preserve"> </w:t>
      </w:r>
      <w:r>
        <w:rPr>
          <w:rFonts w:eastAsia="SimSun" w:cs="Times New Roman"/>
          <w:color w:val="000000"/>
          <w:szCs w:val="24"/>
        </w:rPr>
        <w:t>Semangka (</w:t>
      </w:r>
      <w:r>
        <w:rPr>
          <w:rFonts w:eastAsia="SimSun" w:cs="Times New Roman"/>
          <w:i/>
          <w:color w:val="000000"/>
          <w:szCs w:val="24"/>
        </w:rPr>
        <w:t>Citrullus vulgaris</w:t>
      </w:r>
      <w:r>
        <w:rPr>
          <w:rFonts w:eastAsia="SimSun" w:cs="Times New Roman"/>
          <w:color w:val="000000"/>
          <w:szCs w:val="24"/>
        </w:rPr>
        <w:t>, Schard) Daging Buah Berwarna Kuning</w:t>
      </w:r>
      <w:r>
        <w:t xml:space="preserve"> </w:t>
      </w:r>
      <w:r>
        <w:rPr>
          <w:rFonts w:eastAsia="SimSun" w:cs="Times New Roman"/>
          <w:color w:val="000000"/>
          <w:szCs w:val="24"/>
        </w:rPr>
        <w:t xml:space="preserve">Dan Merah Secara Spektrofotometri Serapan Atom. </w:t>
      </w:r>
      <w:r>
        <w:rPr>
          <w:rFonts w:eastAsia="SimSun" w:cs="Times New Roman"/>
          <w:i/>
          <w:color w:val="000000"/>
          <w:szCs w:val="24"/>
        </w:rPr>
        <w:t>Skripsi</w:t>
      </w:r>
      <w:r>
        <w:rPr>
          <w:rFonts w:eastAsia="SimSun" w:cs="Times New Roman"/>
          <w:color w:val="000000"/>
          <w:szCs w:val="24"/>
        </w:rPr>
        <w:t>. Fakultas</w:t>
      </w:r>
      <w:r>
        <w:t xml:space="preserve"> </w:t>
      </w:r>
      <w:r>
        <w:rPr>
          <w:rFonts w:eastAsia="SimSun" w:cs="Times New Roman"/>
          <w:color w:val="000000"/>
          <w:szCs w:val="24"/>
        </w:rPr>
        <w:t>Farmasi. Universitas Sumatera Utara, Medan.</w:t>
      </w:r>
    </w:p>
    <w:p w:rsidR="00586D3B" w:rsidRDefault="00586D3B" w:rsidP="00586D3B">
      <w:pPr>
        <w:spacing w:line="360" w:lineRule="auto"/>
        <w:ind w:left="709" w:hanging="709"/>
        <w:jc w:val="both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 xml:space="preserve">SNI. (2015). </w:t>
      </w:r>
      <w:r>
        <w:rPr>
          <w:rFonts w:eastAsia="SimSun" w:cs="Times New Roman"/>
          <w:i/>
          <w:color w:val="000000"/>
          <w:szCs w:val="24"/>
        </w:rPr>
        <w:t>Cara Uji Air Minum dalam Kemasan</w:t>
      </w:r>
      <w:r>
        <w:rPr>
          <w:rFonts w:eastAsia="SimSun" w:cs="Times New Roman"/>
          <w:color w:val="000000"/>
          <w:szCs w:val="24"/>
        </w:rPr>
        <w:t>. SNI 3554: 2015. Badan</w:t>
      </w:r>
      <w:r>
        <w:t xml:space="preserve"> </w:t>
      </w:r>
      <w:r>
        <w:rPr>
          <w:rFonts w:eastAsia="SimSun" w:cs="Times New Roman"/>
          <w:color w:val="000000"/>
          <w:szCs w:val="24"/>
        </w:rPr>
        <w:t>Standarisasi Nasional. Halaman 30.</w:t>
      </w:r>
    </w:p>
    <w:p w:rsidR="00586D3B" w:rsidRDefault="00586D3B" w:rsidP="00586D3B">
      <w:pPr>
        <w:spacing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Sudjana. (2002).  </w:t>
      </w:r>
      <w:r w:rsidRPr="00CB6242">
        <w:rPr>
          <w:rFonts w:cs="Times New Roman"/>
          <w:i/>
          <w:szCs w:val="24"/>
        </w:rPr>
        <w:t>Metode</w:t>
      </w:r>
      <w:r>
        <w:rPr>
          <w:rFonts w:cs="Times New Roman"/>
          <w:i/>
          <w:szCs w:val="24"/>
        </w:rPr>
        <w:t xml:space="preserve"> </w:t>
      </w:r>
      <w:r w:rsidRPr="00CB6242">
        <w:rPr>
          <w:rFonts w:cs="Times New Roman"/>
          <w:i/>
          <w:szCs w:val="24"/>
        </w:rPr>
        <w:t>Statistika</w:t>
      </w:r>
      <w:r>
        <w:rPr>
          <w:rFonts w:cs="Times New Roman"/>
          <w:szCs w:val="24"/>
        </w:rPr>
        <w:t>. Edisi Keenam. Bandung: Tarsito. Halaman 168, 193-197, 206-209.</w:t>
      </w:r>
    </w:p>
    <w:p w:rsidR="00474F5F" w:rsidRDefault="00474F5F" w:rsidP="00586D3B">
      <w:pPr>
        <w:spacing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Tyagi, S., Nanher A. H., Sahay S., Kumar V., Bhamini K., Nishad S.K., dkk. (2015). Kiwi fruit: health benefit and medicinal importance. </w:t>
      </w:r>
      <w:r w:rsidRPr="005B4AD7">
        <w:rPr>
          <w:rFonts w:cs="Times New Roman"/>
          <w:i/>
          <w:szCs w:val="24"/>
        </w:rPr>
        <w:t>Hind Agricultural</w:t>
      </w:r>
      <w:r w:rsidR="005B4AD7" w:rsidRPr="005B4AD7">
        <w:rPr>
          <w:rFonts w:cs="Times New Roman"/>
          <w:i/>
          <w:szCs w:val="24"/>
        </w:rPr>
        <w:t xml:space="preserve"> Research and Training Institut</w:t>
      </w:r>
      <w:r w:rsidR="005B4AD7">
        <w:rPr>
          <w:rFonts w:cs="Times New Roman"/>
          <w:szCs w:val="24"/>
        </w:rPr>
        <w:t>. Bihar Agricultural University. 10(2): 1.</w:t>
      </w:r>
    </w:p>
    <w:p w:rsidR="00FB66D7" w:rsidRPr="00FB66D7" w:rsidRDefault="00FB66D7" w:rsidP="00586D3B">
      <w:pPr>
        <w:spacing w:line="36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Yuniastuti, A. (2008). </w:t>
      </w:r>
      <w:r>
        <w:rPr>
          <w:rFonts w:cs="Times New Roman"/>
          <w:i/>
          <w:szCs w:val="24"/>
        </w:rPr>
        <w:t>Gizi dan Kesehatan</w:t>
      </w:r>
      <w:r>
        <w:rPr>
          <w:rFonts w:cs="Times New Roman"/>
          <w:szCs w:val="24"/>
        </w:rPr>
        <w:t>. Yogyakarta: Graha Ilmu.</w:t>
      </w:r>
      <w:r w:rsidR="00474F5F">
        <w:rPr>
          <w:rFonts w:cs="Times New Roman"/>
          <w:szCs w:val="24"/>
        </w:rPr>
        <w:t xml:space="preserve"> Halaman 66.</w:t>
      </w:r>
    </w:p>
    <w:p w:rsidR="00254CAB" w:rsidRPr="00254CAB" w:rsidRDefault="00254CAB" w:rsidP="00887FED">
      <w:pPr>
        <w:spacing w:line="480" w:lineRule="auto"/>
      </w:pPr>
    </w:p>
    <w:sectPr w:rsidR="00254CAB" w:rsidRPr="00254CAB" w:rsidSect="008543F1">
      <w:headerReference w:type="default" r:id="rId7"/>
      <w:footerReference w:type="first" r:id="rId8"/>
      <w:pgSz w:w="11906" w:h="16838"/>
      <w:pgMar w:top="1701" w:right="1701" w:bottom="1701" w:left="2268" w:header="567" w:footer="51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3F" w:rsidRDefault="00EC233F" w:rsidP="00FD1862">
      <w:pPr>
        <w:spacing w:after="0" w:line="240" w:lineRule="auto"/>
      </w:pPr>
      <w:r>
        <w:separator/>
      </w:r>
    </w:p>
  </w:endnote>
  <w:endnote w:type="continuationSeparator" w:id="0">
    <w:p w:rsidR="00EC233F" w:rsidRDefault="00EC233F" w:rsidP="00FD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6595"/>
      <w:docPartObj>
        <w:docPartGallery w:val="Page Numbers (Bottom of Page)"/>
        <w:docPartUnique/>
      </w:docPartObj>
    </w:sdtPr>
    <w:sdtEndPr/>
    <w:sdtContent>
      <w:p w:rsidR="008543F1" w:rsidRDefault="00EC2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5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543F1" w:rsidRDefault="0085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3F" w:rsidRDefault="00EC233F" w:rsidP="00FD1862">
      <w:pPr>
        <w:spacing w:after="0" w:line="240" w:lineRule="auto"/>
      </w:pPr>
      <w:r>
        <w:separator/>
      </w:r>
    </w:p>
  </w:footnote>
  <w:footnote w:type="continuationSeparator" w:id="0">
    <w:p w:rsidR="00EC233F" w:rsidRDefault="00EC233F" w:rsidP="00FD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6593"/>
      <w:docPartObj>
        <w:docPartGallery w:val="Page Numbers (Top of Page)"/>
        <w:docPartUnique/>
      </w:docPartObj>
    </w:sdtPr>
    <w:sdtEndPr/>
    <w:sdtContent>
      <w:p w:rsidR="008543F1" w:rsidRDefault="00EC2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5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D1862" w:rsidRDefault="00FD1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B"/>
    <w:rsid w:val="00044411"/>
    <w:rsid w:val="000F3FFD"/>
    <w:rsid w:val="00117EEF"/>
    <w:rsid w:val="00254CAB"/>
    <w:rsid w:val="00474F5F"/>
    <w:rsid w:val="00491351"/>
    <w:rsid w:val="004A3161"/>
    <w:rsid w:val="00586D3B"/>
    <w:rsid w:val="005B4AD7"/>
    <w:rsid w:val="005C6618"/>
    <w:rsid w:val="0060292C"/>
    <w:rsid w:val="00717F76"/>
    <w:rsid w:val="00760187"/>
    <w:rsid w:val="008543F1"/>
    <w:rsid w:val="00887FED"/>
    <w:rsid w:val="008A33B6"/>
    <w:rsid w:val="008F53AB"/>
    <w:rsid w:val="0099508B"/>
    <w:rsid w:val="00A75843"/>
    <w:rsid w:val="00A81C52"/>
    <w:rsid w:val="00AA055A"/>
    <w:rsid w:val="00B17457"/>
    <w:rsid w:val="00CB70E4"/>
    <w:rsid w:val="00E11558"/>
    <w:rsid w:val="00EC233F"/>
    <w:rsid w:val="00FB66D7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62"/>
  </w:style>
  <w:style w:type="paragraph" w:styleId="Footer">
    <w:name w:val="footer"/>
    <w:basedOn w:val="Normal"/>
    <w:link w:val="FooterChar"/>
    <w:uiPriority w:val="99"/>
    <w:unhideWhenUsed/>
    <w:rsid w:val="00F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62"/>
  </w:style>
  <w:style w:type="paragraph" w:styleId="Footer">
    <w:name w:val="footer"/>
    <w:basedOn w:val="Normal"/>
    <w:link w:val="FooterChar"/>
    <w:uiPriority w:val="99"/>
    <w:unhideWhenUsed/>
    <w:rsid w:val="00F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wahyu</cp:lastModifiedBy>
  <cp:revision>2</cp:revision>
  <dcterms:created xsi:type="dcterms:W3CDTF">2022-02-03T10:53:00Z</dcterms:created>
  <dcterms:modified xsi:type="dcterms:W3CDTF">2022-02-03T10:53:00Z</dcterms:modified>
</cp:coreProperties>
</file>