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5" w:rsidRDefault="002E10B5" w:rsidP="002E10B5">
      <w:pPr>
        <w:tabs>
          <w:tab w:val="left" w:pos="2985"/>
        </w:tabs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</w:rPr>
        <w:t>DAFTAR PUSTAKA</w:t>
      </w:r>
    </w:p>
    <w:p w:rsidR="002E10B5" w:rsidRDefault="002E10B5" w:rsidP="002E10B5">
      <w:pPr>
        <w:spacing w:after="0" w:line="240" w:lineRule="auto"/>
        <w:ind w:left="0" w:firstLine="0"/>
        <w:jc w:val="center"/>
        <w:rPr>
          <w:b/>
          <w:sz w:val="28"/>
          <w:lang w:val="en-US"/>
        </w:rPr>
      </w:pPr>
    </w:p>
    <w:p w:rsidR="002E10B5" w:rsidRDefault="002E10B5" w:rsidP="002E10B5">
      <w:pPr>
        <w:spacing w:after="0" w:line="240" w:lineRule="auto"/>
        <w:ind w:left="0" w:firstLine="0"/>
        <w:jc w:val="center"/>
        <w:rPr>
          <w:lang w:val="en-US"/>
        </w:rPr>
      </w:pP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Basset, J., R. C. Denney, G.H Jeffrey, J. Mendhom. 1994. </w:t>
      </w:r>
      <w:r>
        <w:rPr>
          <w:i/>
          <w:szCs w:val="24"/>
        </w:rPr>
        <w:t>Buku Ajar Vogel Kimia Analisa Kuantitatif Anorganik</w:t>
      </w:r>
      <w:r>
        <w:rPr>
          <w:szCs w:val="24"/>
        </w:rPr>
        <w:t xml:space="preserve">. Jakarta : EGC.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rPr>
          <w:szCs w:val="24"/>
        </w:rPr>
      </w:pPr>
      <w:r>
        <w:rPr>
          <w:szCs w:val="24"/>
        </w:rPr>
        <w:t xml:space="preserve">Bintang,M. 2010. </w:t>
      </w:r>
      <w:r>
        <w:rPr>
          <w:i/>
          <w:szCs w:val="24"/>
        </w:rPr>
        <w:t>Biokimia Teknik Penelitian</w:t>
      </w:r>
      <w:r>
        <w:rPr>
          <w:szCs w:val="24"/>
        </w:rPr>
        <w:t xml:space="preserve">. Jakarta : Penerbit Erlangga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 w:line="234" w:lineRule="auto"/>
        <w:ind w:left="561" w:hanging="576"/>
        <w:rPr>
          <w:szCs w:val="24"/>
        </w:rPr>
      </w:pPr>
      <w:r>
        <w:rPr>
          <w:szCs w:val="24"/>
        </w:rPr>
        <w:t xml:space="preserve">Dachriyanus. 2004. </w:t>
      </w:r>
      <w:r>
        <w:rPr>
          <w:i/>
          <w:szCs w:val="24"/>
        </w:rPr>
        <w:t xml:space="preserve">Analisis Struktur Senyawa Organik Secara Spektroskopi. </w:t>
      </w:r>
      <w:r>
        <w:rPr>
          <w:szCs w:val="24"/>
        </w:rPr>
        <w:t xml:space="preserve">Padang: Lembaga Pengembangan Teknologi Informasi dan Komunikasi (LPTIK)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1"/>
        <w:rPr>
          <w:szCs w:val="24"/>
        </w:rPr>
      </w:pPr>
      <w:r>
        <w:rPr>
          <w:szCs w:val="24"/>
        </w:rPr>
        <w:t xml:space="preserve">David R. Caprette, 2015, Principles of Spectrophotometry, </w:t>
      </w:r>
      <w:r>
        <w:rPr>
          <w:i/>
          <w:szCs w:val="24"/>
        </w:rPr>
        <w:t xml:space="preserve">available online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i/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Departemen Kesehatan Republik Indonesia. 1995. </w:t>
      </w:r>
      <w:r>
        <w:rPr>
          <w:i/>
          <w:szCs w:val="24"/>
        </w:rPr>
        <w:t>FarmakopeIndonesia</w:t>
      </w:r>
      <w:r>
        <w:rPr>
          <w:szCs w:val="24"/>
        </w:rPr>
        <w:t xml:space="preserve">, Edisi IV. Jakarta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rPr>
          <w:szCs w:val="24"/>
        </w:rPr>
      </w:pPr>
      <w:r>
        <w:rPr>
          <w:szCs w:val="24"/>
        </w:rPr>
        <w:t xml:space="preserve">Ditjen POM. (1995). </w:t>
      </w:r>
      <w:r>
        <w:rPr>
          <w:i/>
          <w:szCs w:val="24"/>
        </w:rPr>
        <w:t>Material Medika Indonesia</w:t>
      </w:r>
      <w:r>
        <w:rPr>
          <w:szCs w:val="24"/>
        </w:rPr>
        <w:t xml:space="preserve">. Jilid VI. Jakarta : Departemen  Kesehatan Republik Indonesia.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  <w:r>
        <w:rPr>
          <w:szCs w:val="24"/>
        </w:rPr>
        <w:t>Hashmi M.H. 2004. Assay of Vitamins in Pharmaceutical Preparations. London :</w:t>
      </w:r>
      <w:r>
        <w:rPr>
          <w:i/>
          <w:szCs w:val="24"/>
        </w:rPr>
        <w:t>John Wileyand Sons</w:t>
      </w:r>
      <w:r>
        <w:rPr>
          <w:szCs w:val="24"/>
        </w:rPr>
        <w:t xml:space="preserve">. </w:t>
      </w: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  <w:r>
        <w:rPr>
          <w:szCs w:val="24"/>
        </w:rPr>
        <w:t>Helrich, Kenneth. 1990. Official Methods Of Analysis Of Association Of Official Analytical Chemist Volume Two. USA :</w:t>
      </w:r>
      <w:r>
        <w:rPr>
          <w:i/>
          <w:szCs w:val="24"/>
        </w:rPr>
        <w:t xml:space="preserve">Association Of Official Analytical </w:t>
      </w: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Karinda, M., Fatmawati dan Citraningtyas, G. 2013. Perbandingan Hasil Penetapan Kadar Vitamin C Mangga Dodol Dengan Menggunakan Metode Spektrofotometri UV-Vis dan Iodometri. </w:t>
      </w:r>
      <w:r>
        <w:rPr>
          <w:i/>
          <w:szCs w:val="24"/>
        </w:rPr>
        <w:t>Jurnal Ilmiah Farmasi. Unsrat Manado.</w:t>
      </w:r>
      <w:r>
        <w:rPr>
          <w:szCs w:val="24"/>
        </w:rPr>
        <w:t xml:space="preserve"> Volume 2, No.01:86-89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693" w:hanging="708"/>
        <w:rPr>
          <w:szCs w:val="24"/>
        </w:rPr>
      </w:pPr>
      <w:r>
        <w:rPr>
          <w:szCs w:val="24"/>
        </w:rPr>
        <w:t xml:space="preserve">Khopkar SM. 1990. </w:t>
      </w:r>
      <w:r>
        <w:rPr>
          <w:i/>
          <w:szCs w:val="24"/>
        </w:rPr>
        <w:t>Konsep Dasar Kimia Analitik (Terjemahan)</w:t>
      </w:r>
      <w:r>
        <w:rPr>
          <w:szCs w:val="24"/>
        </w:rPr>
        <w:t xml:space="preserve">. Universitas Indonesia 201-218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Legowo, A.M. &amp; Nurwantoro. 2004. </w:t>
      </w:r>
      <w:r>
        <w:rPr>
          <w:i/>
          <w:szCs w:val="24"/>
        </w:rPr>
        <w:t>Diktat Kuliah Analisis Pangan</w:t>
      </w:r>
      <w:r>
        <w:rPr>
          <w:szCs w:val="24"/>
        </w:rPr>
        <w:t xml:space="preserve">. Semarang : UPT – Pustaka Universitas Diponegoro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61" w:hanging="576"/>
        <w:rPr>
          <w:szCs w:val="24"/>
        </w:rPr>
      </w:pPr>
      <w:r>
        <w:rPr>
          <w:szCs w:val="24"/>
        </w:rPr>
        <w:t xml:space="preserve">Lim TK. London: </w:t>
      </w:r>
      <w:r>
        <w:rPr>
          <w:i/>
          <w:szCs w:val="24"/>
        </w:rPr>
        <w:t>Springer Dordrecht Heidelberg New York; Edible Medicinal And Non Medicinal Plants</w:t>
      </w:r>
      <w:r>
        <w:rPr>
          <w:szCs w:val="24"/>
        </w:rPr>
        <w:t xml:space="preserve"> : Syzygium Aqueum 2012; Volume 3 Fruits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  <w:r>
        <w:rPr>
          <w:szCs w:val="24"/>
        </w:rPr>
        <w:t xml:space="preserve">Mardiana P..,Yunita H., 2015. Analisis kadar vitamin C pada buah nanas segar dan buah nanas kaleng dengan metode Spektrofotometri UV-Vis. </w:t>
      </w:r>
      <w:r>
        <w:rPr>
          <w:i/>
          <w:szCs w:val="24"/>
        </w:rPr>
        <w:t>Jurnal Wiyata.</w:t>
      </w:r>
      <w:r>
        <w:rPr>
          <w:szCs w:val="24"/>
        </w:rPr>
        <w:t xml:space="preserve"> Analisis Kesehatan Bhakti Wiyata: Kediri </w:t>
      </w: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Mulyani E., 2017. Perbandingan hasil penetapan kadar vitamin C pada buah kiwi dengan menggunakan metode iodimetri dan spektrofotometri uv-vis. </w:t>
      </w:r>
      <w:r>
        <w:rPr>
          <w:i/>
          <w:szCs w:val="24"/>
        </w:rPr>
        <w:t>Jurnal Farmasi, sains dan kesehatan</w:t>
      </w:r>
      <w:r>
        <w:rPr>
          <w:szCs w:val="24"/>
        </w:rPr>
        <w:t xml:space="preserve">:Bengkulu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Packer, L, Traber, MG, Kraemer, K, Frei, B. 2002. The antioxidant vitamins C and E: vitamins C and E for health. </w:t>
      </w:r>
      <w:r>
        <w:rPr>
          <w:i/>
          <w:szCs w:val="24"/>
        </w:rPr>
        <w:t>J Am Oil Chem Soc</w:t>
      </w:r>
      <w:r>
        <w:rPr>
          <w:szCs w:val="24"/>
        </w:rPr>
        <w:t xml:space="preserve">. 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rPr>
          <w:szCs w:val="24"/>
        </w:rPr>
      </w:pPr>
      <w:r>
        <w:rPr>
          <w:szCs w:val="24"/>
        </w:rPr>
        <w:t xml:space="preserve">Pauling,L. 1970. </w:t>
      </w:r>
      <w:r>
        <w:rPr>
          <w:i/>
          <w:szCs w:val="24"/>
        </w:rPr>
        <w:t>General Chemistry</w:t>
      </w:r>
      <w:r>
        <w:rPr>
          <w:szCs w:val="24"/>
        </w:rPr>
        <w:t xml:space="preserve"> Edisi 4. Jakarta : Gaya Baru 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1"/>
        <w:ind w:left="551" w:hanging="566"/>
        <w:rPr>
          <w:szCs w:val="24"/>
          <w:lang w:val="en-US"/>
        </w:rPr>
      </w:pPr>
      <w:r>
        <w:rPr>
          <w:szCs w:val="24"/>
        </w:rPr>
        <w:t xml:space="preserve">Peter T, Padmavathi, D., Sajini, R. J., and A, Sarala. Syzygium Samarangense : A Review On Morphology, Phytochemistry &amp; Pharmacological Aspects. </w:t>
      </w:r>
      <w:r>
        <w:rPr>
          <w:i/>
          <w:szCs w:val="24"/>
        </w:rPr>
        <w:t>Asian Journal of Biochemical and Pharmaceutical Research</w:t>
      </w:r>
      <w:r>
        <w:rPr>
          <w:szCs w:val="24"/>
        </w:rPr>
        <w:t xml:space="preserve">. </w:t>
      </w:r>
    </w:p>
    <w:p w:rsidR="002E10B5" w:rsidRDefault="002E10B5" w:rsidP="002E10B5">
      <w:pPr>
        <w:spacing w:after="1"/>
        <w:ind w:left="551" w:hanging="566"/>
        <w:rPr>
          <w:szCs w:val="24"/>
          <w:lang w:val="en-US"/>
        </w:rPr>
      </w:pPr>
    </w:p>
    <w:p w:rsidR="002E10B5" w:rsidRDefault="002E10B5" w:rsidP="002E10B5">
      <w:pPr>
        <w:spacing w:after="1"/>
        <w:ind w:left="551" w:hanging="566"/>
        <w:rPr>
          <w:szCs w:val="24"/>
        </w:rPr>
      </w:pPr>
      <w:r>
        <w:rPr>
          <w:szCs w:val="24"/>
        </w:rPr>
        <w:t xml:space="preserve">R.A.Day, Dr Jan Dan Al - Underwood. 2002. Analitik Kimia Kuantitatif. Jakarta:Erlangga.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693" w:hanging="708"/>
        <w:rPr>
          <w:szCs w:val="24"/>
        </w:rPr>
      </w:pPr>
      <w:r>
        <w:rPr>
          <w:szCs w:val="24"/>
        </w:rPr>
        <w:t xml:space="preserve">Rohman, A. (2007). </w:t>
      </w:r>
      <w:r>
        <w:rPr>
          <w:i/>
          <w:szCs w:val="24"/>
        </w:rPr>
        <w:t>Kimia Farmasi Analisis.</w:t>
      </w:r>
      <w:r>
        <w:rPr>
          <w:szCs w:val="24"/>
        </w:rPr>
        <w:t xml:space="preserve"> Pustaka Pelajar : Yogyakarta. Halaman 46-47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rPr>
          <w:szCs w:val="24"/>
        </w:rPr>
      </w:pPr>
      <w:r>
        <w:rPr>
          <w:szCs w:val="24"/>
        </w:rPr>
        <w:t xml:space="preserve">Sastrohamidjojo., Hardjono. 2005. </w:t>
      </w:r>
      <w:r>
        <w:rPr>
          <w:i/>
          <w:szCs w:val="24"/>
        </w:rPr>
        <w:t>Kimia Dasar</w:t>
      </w:r>
      <w:r>
        <w:rPr>
          <w:szCs w:val="24"/>
        </w:rPr>
        <w:t xml:space="preserve">. Yogyakarta : UNY Press 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Selimovic A., 2011. Direct spektrophotometric determination of l-ascorbic acid in pharmaceutical preparations using sodium oxale as a stabilizer. </w:t>
      </w:r>
      <w:r>
        <w:rPr>
          <w:i/>
          <w:szCs w:val="24"/>
        </w:rPr>
        <w:t>Department of analytical chemistry.</w:t>
      </w:r>
      <w:r>
        <w:rPr>
          <w:szCs w:val="24"/>
        </w:rPr>
        <w:t xml:space="preserve"> Faculty of technology, university of tuzla, international of basic and applied sciences.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61" w:hanging="576"/>
        <w:rPr>
          <w:szCs w:val="24"/>
        </w:rPr>
      </w:pPr>
      <w:r>
        <w:rPr>
          <w:szCs w:val="24"/>
        </w:rPr>
        <w:t xml:space="preserve">Sitorus M. 2009. </w:t>
      </w:r>
      <w:r>
        <w:rPr>
          <w:i/>
          <w:szCs w:val="24"/>
        </w:rPr>
        <w:t>Spektroskopi elusidasi struktur molekul organik</w:t>
      </w:r>
      <w:r>
        <w:rPr>
          <w:szCs w:val="24"/>
        </w:rPr>
        <w:t xml:space="preserve">. Yogyakarta: Graha Ilmu.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Skoog. D.A. 1996, </w:t>
      </w:r>
      <w:r>
        <w:rPr>
          <w:i/>
          <w:szCs w:val="24"/>
        </w:rPr>
        <w:t>Fundamental of Analytic Chemistry,</w:t>
      </w:r>
      <w:r>
        <w:rPr>
          <w:szCs w:val="24"/>
        </w:rPr>
        <w:t xml:space="preserve"> Seventh edition. USA: Saunders College Publishing. 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61" w:hanging="576"/>
        <w:rPr>
          <w:szCs w:val="24"/>
        </w:rPr>
      </w:pPr>
      <w:r>
        <w:rPr>
          <w:szCs w:val="24"/>
        </w:rPr>
        <w:t xml:space="preserve">Sunarni, T., Pramono, S., Asmah, R. 2007. </w:t>
      </w:r>
      <w:r>
        <w:rPr>
          <w:i/>
          <w:szCs w:val="24"/>
        </w:rPr>
        <w:t xml:space="preserve">Flavonoid Antioksidan Penangkap Radikal dari Daun Kepel.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i/>
          <w:szCs w:val="24"/>
        </w:rPr>
        <w:t xml:space="preserve"> </w:t>
      </w:r>
    </w:p>
    <w:p w:rsidR="002E10B5" w:rsidRDefault="002E10B5" w:rsidP="002E10B5">
      <w:pPr>
        <w:spacing w:after="0"/>
        <w:rPr>
          <w:szCs w:val="24"/>
        </w:rPr>
      </w:pPr>
      <w:r>
        <w:rPr>
          <w:szCs w:val="24"/>
        </w:rPr>
        <w:t xml:space="preserve">Syamssudin. 2013. </w:t>
      </w:r>
      <w:r>
        <w:rPr>
          <w:i/>
          <w:szCs w:val="24"/>
        </w:rPr>
        <w:t>Nutrasetikal.</w:t>
      </w:r>
      <w:r>
        <w:rPr>
          <w:szCs w:val="24"/>
        </w:rPr>
        <w:t xml:space="preserve"> Yogyakarta: Graha Ilmu.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Taylor, A. 1993. Relationships Between Nutrition and Oxidation. J. Am. Coll. Nutr. 12, 138-146.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t xml:space="preserve">Tehrani M, Chandran, S., Hossain, A. B. M. Sharif., Boyce, A. Nasrulhaq Postharvest physico-chemical and mechanical changes in jambu air (Syzygium aqueum Alston) fruits. </w:t>
      </w:r>
      <w:r>
        <w:rPr>
          <w:i/>
          <w:szCs w:val="24"/>
        </w:rPr>
        <w:t xml:space="preserve">Australian Jurnal of Crop Sciences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ind w:left="837" w:hanging="852"/>
        <w:rPr>
          <w:szCs w:val="24"/>
        </w:rPr>
      </w:pPr>
      <w:r>
        <w:rPr>
          <w:szCs w:val="24"/>
        </w:rPr>
        <w:t xml:space="preserve">Underwood A.L dan Day,R.A. (1986). </w:t>
      </w:r>
      <w:r>
        <w:rPr>
          <w:i/>
          <w:szCs w:val="24"/>
        </w:rPr>
        <w:t>Analisa Kimia Kuantitatif</w:t>
      </w:r>
      <w:r>
        <w:rPr>
          <w:szCs w:val="24"/>
        </w:rPr>
        <w:t xml:space="preserve">. EdisiV. Jakarta. Erlangga. </w:t>
      </w:r>
    </w:p>
    <w:p w:rsidR="002E10B5" w:rsidRDefault="002E10B5" w:rsidP="002E10B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0"/>
        <w:rPr>
          <w:szCs w:val="24"/>
        </w:rPr>
      </w:pPr>
      <w:r>
        <w:rPr>
          <w:szCs w:val="24"/>
        </w:rPr>
        <w:t xml:space="preserve">Winarti, Sri. 2010. </w:t>
      </w:r>
      <w:r>
        <w:rPr>
          <w:i/>
          <w:szCs w:val="24"/>
        </w:rPr>
        <w:t>Makanan Fungsional. Yogyakarta</w:t>
      </w:r>
      <w:r>
        <w:rPr>
          <w:szCs w:val="24"/>
        </w:rPr>
        <w:t xml:space="preserve">: Graha Ilmu </w:t>
      </w: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</w:p>
    <w:p w:rsidR="002E10B5" w:rsidRDefault="002E10B5" w:rsidP="002E10B5">
      <w:pPr>
        <w:spacing w:after="0"/>
        <w:ind w:left="551" w:hanging="566"/>
        <w:rPr>
          <w:szCs w:val="24"/>
          <w:lang w:val="en-US"/>
        </w:rPr>
      </w:pPr>
      <w:r>
        <w:rPr>
          <w:szCs w:val="24"/>
        </w:rPr>
        <w:t xml:space="preserve">Wijanarko., Simon Bambang. 2002. </w:t>
      </w:r>
      <w:r>
        <w:rPr>
          <w:i/>
          <w:szCs w:val="24"/>
        </w:rPr>
        <w:t>Analisis Hasil Pertanian</w:t>
      </w:r>
      <w:r>
        <w:rPr>
          <w:szCs w:val="24"/>
        </w:rPr>
        <w:t xml:space="preserve">. Malang : Universitas Brawijaya  </w:t>
      </w:r>
    </w:p>
    <w:p w:rsidR="002E10B5" w:rsidRDefault="002E10B5" w:rsidP="002E10B5">
      <w:pPr>
        <w:spacing w:after="0"/>
        <w:ind w:left="551" w:hanging="566"/>
        <w:rPr>
          <w:szCs w:val="24"/>
        </w:rPr>
      </w:pPr>
      <w:r>
        <w:rPr>
          <w:szCs w:val="24"/>
        </w:rPr>
        <w:lastRenderedPageBreak/>
        <w:t>Yamaguchi, T., Takamura, H., Matoba, T., Terao, J., 1998. HPLC Method for Evaluation of the Free Radicalscavenging Activity of Food by Using 1,1 Diphenyl-2- picrylhydrazyl. Biosci. Biotechnol. Biochem., 62 (6), 12011204.</w:t>
      </w:r>
      <w:r>
        <w:rPr>
          <w:b/>
          <w:szCs w:val="24"/>
        </w:rPr>
        <w:t xml:space="preserve"> </w:t>
      </w:r>
    </w:p>
    <w:p w:rsidR="002E10B5" w:rsidRDefault="002E10B5" w:rsidP="002E10B5">
      <w:pPr>
        <w:spacing w:after="274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274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274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E10B5" w:rsidRDefault="002E10B5" w:rsidP="002E10B5">
      <w:pPr>
        <w:spacing w:after="275" w:line="240" w:lineRule="auto"/>
        <w:ind w:left="0" w:firstLine="0"/>
        <w:jc w:val="left"/>
      </w:pPr>
      <w:r>
        <w:t xml:space="preserve"> </w:t>
      </w:r>
    </w:p>
    <w:p w:rsidR="002E10B5" w:rsidRDefault="002E10B5" w:rsidP="002E10B5">
      <w:pPr>
        <w:spacing w:after="274" w:line="240" w:lineRule="auto"/>
        <w:ind w:left="0" w:firstLine="0"/>
        <w:jc w:val="left"/>
      </w:pPr>
      <w:r>
        <w:t xml:space="preserve"> </w:t>
      </w:r>
    </w:p>
    <w:p w:rsidR="002E10B5" w:rsidRDefault="002E10B5" w:rsidP="002E10B5">
      <w:pPr>
        <w:spacing w:after="274" w:line="240" w:lineRule="auto"/>
        <w:ind w:left="0" w:firstLine="0"/>
        <w:jc w:val="left"/>
      </w:pPr>
      <w:r>
        <w:t xml:space="preserve"> </w:t>
      </w:r>
    </w:p>
    <w:p w:rsidR="002E10B5" w:rsidRDefault="002E10B5" w:rsidP="002E10B5">
      <w:pPr>
        <w:spacing w:after="274" w:line="240" w:lineRule="auto"/>
        <w:ind w:left="0" w:firstLine="0"/>
        <w:jc w:val="left"/>
      </w:pPr>
      <w:r>
        <w:t xml:space="preserve"> </w:t>
      </w:r>
    </w:p>
    <w:p w:rsidR="002E10B5" w:rsidRDefault="002E10B5" w:rsidP="002E10B5">
      <w:pPr>
        <w:spacing w:after="274" w:line="240" w:lineRule="auto"/>
        <w:ind w:left="0" w:firstLine="0"/>
        <w:jc w:val="left"/>
      </w:pPr>
      <w:r>
        <w:t xml:space="preserve"> </w:t>
      </w:r>
    </w:p>
    <w:p w:rsidR="002E10B5" w:rsidRDefault="002E10B5" w:rsidP="002E10B5">
      <w:pPr>
        <w:spacing w:after="281" w:line="240" w:lineRule="auto"/>
        <w:ind w:left="0" w:firstLine="0"/>
        <w:jc w:val="left"/>
      </w:pPr>
      <w:r>
        <w:t xml:space="preserve"> </w:t>
      </w:r>
    </w:p>
    <w:p w:rsidR="00B36F29" w:rsidRPr="002E10B5" w:rsidRDefault="00B36F29" w:rsidP="002E10B5"/>
    <w:sectPr w:rsidR="00B36F29" w:rsidRPr="002E1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28" w:rsidRDefault="00DD4C28">
      <w:pPr>
        <w:spacing w:after="0" w:line="240" w:lineRule="auto"/>
      </w:pPr>
      <w:r>
        <w:separator/>
      </w:r>
    </w:p>
  </w:endnote>
  <w:endnote w:type="continuationSeparator" w:id="0">
    <w:p w:rsidR="00DD4C28" w:rsidRDefault="00DD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pStyle w:val="Footer"/>
      <w:jc w:val="center"/>
    </w:pPr>
    <w:r>
      <w:rPr>
        <w:lang w:val="id-ID"/>
      </w:rPr>
      <w:t>53</w:t>
    </w:r>
  </w:p>
  <w:p w:rsidR="00B36F29" w:rsidRDefault="00B36F29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pStyle w:val="Footer"/>
      <w:tabs>
        <w:tab w:val="center" w:pos="3968"/>
        <w:tab w:val="left" w:pos="4575"/>
      </w:tabs>
      <w:rPr>
        <w:rFonts w:ascii="Times New Roman" w:hAnsi="Times New Roman"/>
        <w:sz w:val="24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28" w:rsidRDefault="00DD4C28">
      <w:pPr>
        <w:spacing w:after="0" w:line="240" w:lineRule="auto"/>
      </w:pPr>
      <w:r>
        <w:separator/>
      </w:r>
    </w:p>
  </w:footnote>
  <w:footnote w:type="continuationSeparator" w:id="0">
    <w:p w:rsidR="00DD4C28" w:rsidRDefault="00DD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2E10B5"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  <w:p w:rsidR="00B36F29" w:rsidRDefault="00B36F29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B4"/>
    <w:rsid w:val="00022821"/>
    <w:rsid w:val="00034369"/>
    <w:rsid w:val="00046537"/>
    <w:rsid w:val="000560BC"/>
    <w:rsid w:val="00064C1C"/>
    <w:rsid w:val="000958A4"/>
    <w:rsid w:val="000A1F9E"/>
    <w:rsid w:val="000A5522"/>
    <w:rsid w:val="000E7322"/>
    <w:rsid w:val="0014324A"/>
    <w:rsid w:val="00146F62"/>
    <w:rsid w:val="00160A1F"/>
    <w:rsid w:val="001976BE"/>
    <w:rsid w:val="001A225C"/>
    <w:rsid w:val="001D0989"/>
    <w:rsid w:val="001F0723"/>
    <w:rsid w:val="00203ACF"/>
    <w:rsid w:val="00267309"/>
    <w:rsid w:val="0029589E"/>
    <w:rsid w:val="002B7416"/>
    <w:rsid w:val="002D5583"/>
    <w:rsid w:val="002E10B5"/>
    <w:rsid w:val="00330E25"/>
    <w:rsid w:val="00343CF4"/>
    <w:rsid w:val="003448C2"/>
    <w:rsid w:val="003516F2"/>
    <w:rsid w:val="0037335F"/>
    <w:rsid w:val="003769FD"/>
    <w:rsid w:val="003B0176"/>
    <w:rsid w:val="003B2BBB"/>
    <w:rsid w:val="003B584B"/>
    <w:rsid w:val="003C584A"/>
    <w:rsid w:val="003F1CC1"/>
    <w:rsid w:val="0046509D"/>
    <w:rsid w:val="004A5D82"/>
    <w:rsid w:val="004D4B9A"/>
    <w:rsid w:val="004E0021"/>
    <w:rsid w:val="0051072E"/>
    <w:rsid w:val="00585BAF"/>
    <w:rsid w:val="00590DB9"/>
    <w:rsid w:val="006843BE"/>
    <w:rsid w:val="006D4073"/>
    <w:rsid w:val="006F208F"/>
    <w:rsid w:val="007102A9"/>
    <w:rsid w:val="0073094E"/>
    <w:rsid w:val="00760C1D"/>
    <w:rsid w:val="007F2C16"/>
    <w:rsid w:val="00804BF5"/>
    <w:rsid w:val="008167B7"/>
    <w:rsid w:val="00831C0E"/>
    <w:rsid w:val="00852740"/>
    <w:rsid w:val="00856F6F"/>
    <w:rsid w:val="008E738A"/>
    <w:rsid w:val="009C3113"/>
    <w:rsid w:val="009F33E5"/>
    <w:rsid w:val="00A015A7"/>
    <w:rsid w:val="00A97039"/>
    <w:rsid w:val="00AB14C9"/>
    <w:rsid w:val="00AB3286"/>
    <w:rsid w:val="00AB6BB9"/>
    <w:rsid w:val="00AB74D9"/>
    <w:rsid w:val="00B36F29"/>
    <w:rsid w:val="00B721C4"/>
    <w:rsid w:val="00B76750"/>
    <w:rsid w:val="00BB2C35"/>
    <w:rsid w:val="00BF734C"/>
    <w:rsid w:val="00C46D37"/>
    <w:rsid w:val="00C56917"/>
    <w:rsid w:val="00C63B88"/>
    <w:rsid w:val="00C65380"/>
    <w:rsid w:val="00C774AE"/>
    <w:rsid w:val="00C836D5"/>
    <w:rsid w:val="00C96C6B"/>
    <w:rsid w:val="00CE31BA"/>
    <w:rsid w:val="00D05E92"/>
    <w:rsid w:val="00D26B95"/>
    <w:rsid w:val="00D42ECB"/>
    <w:rsid w:val="00D57130"/>
    <w:rsid w:val="00DA055A"/>
    <w:rsid w:val="00DD4C28"/>
    <w:rsid w:val="00DF68AD"/>
    <w:rsid w:val="00E31AB4"/>
    <w:rsid w:val="00E91FA1"/>
    <w:rsid w:val="00E97357"/>
    <w:rsid w:val="00EA06F3"/>
    <w:rsid w:val="00EB443C"/>
    <w:rsid w:val="00ED25B5"/>
    <w:rsid w:val="00F53055"/>
    <w:rsid w:val="00F57988"/>
    <w:rsid w:val="00F71521"/>
    <w:rsid w:val="00F834C8"/>
    <w:rsid w:val="00FC0ABC"/>
    <w:rsid w:val="00FC0CEF"/>
    <w:rsid w:val="07D13758"/>
    <w:rsid w:val="0DDB5B8E"/>
    <w:rsid w:val="2B875800"/>
    <w:rsid w:val="2E0435BE"/>
    <w:rsid w:val="51984560"/>
    <w:rsid w:val="6E6F2497"/>
    <w:rsid w:val="70B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3" w:lineRule="auto"/>
      <w:ind w:left="-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8" w:line="243" w:lineRule="auto"/>
      <w:ind w:left="-5" w:hanging="10"/>
      <w:jc w:val="both"/>
      <w:outlineLvl w:val="0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after="267" w:line="243" w:lineRule="auto"/>
      <w:ind w:left="-5" w:hanging="10"/>
      <w:jc w:val="both"/>
      <w:outlineLvl w:val="4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after="267" w:line="243" w:lineRule="auto"/>
      <w:ind w:left="-5" w:hanging="10"/>
      <w:jc w:val="both"/>
      <w:outlineLvl w:val="5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after="244"/>
      <w:outlineLvl w:val="6"/>
    </w:pPr>
    <w:rPr>
      <w:rFonts w:ascii="Times New Roman" w:eastAsia="Times New Roman" w:hAnsi="Times New Roman"/>
      <w:b/>
      <w:color w:val="000000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ja-JP"/>
    </w:rPr>
  </w:style>
  <w:style w:type="character" w:customStyle="1" w:styleId="HeaderChar">
    <w:name w:val="Header Char"/>
    <w:link w:val="Header"/>
    <w:uiPriority w:val="99"/>
    <w:rPr>
      <w:lang w:val="en-US" w:eastAsia="ja-JP"/>
    </w:rPr>
  </w:style>
  <w:style w:type="paragraph" w:styleId="TOC1">
    <w:name w:val="toc 1"/>
    <w:next w:val="Normal"/>
    <w:uiPriority w:val="39"/>
    <w:qFormat/>
    <w:pPr>
      <w:spacing w:line="243" w:lineRule="auto"/>
      <w:ind w:left="25" w:right="1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TOC2">
    <w:name w:val="toc 2"/>
    <w:next w:val="Normal"/>
    <w:uiPriority w:val="39"/>
    <w:qFormat/>
    <w:pPr>
      <w:spacing w:after="314" w:line="242" w:lineRule="auto"/>
      <w:ind w:left="667" w:right="15" w:hanging="10"/>
      <w:jc w:val="center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rsid w:val="00D42ECB"/>
    <w:rPr>
      <w:rFonts w:eastAsia="Calibri"/>
      <w:sz w:val="22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843BE"/>
    <w:pPr>
      <w:spacing w:after="100"/>
      <w:ind w:left="480"/>
    </w:pPr>
  </w:style>
  <w:style w:type="character" w:styleId="Hyperlink">
    <w:name w:val="Hyperlink"/>
    <w:uiPriority w:val="99"/>
    <w:unhideWhenUsed/>
    <w:rsid w:val="006843BE"/>
    <w:rPr>
      <w:color w:val="0000FF"/>
      <w:u w:val="single"/>
    </w:rPr>
  </w:style>
  <w:style w:type="paragraph" w:customStyle="1" w:styleId="Default">
    <w:name w:val="Default"/>
    <w:rsid w:val="0073094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id-ID" w:eastAsia="id-ID"/>
    </w:rPr>
  </w:style>
  <w:style w:type="table" w:styleId="TableGrid0">
    <w:name w:val="Table Grid"/>
    <w:basedOn w:val="TableNormal"/>
    <w:uiPriority w:val="59"/>
    <w:rsid w:val="00E9735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357"/>
    <w:pP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97357"/>
    <w:pPr>
      <w:spacing w:after="100" w:line="276" w:lineRule="auto"/>
      <w:ind w:left="660" w:firstLine="0"/>
      <w:jc w:val="left"/>
    </w:pPr>
    <w:rPr>
      <w:rFonts w:ascii="Calibri" w:hAnsi="Calibr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97357"/>
    <w:pPr>
      <w:spacing w:after="100" w:line="276" w:lineRule="auto"/>
      <w:ind w:left="880" w:firstLine="0"/>
      <w:jc w:val="left"/>
    </w:pPr>
    <w:rPr>
      <w:rFonts w:ascii="Calibri" w:hAnsi="Calibr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97357"/>
    <w:pPr>
      <w:spacing w:after="100" w:line="276" w:lineRule="auto"/>
      <w:ind w:left="1100" w:firstLine="0"/>
      <w:jc w:val="left"/>
    </w:pPr>
    <w:rPr>
      <w:rFonts w:ascii="Calibri" w:hAnsi="Calibr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97357"/>
    <w:pPr>
      <w:spacing w:after="100" w:line="276" w:lineRule="auto"/>
      <w:ind w:left="1320" w:firstLine="0"/>
      <w:jc w:val="left"/>
    </w:pPr>
    <w:rPr>
      <w:rFonts w:ascii="Calibri" w:hAnsi="Calibr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97357"/>
    <w:pPr>
      <w:spacing w:after="100" w:line="276" w:lineRule="auto"/>
      <w:ind w:left="1540" w:firstLine="0"/>
      <w:jc w:val="left"/>
    </w:pPr>
    <w:rPr>
      <w:rFonts w:ascii="Calibri" w:hAnsi="Calibr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97357"/>
    <w:pPr>
      <w:spacing w:after="100" w:line="276" w:lineRule="auto"/>
      <w:ind w:left="1760" w:firstLine="0"/>
      <w:jc w:val="left"/>
    </w:pPr>
    <w:rPr>
      <w:rFonts w:ascii="Calibri" w:hAnsi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3" w:lineRule="auto"/>
      <w:ind w:left="-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8" w:line="243" w:lineRule="auto"/>
      <w:ind w:left="-5" w:hanging="10"/>
      <w:jc w:val="both"/>
      <w:outlineLvl w:val="0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after="267" w:line="243" w:lineRule="auto"/>
      <w:ind w:left="-5" w:hanging="10"/>
      <w:jc w:val="both"/>
      <w:outlineLvl w:val="4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after="267" w:line="243" w:lineRule="auto"/>
      <w:ind w:left="-5" w:hanging="10"/>
      <w:jc w:val="both"/>
      <w:outlineLvl w:val="5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after="244"/>
      <w:outlineLvl w:val="6"/>
    </w:pPr>
    <w:rPr>
      <w:rFonts w:ascii="Times New Roman" w:eastAsia="Times New Roman" w:hAnsi="Times New Roman"/>
      <w:b/>
      <w:color w:val="000000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ja-JP"/>
    </w:rPr>
  </w:style>
  <w:style w:type="character" w:customStyle="1" w:styleId="HeaderChar">
    <w:name w:val="Header Char"/>
    <w:link w:val="Header"/>
    <w:uiPriority w:val="99"/>
    <w:rPr>
      <w:lang w:val="en-US" w:eastAsia="ja-JP"/>
    </w:rPr>
  </w:style>
  <w:style w:type="paragraph" w:styleId="TOC1">
    <w:name w:val="toc 1"/>
    <w:next w:val="Normal"/>
    <w:uiPriority w:val="39"/>
    <w:qFormat/>
    <w:pPr>
      <w:spacing w:line="243" w:lineRule="auto"/>
      <w:ind w:left="25" w:right="1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TOC2">
    <w:name w:val="toc 2"/>
    <w:next w:val="Normal"/>
    <w:uiPriority w:val="39"/>
    <w:qFormat/>
    <w:pPr>
      <w:spacing w:after="314" w:line="242" w:lineRule="auto"/>
      <w:ind w:left="667" w:right="15" w:hanging="10"/>
      <w:jc w:val="center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rsid w:val="00D42ECB"/>
    <w:rPr>
      <w:rFonts w:eastAsia="Calibri"/>
      <w:sz w:val="22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843BE"/>
    <w:pPr>
      <w:spacing w:after="100"/>
      <w:ind w:left="480"/>
    </w:pPr>
  </w:style>
  <w:style w:type="character" w:styleId="Hyperlink">
    <w:name w:val="Hyperlink"/>
    <w:uiPriority w:val="99"/>
    <w:unhideWhenUsed/>
    <w:rsid w:val="006843BE"/>
    <w:rPr>
      <w:color w:val="0000FF"/>
      <w:u w:val="single"/>
    </w:rPr>
  </w:style>
  <w:style w:type="paragraph" w:customStyle="1" w:styleId="Default">
    <w:name w:val="Default"/>
    <w:rsid w:val="0073094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id-ID" w:eastAsia="id-ID"/>
    </w:rPr>
  </w:style>
  <w:style w:type="table" w:styleId="TableGrid0">
    <w:name w:val="Table Grid"/>
    <w:basedOn w:val="TableNormal"/>
    <w:uiPriority w:val="59"/>
    <w:rsid w:val="00E9735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357"/>
    <w:pP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97357"/>
    <w:pPr>
      <w:spacing w:after="100" w:line="276" w:lineRule="auto"/>
      <w:ind w:left="660" w:firstLine="0"/>
      <w:jc w:val="left"/>
    </w:pPr>
    <w:rPr>
      <w:rFonts w:ascii="Calibri" w:hAnsi="Calibr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97357"/>
    <w:pPr>
      <w:spacing w:after="100" w:line="276" w:lineRule="auto"/>
      <w:ind w:left="880" w:firstLine="0"/>
      <w:jc w:val="left"/>
    </w:pPr>
    <w:rPr>
      <w:rFonts w:ascii="Calibri" w:hAnsi="Calibr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97357"/>
    <w:pPr>
      <w:spacing w:after="100" w:line="276" w:lineRule="auto"/>
      <w:ind w:left="1100" w:firstLine="0"/>
      <w:jc w:val="left"/>
    </w:pPr>
    <w:rPr>
      <w:rFonts w:ascii="Calibri" w:hAnsi="Calibr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97357"/>
    <w:pPr>
      <w:spacing w:after="100" w:line="276" w:lineRule="auto"/>
      <w:ind w:left="1320" w:firstLine="0"/>
      <w:jc w:val="left"/>
    </w:pPr>
    <w:rPr>
      <w:rFonts w:ascii="Calibri" w:hAnsi="Calibr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97357"/>
    <w:pPr>
      <w:spacing w:after="100" w:line="276" w:lineRule="auto"/>
      <w:ind w:left="1540" w:firstLine="0"/>
      <w:jc w:val="left"/>
    </w:pPr>
    <w:rPr>
      <w:rFonts w:ascii="Calibri" w:hAnsi="Calibr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97357"/>
    <w:pPr>
      <w:spacing w:after="100" w:line="276" w:lineRule="auto"/>
      <w:ind w:left="1760" w:firstLine="0"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2021-11-05T21:37:00Z</cp:lastPrinted>
  <dcterms:created xsi:type="dcterms:W3CDTF">2021-11-08T04:36:00Z</dcterms:created>
  <dcterms:modified xsi:type="dcterms:W3CDTF">2021-11-08T04:36:00Z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65FDA5C9B640461F8CAB07754A5531FC</vt:lpwstr>
  </property>
</Properties>
</file>