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AE" w:rsidRPr="004B31C0" w:rsidRDefault="00B115AE" w:rsidP="00B115AE">
      <w:pPr>
        <w:spacing w:before="0" w:after="200" w:line="360" w:lineRule="auto"/>
        <w:ind w:left="0" w:righ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B31C0">
        <w:rPr>
          <w:rFonts w:asciiTheme="majorBidi" w:hAnsiTheme="majorBidi" w:cstheme="majorBidi"/>
          <w:b/>
          <w:bCs/>
          <w:sz w:val="28"/>
          <w:szCs w:val="28"/>
          <w:lang w:val="en-US"/>
        </w:rPr>
        <w:t>REFERENCES</w:t>
      </w:r>
    </w:p>
    <w:p w:rsidR="00B115AE" w:rsidRPr="004B31C0" w:rsidRDefault="00B115AE" w:rsidP="00B115AE">
      <w:pPr>
        <w:spacing w:before="0" w:after="200" w:line="360" w:lineRule="auto"/>
        <w:ind w:left="0" w:righ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115AE" w:rsidRPr="004B31C0" w:rsidRDefault="00B115AE" w:rsidP="00B115AE">
      <w:pPr>
        <w:spacing w:before="0" w:after="200" w:line="48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Arikunto, S. 2006: 142.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Prosedur Penelitian Suatu Pendekatan Praktik (Edisi Revisi VI)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Jakarta: Rineka Cipta.</w:t>
      </w:r>
    </w:p>
    <w:p w:rsidR="00B115AE" w:rsidRPr="004B31C0" w:rsidRDefault="00B115AE" w:rsidP="00B115AE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Azis, E. Aminuddin. 2004: 121.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Introduction to Linguistik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Jakarta: Diknas.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Brown, Gillian and Yule George. 2010: 276.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Teaching Spoken Language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London: Oxfoed.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Brown, H. D. 2004: 175.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Language Assesment, Principles and Classroom Practice,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Longman: Prentice Hallp America.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>Brown, 2001: 175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. Principle of Language Teaching and Learning.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Engelwood Cliffs NT: Prentice Hallp America.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Cameron, Lynne. 2001: 40.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Teaching Language to Young Learners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Cambridge University Press.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Depdiknas, 2006: 241.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Kurikulum Tingkat Satuan Pendidikan (KTSP).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Jakarta: Depdikbud.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Gay, L. R.2007: 143.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Education Research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New York: E. Merril Publishing and Howell Company.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Halliday, M. A. K. 2008: 267.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An Introduction to Functional Grammar Second Edition.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London: Edward Arnold.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Harmer, J. 2003: 223.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How to Teach English: An Introduction to the Practice of English Language Teaching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Harlow, Essex: Longman.</w:t>
      </w:r>
    </w:p>
    <w:p w:rsidR="00B115AE" w:rsidRPr="004B31C0" w:rsidRDefault="00B115AE" w:rsidP="00B115AE">
      <w:pPr>
        <w:spacing w:before="0" w:after="200" w:line="480" w:lineRule="auto"/>
        <w:ind w:left="0" w:righ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Harmer, J. 2007: 247.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How to Teach English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London: Longman.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Hornby, A. S. 2002: 57.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Oxford Advanced Learner’s Dictionary of Current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English Oxford, Oxford University Press.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Hughes, R. 2001: 73.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Teaching and Researching Speaking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London Person: Longman.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Jhonson, K. and Morrow, K. E. 2001: 128.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Communication in he Classroom Handbooks for Teacher’ Series.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London: Longman.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Khamkhien, A. 2010: 237.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Thai Learners’ English Pronounciation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Competence: Lessons Learned From Word Stress Assigments. Journal of Language Teaching and Research, 1 (6), 757-764.</w:t>
      </w:r>
    </w:p>
    <w:p w:rsidR="00B115AE" w:rsidRPr="004B31C0" w:rsidRDefault="00B115AE" w:rsidP="00B115AE">
      <w:pPr>
        <w:spacing w:before="0" w:after="200" w:line="240" w:lineRule="auto"/>
        <w:ind w:left="630" w:right="0" w:hanging="63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Marhijanto, Drs. Bambang. 2001: 1.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Retorika M C &amp; Pidato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Surabaya: Terbit Terang.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Mulyana, Yayan. G. H. 2008: 67.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A Practical Guide English for Speaking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Jakarta: Visipro.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Nunan, D. 2003: 216.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Practical English Language Teaching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New York: Mc Gravo Hill.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lastRenderedPageBreak/>
        <w:t>Nunan, David. 2006: 156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. Second Language Teaching and Learning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Boston, Massachusetts. Heinle &amp; Heinle Publishers.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Razmjoo, S. A., &amp; Ardekani, S. G 2011: 172.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A Model Speaking Strstegeis for EFL Learners.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 The Journal of Teaching Language Skills (JTLS), 3(3), 115-142.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Robin 2013: 57.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What is Language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Retrieved From http: 1/Languange.worldcomputing.net/Linguistics/Introduction/What.is Language. Html. Visited on October 2017.</w:t>
      </w:r>
    </w:p>
    <w:p w:rsidR="00B115AE" w:rsidRPr="004B31C0" w:rsidRDefault="00B115AE" w:rsidP="00B115AE">
      <w:pPr>
        <w:spacing w:before="0" w:after="200" w:line="240" w:lineRule="auto"/>
        <w:ind w:left="720" w:right="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>Rohani. 2012: 21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. Improving Speaking Achievement Through Speech Delivery by Using Memorizing Method of the Second Year Students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115AE" w:rsidRDefault="00B115AE" w:rsidP="00B115AE">
      <w:pPr>
        <w:spacing w:before="0" w:after="200" w:line="240" w:lineRule="auto"/>
        <w:ind w:left="810" w:right="0" w:hanging="810"/>
        <w:rPr>
          <w:rFonts w:asciiTheme="majorBidi" w:hAnsiTheme="majorBidi" w:cstheme="majorBidi"/>
          <w:sz w:val="24"/>
          <w:szCs w:val="24"/>
          <w:lang w:val="en-US"/>
        </w:rPr>
      </w:pPr>
      <w:r w:rsidRPr="004B31C0">
        <w:rPr>
          <w:rFonts w:asciiTheme="majorBidi" w:hAnsiTheme="majorBidi" w:cstheme="majorBidi"/>
          <w:sz w:val="24"/>
          <w:szCs w:val="24"/>
          <w:lang w:val="en-US"/>
        </w:rPr>
        <w:t xml:space="preserve">Yule in Searle 2002: 47, </w:t>
      </w:r>
      <w:r w:rsidRPr="004B31C0">
        <w:rPr>
          <w:rFonts w:asciiTheme="majorBidi" w:hAnsiTheme="majorBidi" w:cstheme="majorBidi"/>
          <w:i/>
          <w:iCs/>
          <w:sz w:val="24"/>
          <w:szCs w:val="24"/>
          <w:lang w:val="en-US"/>
        </w:rPr>
        <w:t>Speech act is the Action Performed</w:t>
      </w:r>
      <w:r w:rsidRPr="004B31C0">
        <w:rPr>
          <w:rFonts w:asciiTheme="majorBidi" w:hAnsiTheme="majorBidi" w:cstheme="majorBidi"/>
          <w:sz w:val="24"/>
          <w:szCs w:val="24"/>
          <w:lang w:val="en-US"/>
        </w:rPr>
        <w:t>. New York: Oxford University Press.</w:t>
      </w:r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AE"/>
    <w:rsid w:val="005538F7"/>
    <w:rsid w:val="0075617A"/>
    <w:rsid w:val="007E62CF"/>
    <w:rsid w:val="00902B5E"/>
    <w:rsid w:val="00932F35"/>
    <w:rsid w:val="00B115AE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AE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AE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2020-09-08T06:47:00Z</dcterms:created>
  <dcterms:modified xsi:type="dcterms:W3CDTF">2020-09-08T06:47:00Z</dcterms:modified>
</cp:coreProperties>
</file>