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5" w:rsidRDefault="003058E5" w:rsidP="003058E5">
      <w:pPr>
        <w:pStyle w:val="Heading1"/>
        <w:spacing w:before="219"/>
        <w:ind w:left="3442" w:right="0"/>
        <w:jc w:val="left"/>
      </w:pPr>
      <w:r>
        <w:t>DAFTAR PUSTAKA</w:t>
      </w:r>
    </w:p>
    <w:p w:rsidR="003058E5" w:rsidRDefault="003058E5" w:rsidP="003058E5">
      <w:pPr>
        <w:pStyle w:val="BodyText"/>
        <w:rPr>
          <w:b/>
          <w:sz w:val="20"/>
        </w:rPr>
      </w:pPr>
    </w:p>
    <w:p w:rsidR="003058E5" w:rsidRDefault="003058E5" w:rsidP="003058E5">
      <w:pPr>
        <w:pStyle w:val="BodyText"/>
        <w:rPr>
          <w:b/>
          <w:sz w:val="20"/>
        </w:rPr>
      </w:pPr>
    </w:p>
    <w:p w:rsidR="003058E5" w:rsidRDefault="003058E5" w:rsidP="003058E5">
      <w:pPr>
        <w:pStyle w:val="BodyText"/>
        <w:spacing w:before="2"/>
        <w:rPr>
          <w:b/>
          <w:sz w:val="29"/>
        </w:rPr>
      </w:pPr>
    </w:p>
    <w:p w:rsidR="003058E5" w:rsidRDefault="003058E5" w:rsidP="003058E5">
      <w:pPr>
        <w:pStyle w:val="Heading2"/>
        <w:numPr>
          <w:ilvl w:val="0"/>
          <w:numId w:val="1"/>
        </w:numPr>
        <w:tabs>
          <w:tab w:val="left" w:pos="1040"/>
          <w:tab w:val="left" w:pos="1041"/>
        </w:tabs>
        <w:spacing w:before="90"/>
        <w:ind w:hanging="451"/>
      </w:pPr>
      <w:proofErr w:type="spellStart"/>
      <w:r>
        <w:t>Sumber</w:t>
      </w:r>
      <w:proofErr w:type="spellEnd"/>
      <w:r>
        <w:rPr>
          <w:spacing w:val="-2"/>
        </w:rPr>
        <w:t xml:space="preserve"> </w:t>
      </w:r>
      <w:proofErr w:type="spellStart"/>
      <w:r>
        <w:t>Buku</w:t>
      </w:r>
      <w:proofErr w:type="spellEnd"/>
      <w:r>
        <w:t>:</w:t>
      </w:r>
    </w:p>
    <w:p w:rsidR="003058E5" w:rsidRDefault="003058E5" w:rsidP="003058E5">
      <w:pPr>
        <w:pStyle w:val="BodyText"/>
        <w:rPr>
          <w:b/>
          <w:sz w:val="26"/>
        </w:rPr>
      </w:pPr>
    </w:p>
    <w:p w:rsidR="003058E5" w:rsidRDefault="003058E5" w:rsidP="003058E5">
      <w:pPr>
        <w:pStyle w:val="BodyText"/>
        <w:rPr>
          <w:b/>
          <w:sz w:val="26"/>
        </w:rPr>
      </w:pPr>
    </w:p>
    <w:p w:rsidR="003058E5" w:rsidRDefault="003058E5" w:rsidP="003058E5">
      <w:pPr>
        <w:pStyle w:val="BodyText"/>
        <w:spacing w:before="7"/>
        <w:rPr>
          <w:b/>
          <w:sz w:val="20"/>
        </w:rPr>
      </w:pPr>
    </w:p>
    <w:p w:rsidR="003058E5" w:rsidRDefault="003058E5" w:rsidP="003058E5">
      <w:pPr>
        <w:spacing w:line="242" w:lineRule="auto"/>
        <w:ind w:left="590" w:right="114"/>
        <w:jc w:val="both"/>
        <w:rPr>
          <w:i/>
          <w:sz w:val="24"/>
        </w:rPr>
      </w:pPr>
      <w:r>
        <w:rPr>
          <w:sz w:val="24"/>
        </w:rPr>
        <w:t xml:space="preserve">Ahmad </w:t>
      </w:r>
      <w:proofErr w:type="spellStart"/>
      <w:r>
        <w:rPr>
          <w:sz w:val="24"/>
        </w:rPr>
        <w:t>Wasono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Munawir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Almunawir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Besar</w:t>
      </w:r>
      <w:proofErr w:type="spellEnd"/>
      <w:r>
        <w:rPr>
          <w:i/>
          <w:sz w:val="24"/>
        </w:rPr>
        <w:t xml:space="preserve"> Indonesia</w:t>
      </w:r>
      <w:r>
        <w:rPr>
          <w:sz w:val="24"/>
        </w:rPr>
        <w:t>, (Surabaya: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Progresif</w:t>
      </w:r>
      <w:proofErr w:type="spellEnd"/>
      <w:r>
        <w:rPr>
          <w:sz w:val="24"/>
        </w:rPr>
        <w:t xml:space="preserve">, 1997), </w:t>
      </w:r>
      <w:r>
        <w:rPr>
          <w:i/>
          <w:sz w:val="24"/>
        </w:rPr>
        <w:t>Cet. Ke-14, h.681</w:t>
      </w:r>
    </w:p>
    <w:p w:rsidR="003058E5" w:rsidRDefault="003058E5" w:rsidP="003058E5">
      <w:pPr>
        <w:pStyle w:val="BodyText"/>
        <w:spacing w:before="6"/>
        <w:rPr>
          <w:i/>
        </w:rPr>
      </w:pPr>
    </w:p>
    <w:p w:rsidR="003058E5" w:rsidRDefault="003058E5" w:rsidP="003058E5">
      <w:pPr>
        <w:spacing w:before="1" w:line="242" w:lineRule="auto"/>
        <w:ind w:left="590" w:right="113"/>
        <w:jc w:val="both"/>
        <w:rPr>
          <w:i/>
          <w:sz w:val="24"/>
        </w:rPr>
      </w:pPr>
      <w:r>
        <w:rPr>
          <w:sz w:val="24"/>
        </w:rPr>
        <w:t xml:space="preserve">Amir </w:t>
      </w:r>
      <w:proofErr w:type="spellStart"/>
      <w:r>
        <w:rPr>
          <w:sz w:val="24"/>
        </w:rPr>
        <w:t>Syarifuddin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Perkawinan</w:t>
      </w:r>
      <w:proofErr w:type="spellEnd"/>
      <w:r>
        <w:rPr>
          <w:i/>
          <w:sz w:val="24"/>
        </w:rPr>
        <w:t xml:space="preserve"> Islam di Indonesia, “</w:t>
      </w:r>
      <w:proofErr w:type="spellStart"/>
      <w:r>
        <w:rPr>
          <w:i/>
          <w:sz w:val="24"/>
        </w:rPr>
        <w:t>Antara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Fikih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Munakahat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Undang-Undang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Perkawinan</w:t>
      </w:r>
      <w:proofErr w:type="spellEnd"/>
      <w:r>
        <w:rPr>
          <w:sz w:val="24"/>
        </w:rPr>
        <w:t xml:space="preserve">”, (Jakarta, </w:t>
      </w:r>
      <w:proofErr w:type="spellStart"/>
      <w:r>
        <w:rPr>
          <w:sz w:val="24"/>
        </w:rPr>
        <w:t>Kencana</w:t>
      </w:r>
      <w:proofErr w:type="spellEnd"/>
      <w:r>
        <w:rPr>
          <w:sz w:val="24"/>
        </w:rPr>
        <w:t xml:space="preserve">: 2006), </w:t>
      </w:r>
      <w:proofErr w:type="spellStart"/>
      <w:r>
        <w:rPr>
          <w:i/>
          <w:sz w:val="24"/>
        </w:rPr>
        <w:t>Cet.Ke</w:t>
      </w:r>
      <w:proofErr w:type="spellEnd"/>
      <w:r>
        <w:rPr>
          <w:i/>
          <w:sz w:val="24"/>
        </w:rPr>
        <w:t>- 1, h. 327-328.</w:t>
      </w:r>
    </w:p>
    <w:p w:rsidR="003058E5" w:rsidRDefault="003058E5" w:rsidP="003058E5">
      <w:pPr>
        <w:pStyle w:val="BodyText"/>
        <w:spacing w:before="8"/>
        <w:rPr>
          <w:i/>
        </w:rPr>
      </w:pPr>
    </w:p>
    <w:p w:rsidR="003058E5" w:rsidRDefault="003058E5" w:rsidP="003058E5">
      <w:pPr>
        <w:ind w:left="590"/>
        <w:rPr>
          <w:i/>
          <w:sz w:val="24"/>
        </w:rPr>
      </w:pPr>
      <w:proofErr w:type="spellStart"/>
      <w:r>
        <w:rPr>
          <w:sz w:val="24"/>
        </w:rPr>
        <w:t>Balson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Dampak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Perceraian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 xml:space="preserve"> (1999), h. 18</w:t>
      </w:r>
    </w:p>
    <w:p w:rsidR="003058E5" w:rsidRDefault="003058E5" w:rsidP="003058E5">
      <w:pPr>
        <w:pStyle w:val="BodyText"/>
        <w:spacing w:before="8"/>
        <w:rPr>
          <w:i/>
        </w:rPr>
      </w:pPr>
    </w:p>
    <w:p w:rsidR="003058E5" w:rsidRDefault="003058E5" w:rsidP="003058E5">
      <w:pPr>
        <w:ind w:left="590"/>
        <w:rPr>
          <w:sz w:val="24"/>
        </w:rPr>
      </w:pPr>
      <w:proofErr w:type="spellStart"/>
      <w:r>
        <w:rPr>
          <w:sz w:val="24"/>
        </w:rPr>
        <w:t>Farid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 ,</w:t>
      </w:r>
      <w:proofErr w:type="spellStart"/>
      <w:r>
        <w:rPr>
          <w:i/>
          <w:sz w:val="24"/>
        </w:rPr>
        <w:t>Konvensi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(Jakarta: </w:t>
      </w:r>
      <w:proofErr w:type="spellStart"/>
      <w:r>
        <w:rPr>
          <w:sz w:val="24"/>
        </w:rPr>
        <w:t>Unicef</w:t>
      </w:r>
      <w:proofErr w:type="spellEnd"/>
      <w:r>
        <w:rPr>
          <w:sz w:val="24"/>
        </w:rPr>
        <w:t>, 2007).</w:t>
      </w:r>
    </w:p>
    <w:p w:rsidR="003058E5" w:rsidRDefault="003058E5" w:rsidP="003058E5">
      <w:pPr>
        <w:pStyle w:val="BodyText"/>
        <w:spacing w:before="8"/>
      </w:pPr>
    </w:p>
    <w:p w:rsidR="003058E5" w:rsidRDefault="003058E5" w:rsidP="003058E5">
      <w:pPr>
        <w:tabs>
          <w:tab w:val="left" w:pos="1751"/>
          <w:tab w:val="left" w:pos="2935"/>
          <w:tab w:val="left" w:pos="3820"/>
          <w:tab w:val="left" w:pos="5344"/>
          <w:tab w:val="left" w:pos="6233"/>
          <w:tab w:val="left" w:pos="7343"/>
        </w:tabs>
        <w:ind w:left="590" w:right="98"/>
        <w:rPr>
          <w:sz w:val="24"/>
        </w:rPr>
      </w:pPr>
      <w:proofErr w:type="spellStart"/>
      <w:r>
        <w:rPr>
          <w:sz w:val="24"/>
        </w:rPr>
        <w:t>Irwanto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Akhir</w:t>
      </w:r>
      <w:proofErr w:type="spellEnd"/>
      <w:r>
        <w:rPr>
          <w:i/>
          <w:sz w:val="24"/>
        </w:rPr>
        <w:tab/>
        <w:t>Background</w:t>
      </w:r>
      <w:r>
        <w:rPr>
          <w:i/>
          <w:sz w:val="24"/>
        </w:rPr>
        <w:tab/>
        <w:t>Study</w:t>
      </w:r>
      <w:r>
        <w:rPr>
          <w:i/>
          <w:sz w:val="24"/>
        </w:rPr>
        <w:tab/>
        <w:t>RPJMN</w:t>
      </w:r>
      <w:r>
        <w:rPr>
          <w:i/>
          <w:sz w:val="24"/>
        </w:rPr>
        <w:tab/>
        <w:t>2015—201</w:t>
      </w:r>
      <w:r>
        <w:rPr>
          <w:sz w:val="24"/>
        </w:rPr>
        <w:t>9 (</w:t>
      </w:r>
      <w:proofErr w:type="spellStart"/>
      <w:r>
        <w:rPr>
          <w:sz w:val="24"/>
        </w:rPr>
        <w:t>Jakarta</w:t>
      </w:r>
      <w:proofErr w:type="gramStart"/>
      <w:r>
        <w:rPr>
          <w:sz w:val="24"/>
        </w:rPr>
        <w:t>:Bappenas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2014).</w:t>
      </w:r>
    </w:p>
    <w:p w:rsidR="003058E5" w:rsidRDefault="003058E5" w:rsidP="003058E5">
      <w:pPr>
        <w:pStyle w:val="BodyText"/>
        <w:spacing w:before="1"/>
        <w:rPr>
          <w:sz w:val="25"/>
        </w:rPr>
      </w:pPr>
    </w:p>
    <w:p w:rsidR="003058E5" w:rsidRDefault="003058E5" w:rsidP="003058E5">
      <w:pPr>
        <w:spacing w:line="242" w:lineRule="auto"/>
        <w:ind w:left="590" w:right="709"/>
        <w:rPr>
          <w:i/>
          <w:sz w:val="24"/>
        </w:rPr>
      </w:pPr>
      <w:proofErr w:type="spellStart"/>
      <w:r>
        <w:rPr>
          <w:sz w:val="24"/>
        </w:rPr>
        <w:t>Jamil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Latif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Aneka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Perceraian</w:t>
      </w:r>
      <w:proofErr w:type="spellEnd"/>
      <w:r>
        <w:rPr>
          <w:sz w:val="24"/>
        </w:rPr>
        <w:t xml:space="preserve">, (Jakarta: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Indonesia), </w:t>
      </w:r>
      <w:r>
        <w:rPr>
          <w:i/>
          <w:sz w:val="24"/>
        </w:rPr>
        <w:t>Cet.2, h. 30.</w:t>
      </w:r>
    </w:p>
    <w:p w:rsidR="003058E5" w:rsidRDefault="003058E5" w:rsidP="003058E5">
      <w:pPr>
        <w:pStyle w:val="BodyText"/>
        <w:rPr>
          <w:i/>
          <w:sz w:val="25"/>
        </w:rPr>
      </w:pPr>
    </w:p>
    <w:p w:rsidR="003058E5" w:rsidRDefault="003058E5" w:rsidP="003058E5">
      <w:pPr>
        <w:spacing w:line="242" w:lineRule="auto"/>
        <w:ind w:left="590" w:right="116"/>
        <w:jc w:val="both"/>
        <w:rPr>
          <w:i/>
          <w:sz w:val="24"/>
        </w:rPr>
      </w:pPr>
      <w:proofErr w:type="spellStart"/>
      <w:r>
        <w:rPr>
          <w:sz w:val="24"/>
        </w:rPr>
        <w:t>Nurul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Fadhlilah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Skripsi</w:t>
      </w:r>
      <w:proofErr w:type="spellEnd"/>
      <w:r>
        <w:rPr>
          <w:i/>
          <w:sz w:val="24"/>
        </w:rPr>
        <w:t>: “</w:t>
      </w:r>
      <w:proofErr w:type="spellStart"/>
      <w:r>
        <w:rPr>
          <w:i/>
          <w:sz w:val="24"/>
        </w:rPr>
        <w:t>Faktor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Faktor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Penyebab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Perceraian</w:t>
      </w:r>
      <w:proofErr w:type="spellEnd"/>
      <w:r>
        <w:rPr>
          <w:i/>
          <w:sz w:val="24"/>
        </w:rPr>
        <w:t>(</w:t>
      </w:r>
      <w:proofErr w:type="spellStart"/>
      <w:proofErr w:type="gramEnd"/>
      <w:r>
        <w:rPr>
          <w:i/>
          <w:sz w:val="24"/>
        </w:rPr>
        <w:t>Studi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Perceraian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Desa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Batur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Kec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Getasan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Semarang</w:t>
      </w:r>
      <w:proofErr w:type="gramStart"/>
      <w:r>
        <w:rPr>
          <w:i/>
          <w:sz w:val="24"/>
        </w:rPr>
        <w:t>:STAIN</w:t>
      </w:r>
      <w:proofErr w:type="spellEnd"/>
      <w:proofErr w:type="gramEnd"/>
      <w:r>
        <w:rPr>
          <w:i/>
          <w:sz w:val="24"/>
        </w:rPr>
        <w:t xml:space="preserve"> Salatiga,2013), h.66</w:t>
      </w:r>
    </w:p>
    <w:p w:rsidR="003058E5" w:rsidRDefault="003058E5" w:rsidP="003058E5">
      <w:pPr>
        <w:pStyle w:val="BodyText"/>
        <w:spacing w:before="3"/>
        <w:rPr>
          <w:i/>
        </w:rPr>
      </w:pPr>
    </w:p>
    <w:p w:rsidR="003058E5" w:rsidRDefault="003058E5" w:rsidP="003058E5">
      <w:pPr>
        <w:spacing w:line="242" w:lineRule="auto"/>
        <w:ind w:left="590" w:right="105"/>
        <w:jc w:val="both"/>
        <w:rPr>
          <w:i/>
          <w:sz w:val="24"/>
        </w:rPr>
      </w:pPr>
      <w:proofErr w:type="spellStart"/>
      <w:r>
        <w:rPr>
          <w:sz w:val="24"/>
        </w:rPr>
        <w:t>Peranan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Perlindungan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No 35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2014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Perlindungan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Komisi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 xml:space="preserve"> Indonesia </w:t>
      </w:r>
      <w:proofErr w:type="spellStart"/>
      <w:r>
        <w:rPr>
          <w:i/>
          <w:sz w:val="24"/>
        </w:rPr>
        <w:t>Provinsi</w:t>
      </w:r>
      <w:proofErr w:type="spellEnd"/>
      <w:r>
        <w:rPr>
          <w:i/>
          <w:sz w:val="24"/>
        </w:rPr>
        <w:t xml:space="preserve"> Sumatera Utara)</w:t>
      </w:r>
      <w:proofErr w:type="gramStart"/>
      <w:r>
        <w:rPr>
          <w:i/>
          <w:sz w:val="24"/>
        </w:rPr>
        <w:t>,2008</w:t>
      </w:r>
      <w:proofErr w:type="gramEnd"/>
      <w:r>
        <w:rPr>
          <w:i/>
          <w:sz w:val="24"/>
        </w:rPr>
        <w:t>. USU Repository 2009</w:t>
      </w:r>
    </w:p>
    <w:p w:rsidR="003058E5" w:rsidRDefault="003058E5" w:rsidP="003058E5">
      <w:pPr>
        <w:pStyle w:val="BodyText"/>
        <w:spacing w:before="3"/>
        <w:rPr>
          <w:i/>
        </w:rPr>
      </w:pPr>
    </w:p>
    <w:p w:rsidR="003058E5" w:rsidRDefault="003058E5" w:rsidP="003058E5">
      <w:pPr>
        <w:spacing w:line="242" w:lineRule="auto"/>
        <w:ind w:left="590" w:right="112"/>
        <w:jc w:val="both"/>
        <w:rPr>
          <w:i/>
          <w:sz w:val="24"/>
        </w:rPr>
      </w:pPr>
      <w:r>
        <w:rPr>
          <w:sz w:val="24"/>
        </w:rPr>
        <w:t xml:space="preserve">Prof. H. </w:t>
      </w:r>
      <w:proofErr w:type="spellStart"/>
      <w:r>
        <w:rPr>
          <w:sz w:val="24"/>
        </w:rPr>
        <w:t>Hilman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Hadikusuma</w:t>
      </w:r>
      <w:proofErr w:type="spellEnd"/>
      <w:r>
        <w:rPr>
          <w:sz w:val="24"/>
        </w:rPr>
        <w:t xml:space="preserve">, S.H,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Perkawinan</w:t>
      </w:r>
      <w:proofErr w:type="spellEnd"/>
      <w:r>
        <w:rPr>
          <w:i/>
          <w:sz w:val="24"/>
        </w:rPr>
        <w:t xml:space="preserve"> Indonesia </w:t>
      </w:r>
      <w:proofErr w:type="spellStart"/>
      <w:r>
        <w:rPr>
          <w:i/>
          <w:sz w:val="24"/>
        </w:rPr>
        <w:t>Menurut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Perundangan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Agama </w:t>
      </w:r>
      <w:proofErr w:type="gramStart"/>
      <w:r>
        <w:rPr>
          <w:i/>
          <w:sz w:val="24"/>
        </w:rPr>
        <w:t xml:space="preserve">( </w:t>
      </w:r>
      <w:r>
        <w:rPr>
          <w:sz w:val="24"/>
        </w:rPr>
        <w:t>Bandung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Mandar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Maju</w:t>
      </w:r>
      <w:proofErr w:type="spellEnd"/>
      <w:r>
        <w:rPr>
          <w:sz w:val="24"/>
        </w:rPr>
        <w:t>, 2007</w:t>
      </w:r>
      <w:r>
        <w:rPr>
          <w:i/>
          <w:sz w:val="24"/>
        </w:rPr>
        <w:t xml:space="preserve">), </w:t>
      </w:r>
      <w:proofErr w:type="spellStart"/>
      <w:r>
        <w:rPr>
          <w:i/>
          <w:sz w:val="24"/>
        </w:rPr>
        <w:t>hal</w:t>
      </w:r>
      <w:proofErr w:type="spellEnd"/>
      <w:r>
        <w:rPr>
          <w:i/>
          <w:sz w:val="24"/>
        </w:rPr>
        <w:t xml:space="preserve"> 133</w:t>
      </w:r>
    </w:p>
    <w:p w:rsidR="003058E5" w:rsidRDefault="003058E5" w:rsidP="003058E5">
      <w:pPr>
        <w:pStyle w:val="BodyText"/>
        <w:spacing w:before="9"/>
        <w:rPr>
          <w:i/>
        </w:rPr>
      </w:pPr>
    </w:p>
    <w:p w:rsidR="003058E5" w:rsidRDefault="003058E5" w:rsidP="003058E5">
      <w:pPr>
        <w:ind w:left="590"/>
        <w:rPr>
          <w:i/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Subekti</w:t>
      </w:r>
      <w:proofErr w:type="spellEnd"/>
      <w:r>
        <w:rPr>
          <w:sz w:val="24"/>
        </w:rPr>
        <w:t xml:space="preserve">, SH, </w:t>
      </w:r>
      <w:proofErr w:type="spellStart"/>
      <w:r>
        <w:rPr>
          <w:i/>
          <w:sz w:val="24"/>
        </w:rPr>
        <w:t>Pokok-Pokok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Perdata</w:t>
      </w:r>
      <w:proofErr w:type="spellEnd"/>
      <w:r>
        <w:rPr>
          <w:sz w:val="24"/>
        </w:rPr>
        <w:t xml:space="preserve">, (Jakarta: </w:t>
      </w:r>
      <w:proofErr w:type="spellStart"/>
      <w:r>
        <w:rPr>
          <w:sz w:val="24"/>
        </w:rPr>
        <w:t>Internusa</w:t>
      </w:r>
      <w:proofErr w:type="spellEnd"/>
      <w:r>
        <w:rPr>
          <w:sz w:val="24"/>
        </w:rPr>
        <w:t xml:space="preserve">, 1994), </w:t>
      </w:r>
      <w:r>
        <w:rPr>
          <w:i/>
          <w:sz w:val="24"/>
        </w:rPr>
        <w:t>Cet. XXVI, h. 42</w:t>
      </w: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rPr>
          <w:i/>
          <w:sz w:val="20"/>
        </w:rPr>
      </w:pPr>
    </w:p>
    <w:p w:rsidR="003058E5" w:rsidRDefault="003058E5" w:rsidP="003058E5">
      <w:pPr>
        <w:pStyle w:val="BodyText"/>
        <w:spacing w:before="6"/>
        <w:rPr>
          <w:i/>
          <w:sz w:val="17"/>
        </w:rPr>
      </w:pPr>
    </w:p>
    <w:p w:rsidR="003058E5" w:rsidRDefault="003058E5" w:rsidP="003058E5">
      <w:pPr>
        <w:spacing w:before="91"/>
        <w:ind w:left="4430" w:right="3940"/>
        <w:jc w:val="center"/>
      </w:pPr>
      <w:r>
        <w:t>69</w:t>
      </w:r>
    </w:p>
    <w:p w:rsidR="003058E5" w:rsidRDefault="003058E5" w:rsidP="003058E5">
      <w:pPr>
        <w:jc w:val="center"/>
        <w:sectPr w:rsidR="003058E5">
          <w:headerReference w:type="default" r:id="rId6"/>
          <w:pgSz w:w="11910" w:h="16840"/>
          <w:pgMar w:top="1600" w:right="1600" w:bottom="280" w:left="1680" w:header="0" w:footer="0" w:gutter="0"/>
          <w:cols w:space="720"/>
        </w:sect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spacing w:before="9"/>
        <w:rPr>
          <w:sz w:val="15"/>
        </w:rPr>
      </w:pPr>
    </w:p>
    <w:p w:rsidR="003058E5" w:rsidRDefault="003058E5" w:rsidP="003058E5">
      <w:pPr>
        <w:spacing w:before="90" w:line="273" w:lineRule="auto"/>
        <w:ind w:left="590" w:right="98"/>
        <w:rPr>
          <w:i/>
          <w:sz w:val="24"/>
        </w:rPr>
      </w:pPr>
      <w:proofErr w:type="spellStart"/>
      <w:r>
        <w:rPr>
          <w:sz w:val="24"/>
        </w:rPr>
        <w:t>Sayyid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Sabiq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Fikih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sunnah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( Beirut</w:t>
      </w:r>
      <w:proofErr w:type="gramEnd"/>
      <w:r>
        <w:rPr>
          <w:sz w:val="24"/>
        </w:rPr>
        <w:t>, Dar al-</w:t>
      </w:r>
      <w:proofErr w:type="spellStart"/>
      <w:r>
        <w:rPr>
          <w:sz w:val="24"/>
        </w:rPr>
        <w:t>kitab</w:t>
      </w:r>
      <w:proofErr w:type="spellEnd"/>
      <w:r>
        <w:rPr>
          <w:sz w:val="24"/>
        </w:rPr>
        <w:t xml:space="preserve"> al –Farabi,1973</w:t>
      </w:r>
      <w:r>
        <w:rPr>
          <w:i/>
          <w:sz w:val="24"/>
        </w:rPr>
        <w:t xml:space="preserve">), </w:t>
      </w:r>
      <w:proofErr w:type="spellStart"/>
      <w:r>
        <w:rPr>
          <w:i/>
          <w:sz w:val="24"/>
        </w:rPr>
        <w:t>jilid</w:t>
      </w:r>
      <w:proofErr w:type="spellEnd"/>
      <w:r>
        <w:rPr>
          <w:i/>
          <w:sz w:val="24"/>
        </w:rPr>
        <w:t xml:space="preserve"> 2, </w:t>
      </w:r>
      <w:proofErr w:type="spellStart"/>
      <w:r>
        <w:rPr>
          <w:i/>
          <w:sz w:val="24"/>
        </w:rPr>
        <w:t>Cet</w:t>
      </w:r>
      <w:proofErr w:type="spellEnd"/>
      <w:r>
        <w:rPr>
          <w:i/>
          <w:sz w:val="24"/>
        </w:rPr>
        <w:t xml:space="preserve"> II, h.206</w:t>
      </w:r>
    </w:p>
    <w:p w:rsidR="003058E5" w:rsidRDefault="003058E5" w:rsidP="003058E5">
      <w:pPr>
        <w:pStyle w:val="BodyText"/>
        <w:spacing w:before="2"/>
        <w:rPr>
          <w:i/>
          <w:sz w:val="29"/>
        </w:rPr>
      </w:pPr>
    </w:p>
    <w:p w:rsidR="003058E5" w:rsidRDefault="003058E5" w:rsidP="003058E5">
      <w:pPr>
        <w:spacing w:before="1" w:line="268" w:lineRule="auto"/>
        <w:ind w:left="590"/>
        <w:rPr>
          <w:i/>
          <w:sz w:val="24"/>
        </w:rPr>
      </w:pPr>
      <w:proofErr w:type="spellStart"/>
      <w:r>
        <w:rPr>
          <w:sz w:val="24"/>
        </w:rPr>
        <w:t>Soerjono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Soekanto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>, (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Penerbit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Indonesia, 2004</w:t>
      </w:r>
      <w:r>
        <w:rPr>
          <w:i/>
          <w:sz w:val="24"/>
        </w:rPr>
        <w:t xml:space="preserve">), </w:t>
      </w:r>
      <w:proofErr w:type="spellStart"/>
      <w:r>
        <w:rPr>
          <w:i/>
          <w:sz w:val="24"/>
        </w:rPr>
        <w:t>Cet</w:t>
      </w:r>
      <w:proofErr w:type="spellEnd"/>
      <w:r>
        <w:rPr>
          <w:i/>
          <w:sz w:val="24"/>
        </w:rPr>
        <w:t xml:space="preserve"> Ke-8, h. 51</w:t>
      </w:r>
    </w:p>
    <w:p w:rsidR="003058E5" w:rsidRDefault="003058E5" w:rsidP="003058E5">
      <w:pPr>
        <w:pStyle w:val="BodyText"/>
        <w:spacing w:before="3"/>
        <w:rPr>
          <w:i/>
          <w:sz w:val="29"/>
        </w:rPr>
      </w:pPr>
    </w:p>
    <w:p w:rsidR="003058E5" w:rsidRDefault="003058E5" w:rsidP="003058E5">
      <w:pPr>
        <w:ind w:left="590"/>
        <w:rPr>
          <w:i/>
          <w:sz w:val="24"/>
        </w:rPr>
      </w:pPr>
      <w:proofErr w:type="spellStart"/>
      <w:r>
        <w:rPr>
          <w:sz w:val="24"/>
        </w:rPr>
        <w:t>Suharsimi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Arikonto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>, (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, 2002</w:t>
      </w:r>
      <w:r>
        <w:rPr>
          <w:i/>
          <w:sz w:val="24"/>
        </w:rPr>
        <w:t>), h. 205.</w:t>
      </w:r>
    </w:p>
    <w:p w:rsidR="003058E5" w:rsidRDefault="003058E5" w:rsidP="003058E5">
      <w:pPr>
        <w:pStyle w:val="BodyText"/>
        <w:spacing w:before="10"/>
        <w:rPr>
          <w:i/>
          <w:sz w:val="23"/>
        </w:rPr>
      </w:pPr>
    </w:p>
    <w:p w:rsidR="003058E5" w:rsidRDefault="003058E5" w:rsidP="003058E5">
      <w:pPr>
        <w:pStyle w:val="BodyText"/>
        <w:ind w:left="590" w:right="1041"/>
      </w:pPr>
      <w:proofErr w:type="spellStart"/>
      <w:r>
        <w:t>Undang-Undang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Jakarta:Sinar</w:t>
      </w:r>
      <w:proofErr w:type="spellEnd"/>
      <w:proofErr w:type="gramEnd"/>
      <w:r>
        <w:t xml:space="preserve"> </w:t>
      </w:r>
      <w:proofErr w:type="spellStart"/>
      <w:r>
        <w:t>Grafika</w:t>
      </w:r>
      <w:proofErr w:type="spellEnd"/>
      <w:r>
        <w:t>,</w:t>
      </w:r>
      <w:r>
        <w:rPr>
          <w:spacing w:val="-1"/>
        </w:rPr>
        <w:t xml:space="preserve"> </w:t>
      </w:r>
      <w:r>
        <w:t>2015),h.6</w:t>
      </w:r>
    </w:p>
    <w:p w:rsidR="003058E5" w:rsidRDefault="003058E5" w:rsidP="003058E5">
      <w:pPr>
        <w:pStyle w:val="BodyText"/>
        <w:rPr>
          <w:sz w:val="29"/>
        </w:rPr>
      </w:pPr>
    </w:p>
    <w:p w:rsidR="003058E5" w:rsidRDefault="003058E5" w:rsidP="003058E5">
      <w:pPr>
        <w:tabs>
          <w:tab w:val="left" w:pos="1546"/>
          <w:tab w:val="left" w:pos="2361"/>
          <w:tab w:val="left" w:pos="3275"/>
          <w:tab w:val="left" w:pos="4575"/>
          <w:tab w:val="left" w:pos="5759"/>
          <w:tab w:val="left" w:pos="6448"/>
          <w:tab w:val="left" w:pos="7228"/>
        </w:tabs>
        <w:spacing w:line="273" w:lineRule="auto"/>
        <w:ind w:left="590" w:right="118"/>
        <w:rPr>
          <w:sz w:val="24"/>
        </w:rPr>
      </w:pPr>
      <w:proofErr w:type="spellStart"/>
      <w:r>
        <w:rPr>
          <w:sz w:val="24"/>
        </w:rPr>
        <w:t>Utomo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Hadi</w:t>
      </w:r>
      <w:proofErr w:type="spellEnd"/>
      <w:r>
        <w:rPr>
          <w:i/>
          <w:sz w:val="24"/>
        </w:rPr>
        <w:t>,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Modul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Pelatihan</w:t>
      </w:r>
      <w:proofErr w:type="spellEnd"/>
      <w:r>
        <w:rPr>
          <w:i/>
          <w:sz w:val="24"/>
        </w:rPr>
        <w:t>: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Konvensi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Hak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3"/>
          <w:sz w:val="24"/>
        </w:rPr>
        <w:t>bagiPembuat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Kebijakan</w:t>
      </w:r>
      <w:proofErr w:type="spellEnd"/>
      <w:r>
        <w:rPr>
          <w:i/>
          <w:sz w:val="24"/>
        </w:rPr>
        <w:t>(</w:t>
      </w:r>
      <w:proofErr w:type="gramEnd"/>
      <w:r>
        <w:rPr>
          <w:sz w:val="24"/>
        </w:rPr>
        <w:t xml:space="preserve">Jakarta, </w:t>
      </w:r>
      <w:proofErr w:type="spellStart"/>
      <w:r>
        <w:rPr>
          <w:sz w:val="24"/>
        </w:rPr>
        <w:t>Unicef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3058E5" w:rsidRDefault="003058E5" w:rsidP="003058E5">
      <w:pPr>
        <w:pStyle w:val="BodyText"/>
        <w:spacing w:before="3"/>
        <w:rPr>
          <w:sz w:val="32"/>
        </w:rPr>
      </w:pPr>
    </w:p>
    <w:p w:rsidR="003058E5" w:rsidRDefault="003058E5" w:rsidP="003058E5">
      <w:pPr>
        <w:pStyle w:val="Heading2"/>
        <w:numPr>
          <w:ilvl w:val="0"/>
          <w:numId w:val="1"/>
        </w:numPr>
        <w:tabs>
          <w:tab w:val="left" w:pos="1040"/>
          <w:tab w:val="left" w:pos="1041"/>
        </w:tabs>
        <w:ind w:hanging="451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</w:p>
    <w:p w:rsidR="003058E5" w:rsidRDefault="003058E5" w:rsidP="003058E5">
      <w:pPr>
        <w:pStyle w:val="BodyText"/>
        <w:spacing w:before="9"/>
        <w:rPr>
          <w:b/>
          <w:sz w:val="27"/>
        </w:rPr>
      </w:pPr>
    </w:p>
    <w:p w:rsidR="003058E5" w:rsidRDefault="003058E5" w:rsidP="003058E5">
      <w:pPr>
        <w:pStyle w:val="BodyText"/>
        <w:spacing w:line="273" w:lineRule="auto"/>
        <w:ind w:left="590" w:right="48"/>
      </w:pPr>
      <w:proofErr w:type="spellStart"/>
      <w:proofErr w:type="gram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  <w:proofErr w:type="gramEnd"/>
    </w:p>
    <w:p w:rsidR="003058E5" w:rsidRDefault="003058E5" w:rsidP="003058E5">
      <w:pPr>
        <w:pStyle w:val="BodyText"/>
        <w:spacing w:before="231" w:line="439" w:lineRule="auto"/>
        <w:ind w:left="590" w:right="335"/>
      </w:pPr>
      <w:proofErr w:type="spellStart"/>
      <w:r>
        <w:t>Undang-Undang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Anak,h</w:t>
      </w:r>
      <w:proofErr w:type="spellEnd"/>
      <w:r>
        <w:t xml:space="preserve">. 45-46 </w:t>
      </w:r>
      <w:proofErr w:type="spellStart"/>
      <w:r>
        <w:t>Undang-Undang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Anak,h</w:t>
      </w:r>
      <w:proofErr w:type="spellEnd"/>
      <w:r>
        <w:t>. 66</w:t>
      </w:r>
    </w:p>
    <w:p w:rsidR="003058E5" w:rsidRDefault="003058E5" w:rsidP="003058E5">
      <w:pPr>
        <w:pStyle w:val="BodyText"/>
        <w:spacing w:before="175" w:line="273" w:lineRule="auto"/>
        <w:ind w:left="590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1974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, </w:t>
      </w:r>
      <w:proofErr w:type="spellStart"/>
      <w:r>
        <w:t>Pasal</w:t>
      </w:r>
      <w:proofErr w:type="spellEnd"/>
      <w:r>
        <w:t xml:space="preserve"> 41.</w:t>
      </w:r>
    </w:p>
    <w:p w:rsidR="003058E5" w:rsidRDefault="003058E5" w:rsidP="003058E5">
      <w:pPr>
        <w:pStyle w:val="BodyText"/>
        <w:spacing w:before="8"/>
        <w:rPr>
          <w:sz w:val="35"/>
        </w:rPr>
      </w:pPr>
    </w:p>
    <w:p w:rsidR="003058E5" w:rsidRDefault="003058E5" w:rsidP="003058E5">
      <w:pPr>
        <w:pStyle w:val="BodyText"/>
        <w:spacing w:line="268" w:lineRule="auto"/>
        <w:ind w:left="590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1974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, </w:t>
      </w:r>
      <w:proofErr w:type="spellStart"/>
      <w:r>
        <w:t>Pasal</w:t>
      </w:r>
      <w:proofErr w:type="spellEnd"/>
      <w:r>
        <w:t xml:space="preserve"> 45-49</w:t>
      </w:r>
    </w:p>
    <w:p w:rsidR="003058E5" w:rsidRDefault="003058E5" w:rsidP="003058E5">
      <w:pPr>
        <w:pStyle w:val="BodyText"/>
        <w:spacing w:before="3"/>
        <w:rPr>
          <w:sz w:val="36"/>
        </w:rPr>
      </w:pPr>
    </w:p>
    <w:p w:rsidR="003058E5" w:rsidRDefault="003058E5" w:rsidP="003058E5">
      <w:pPr>
        <w:pStyle w:val="BodyText"/>
        <w:spacing w:before="1"/>
        <w:ind w:left="590"/>
      </w:pPr>
      <w:proofErr w:type="spellStart"/>
      <w:r>
        <w:t>Undang-Undang</w:t>
      </w:r>
      <w:proofErr w:type="spellEnd"/>
      <w:r>
        <w:t xml:space="preserve"> No 1 </w:t>
      </w:r>
      <w:proofErr w:type="spellStart"/>
      <w:r>
        <w:t>Tahun</w:t>
      </w:r>
      <w:proofErr w:type="spellEnd"/>
      <w:r>
        <w:t xml:space="preserve"> 1974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49 </w:t>
      </w:r>
      <w:proofErr w:type="spellStart"/>
      <w:r>
        <w:t>ayat</w:t>
      </w:r>
      <w:proofErr w:type="spellEnd"/>
      <w:r>
        <w:t xml:space="preserve"> (2)</w:t>
      </w:r>
    </w:p>
    <w:p w:rsidR="003058E5" w:rsidRDefault="003058E5" w:rsidP="003058E5">
      <w:pPr>
        <w:pStyle w:val="BodyText"/>
        <w:spacing w:before="6"/>
        <w:rPr>
          <w:sz w:val="38"/>
        </w:rPr>
      </w:pPr>
    </w:p>
    <w:p w:rsidR="003058E5" w:rsidRDefault="003058E5" w:rsidP="003058E5">
      <w:pPr>
        <w:pStyle w:val="BodyText"/>
        <w:spacing w:before="1" w:line="583" w:lineRule="auto"/>
        <w:ind w:left="590" w:right="149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1979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2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22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Otonomi</w:t>
      </w:r>
      <w:proofErr w:type="spellEnd"/>
      <w:r>
        <w:t xml:space="preserve"> Daerah.</w:t>
      </w:r>
    </w:p>
    <w:p w:rsidR="003058E5" w:rsidRDefault="003058E5" w:rsidP="003058E5">
      <w:pPr>
        <w:spacing w:before="3" w:line="280" w:lineRule="auto"/>
        <w:ind w:left="590"/>
      </w:pPr>
      <w:proofErr w:type="spellStart"/>
      <w:r>
        <w:t>Yurisprudensi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Juni</w:t>
      </w:r>
      <w:proofErr w:type="spellEnd"/>
      <w:r>
        <w:t xml:space="preserve"> 1974, </w:t>
      </w:r>
      <w:proofErr w:type="spellStart"/>
      <w:r>
        <w:t>Nomor</w:t>
      </w:r>
      <w:proofErr w:type="spellEnd"/>
      <w:r>
        <w:t xml:space="preserve"> 906 K/Sip/1973</w:t>
      </w:r>
    </w:p>
    <w:p w:rsidR="003058E5" w:rsidRDefault="003058E5" w:rsidP="003058E5">
      <w:pPr>
        <w:spacing w:line="280" w:lineRule="auto"/>
        <w:sectPr w:rsidR="003058E5">
          <w:headerReference w:type="default" r:id="rId7"/>
          <w:pgSz w:w="11910" w:h="16840"/>
          <w:pgMar w:top="1600" w:right="1600" w:bottom="280" w:left="1680" w:header="985" w:footer="0" w:gutter="0"/>
          <w:pgNumType w:start="70"/>
          <w:cols w:space="720"/>
        </w:sect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rPr>
          <w:sz w:val="20"/>
        </w:rPr>
      </w:pPr>
    </w:p>
    <w:p w:rsidR="003058E5" w:rsidRDefault="003058E5" w:rsidP="003058E5">
      <w:pPr>
        <w:pStyle w:val="BodyText"/>
        <w:spacing w:before="10"/>
        <w:rPr>
          <w:sz w:val="18"/>
        </w:rPr>
      </w:pPr>
    </w:p>
    <w:p w:rsidR="003058E5" w:rsidRDefault="003058E5" w:rsidP="003058E5">
      <w:pPr>
        <w:pStyle w:val="Heading2"/>
        <w:numPr>
          <w:ilvl w:val="0"/>
          <w:numId w:val="1"/>
        </w:numPr>
        <w:tabs>
          <w:tab w:val="left" w:pos="1130"/>
          <w:tab w:val="left" w:pos="1131"/>
        </w:tabs>
        <w:spacing w:before="90"/>
        <w:ind w:left="1131" w:hanging="541"/>
      </w:pPr>
      <w:proofErr w:type="spellStart"/>
      <w:r>
        <w:t>Putusan</w:t>
      </w:r>
      <w:proofErr w:type="spellEnd"/>
      <w:r>
        <w:t xml:space="preserve"> No. 496</w:t>
      </w:r>
      <w:r>
        <w:rPr>
          <w:spacing w:val="1"/>
        </w:rPr>
        <w:t xml:space="preserve"> </w:t>
      </w:r>
      <w:r>
        <w:t>/</w:t>
      </w:r>
      <w:proofErr w:type="spellStart"/>
      <w:r>
        <w:t>Pdt</w:t>
      </w:r>
      <w:proofErr w:type="spellEnd"/>
      <w:r>
        <w:t>/G/2019/</w:t>
      </w:r>
      <w:proofErr w:type="spellStart"/>
      <w:r>
        <w:t>PA.Mdn</w:t>
      </w:r>
      <w:proofErr w:type="spellEnd"/>
    </w:p>
    <w:p w:rsidR="003058E5" w:rsidRDefault="003058E5" w:rsidP="003058E5">
      <w:pPr>
        <w:pStyle w:val="BodyText"/>
        <w:spacing w:before="7"/>
        <w:rPr>
          <w:b/>
          <w:sz w:val="38"/>
        </w:rPr>
      </w:pPr>
    </w:p>
    <w:p w:rsidR="003058E5" w:rsidRDefault="003058E5" w:rsidP="003058E5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left="1101" w:hanging="511"/>
        <w:rPr>
          <w:b/>
          <w:sz w:val="24"/>
        </w:rPr>
      </w:pPr>
      <w:r>
        <w:rPr>
          <w:b/>
          <w:sz w:val="24"/>
        </w:rPr>
        <w:t xml:space="preserve">Website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Internet</w:t>
      </w:r>
    </w:p>
    <w:p w:rsidR="003058E5" w:rsidRDefault="003058E5" w:rsidP="003058E5">
      <w:pPr>
        <w:pStyle w:val="BodyText"/>
        <w:spacing w:before="9"/>
        <w:rPr>
          <w:b/>
          <w:sz w:val="23"/>
        </w:rPr>
      </w:pPr>
    </w:p>
    <w:p w:rsidR="003058E5" w:rsidRDefault="003058E5" w:rsidP="003058E5">
      <w:pPr>
        <w:ind w:left="590"/>
        <w:rPr>
          <w:sz w:val="24"/>
        </w:rPr>
      </w:pPr>
      <w:hyperlink r:id="rId8">
        <w:r>
          <w:rPr>
            <w:i/>
            <w:sz w:val="24"/>
          </w:rPr>
          <w:t>http://eprints.ums.ac.id/36944/22/NASKAH%20PUBLIKASI%20OK.pdf</w:t>
        </w:r>
        <w:r>
          <w:rPr>
            <w:sz w:val="24"/>
          </w:rPr>
          <w:t xml:space="preserve">. </w:t>
        </w:r>
      </w:hyperlink>
      <w:r>
        <w:rPr>
          <w:sz w:val="24"/>
        </w:rPr>
        <w:t xml:space="preserve">Di </w:t>
      </w:r>
      <w:proofErr w:type="spellStart"/>
      <w:r>
        <w:rPr>
          <w:sz w:val="24"/>
        </w:rPr>
        <w:t>akses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2020, </w:t>
      </w:r>
      <w:proofErr w:type="spellStart"/>
      <w:r>
        <w:rPr>
          <w:sz w:val="24"/>
        </w:rPr>
        <w:t>pukul</w:t>
      </w:r>
      <w:proofErr w:type="spellEnd"/>
      <w:r>
        <w:rPr>
          <w:sz w:val="24"/>
        </w:rPr>
        <w:t xml:space="preserve"> 10.00</w:t>
      </w:r>
    </w:p>
    <w:p w:rsidR="003058E5" w:rsidRDefault="003058E5" w:rsidP="003058E5">
      <w:pPr>
        <w:pStyle w:val="BodyText"/>
        <w:spacing w:before="1"/>
        <w:rPr>
          <w:sz w:val="35"/>
        </w:rPr>
      </w:pPr>
    </w:p>
    <w:p w:rsidR="003058E5" w:rsidRDefault="003058E5" w:rsidP="003058E5">
      <w:pPr>
        <w:pStyle w:val="BodyText"/>
        <w:spacing w:before="1" w:line="273" w:lineRule="auto"/>
        <w:ind w:left="590" w:right="116"/>
        <w:jc w:val="both"/>
      </w:pPr>
      <w:hyperlink r:id="rId9">
        <w:r>
          <w:t xml:space="preserve">https://id.m.wikipedia.org/wiki/Perceraian/, </w:t>
        </w:r>
        <w:proofErr w:type="spellStart"/>
        <w:r>
          <w:t>Diakses</w:t>
        </w:r>
        <w:proofErr w:type="spellEnd"/>
        <w:r>
          <w:t xml:space="preserve"> </w:t>
        </w:r>
        <w:proofErr w:type="spellStart"/>
        <w:r>
          <w:t>pada</w:t>
        </w:r>
        <w:proofErr w:type="spellEnd"/>
      </w:hyperlink>
      <w:r>
        <w:t xml:space="preserve"> </w:t>
      </w:r>
      <w:proofErr w:type="spellStart"/>
      <w:r>
        <w:t>tanggal</w:t>
      </w:r>
      <w:proofErr w:type="spellEnd"/>
      <w:r>
        <w:t xml:space="preserve"> 20 November 2019</w:t>
      </w:r>
    </w:p>
    <w:p w:rsidR="003058E5" w:rsidRDefault="003058E5" w:rsidP="003058E5">
      <w:pPr>
        <w:pStyle w:val="BodyText"/>
        <w:spacing w:before="3"/>
        <w:rPr>
          <w:sz w:val="35"/>
        </w:rPr>
      </w:pPr>
    </w:p>
    <w:p w:rsidR="003058E5" w:rsidRDefault="003058E5" w:rsidP="003058E5">
      <w:pPr>
        <w:pStyle w:val="BodyText"/>
        <w:spacing w:line="273" w:lineRule="auto"/>
        <w:ind w:left="590" w:right="118"/>
        <w:jc w:val="both"/>
      </w:pPr>
      <w:hyperlink r:id="rId10">
        <w:r>
          <w:t>http://repository.usu.ac.id/bitstream/handle/123456789/47661/Chapter%20II.pdf;s</w:t>
        </w:r>
      </w:hyperlink>
      <w:r>
        <w:t xml:space="preserve"> </w:t>
      </w:r>
      <w:proofErr w:type="spellStart"/>
      <w:r>
        <w:t>equence</w:t>
      </w:r>
      <w:proofErr w:type="spellEnd"/>
      <w:r>
        <w:t>=3/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–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November 2019, </w:t>
      </w:r>
      <w:proofErr w:type="spellStart"/>
      <w:r>
        <w:t>Pukul</w:t>
      </w:r>
      <w:proofErr w:type="spellEnd"/>
      <w:r>
        <w:t xml:space="preserve"> 13.50</w:t>
      </w:r>
    </w:p>
    <w:p w:rsidR="003058E5" w:rsidRDefault="003058E5" w:rsidP="003058E5">
      <w:pPr>
        <w:pStyle w:val="BodyText"/>
        <w:spacing w:before="9"/>
        <w:rPr>
          <w:sz w:val="35"/>
        </w:rPr>
      </w:pPr>
    </w:p>
    <w:p w:rsidR="003058E5" w:rsidRDefault="003058E5" w:rsidP="003058E5">
      <w:pPr>
        <w:pStyle w:val="BodyText"/>
        <w:spacing w:line="273" w:lineRule="auto"/>
        <w:ind w:left="590" w:right="1475"/>
      </w:pPr>
      <w:r>
        <w:t xml:space="preserve">https:samba-corp.blogspot.com/2019/04/makalah-faktor-faktor-pola </w:t>
      </w:r>
      <w:proofErr w:type="spellStart"/>
      <w:r>
        <w:t>pengasuhan.html</w:t>
      </w:r>
      <w:proofErr w:type="gramStart"/>
      <w:r>
        <w:t>?m</w:t>
      </w:r>
      <w:proofErr w:type="spellEnd"/>
      <w:proofErr w:type="gramEnd"/>
      <w:r>
        <w:t>=1/,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26 April 2019.</w:t>
      </w:r>
    </w:p>
    <w:p w:rsidR="003058E5" w:rsidRDefault="003058E5" w:rsidP="003058E5">
      <w:pPr>
        <w:pStyle w:val="BodyText"/>
        <w:spacing w:before="3"/>
        <w:rPr>
          <w:sz w:val="35"/>
        </w:rPr>
      </w:pPr>
    </w:p>
    <w:p w:rsidR="003058E5" w:rsidRDefault="003058E5" w:rsidP="003058E5">
      <w:pPr>
        <w:pStyle w:val="Heading2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451"/>
      </w:pPr>
      <w:proofErr w:type="spellStart"/>
      <w:r>
        <w:t>Wawancara</w:t>
      </w:r>
      <w:proofErr w:type="spellEnd"/>
    </w:p>
    <w:p w:rsidR="003058E5" w:rsidRDefault="003058E5" w:rsidP="003058E5">
      <w:pPr>
        <w:pStyle w:val="BodyText"/>
        <w:spacing w:before="7"/>
        <w:rPr>
          <w:b/>
          <w:sz w:val="34"/>
        </w:rPr>
      </w:pPr>
    </w:p>
    <w:p w:rsidR="003058E5" w:rsidRDefault="003058E5" w:rsidP="003058E5">
      <w:pPr>
        <w:pStyle w:val="BodyText"/>
        <w:spacing w:before="1"/>
        <w:ind w:left="590" w:right="688"/>
      </w:pPr>
      <w:proofErr w:type="spellStart"/>
      <w:r>
        <w:t>Dra.Hj</w:t>
      </w:r>
      <w:proofErr w:type="spellEnd"/>
      <w:r>
        <w:t xml:space="preserve">. </w:t>
      </w:r>
      <w:proofErr w:type="spellStart"/>
      <w:r>
        <w:t>Rinalis</w:t>
      </w:r>
      <w:proofErr w:type="spellEnd"/>
      <w:r>
        <w:t xml:space="preserve">, M.H, </w:t>
      </w:r>
      <w:proofErr w:type="spellStart"/>
      <w:r>
        <w:t>wawancara</w:t>
      </w:r>
      <w:proofErr w:type="spellEnd"/>
      <w:r>
        <w:t>. (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Kelas</w:t>
      </w:r>
      <w:proofErr w:type="spellEnd"/>
      <w:r>
        <w:t xml:space="preserve"> I-A Medan, 10 </w:t>
      </w:r>
      <w:proofErr w:type="spellStart"/>
      <w:r>
        <w:t>Maret</w:t>
      </w:r>
      <w:proofErr w:type="spellEnd"/>
      <w:r>
        <w:t xml:space="preserve"> 2020)</w:t>
      </w:r>
    </w:p>
    <w:p w:rsidR="003058E5" w:rsidRDefault="003058E5" w:rsidP="003058E5">
      <w:pPr>
        <w:pStyle w:val="BodyText"/>
        <w:spacing w:before="9"/>
        <w:rPr>
          <w:sz w:val="23"/>
        </w:rPr>
      </w:pPr>
    </w:p>
    <w:p w:rsidR="003058E5" w:rsidRDefault="003058E5" w:rsidP="003058E5">
      <w:pPr>
        <w:pStyle w:val="BodyText"/>
        <w:ind w:left="590" w:right="675"/>
      </w:pPr>
      <w:proofErr w:type="spellStart"/>
      <w:r>
        <w:t>Irwansyah</w:t>
      </w:r>
      <w:proofErr w:type="spellEnd"/>
      <w:r>
        <w:t xml:space="preserve"> </w:t>
      </w:r>
      <w:proofErr w:type="spellStart"/>
      <w:r>
        <w:t>Putera</w:t>
      </w:r>
      <w:proofErr w:type="spellEnd"/>
      <w:r>
        <w:t xml:space="preserve">, SH, </w:t>
      </w:r>
      <w:proofErr w:type="spellStart"/>
      <w:r>
        <w:t>wawancara</w:t>
      </w:r>
      <w:proofErr w:type="spellEnd"/>
      <w:r>
        <w:t xml:space="preserve"> (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Kelas</w:t>
      </w:r>
      <w:proofErr w:type="spellEnd"/>
      <w:r>
        <w:t xml:space="preserve"> I-A Medan, 24 </w:t>
      </w:r>
      <w:proofErr w:type="spellStart"/>
      <w:r>
        <w:t>Februari</w:t>
      </w:r>
      <w:proofErr w:type="spellEnd"/>
      <w:r>
        <w:t xml:space="preserve"> 2020)</w:t>
      </w:r>
    </w:p>
    <w:p w:rsidR="003058E5" w:rsidRDefault="003058E5" w:rsidP="003058E5">
      <w:pPr>
        <w:sectPr w:rsidR="003058E5">
          <w:pgSz w:w="11910" w:h="16840"/>
          <w:pgMar w:top="1600" w:right="1600" w:bottom="280" w:left="1680" w:header="985" w:footer="0" w:gutter="0"/>
          <w:cols w:space="720"/>
        </w:sectPr>
      </w:pPr>
    </w:p>
    <w:p w:rsidR="00EF6517" w:rsidRDefault="003058E5">
      <w:bookmarkStart w:id="0" w:name="_GoBack"/>
      <w:bookmarkEnd w:id="0"/>
    </w:p>
    <w:sectPr w:rsidR="00EF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6" w:rsidRDefault="003058E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6" w:rsidRDefault="003058E5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6304915</wp:posOffset>
              </wp:positionH>
              <wp:positionV relativeFrom="page">
                <wp:posOffset>495300</wp:posOffset>
              </wp:positionV>
              <wp:extent cx="215900" cy="297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D46" w:rsidRDefault="003058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45pt;margin-top:39pt;width:17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UJ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/jz24KaAqyBeRv7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" filled="f" stroked="f">
              <v:textbox inset="0,0,0,0">
                <w:txbxContent>
                  <w:p w:rsidR="00342D46" w:rsidRDefault="003058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008"/>
    <w:multiLevelType w:val="hybridMultilevel"/>
    <w:tmpl w:val="F74E1FE2"/>
    <w:lvl w:ilvl="0" w:tplc="90E4E720">
      <w:start w:val="1"/>
      <w:numFmt w:val="upperLetter"/>
      <w:lvlText w:val="%1."/>
      <w:lvlJc w:val="left"/>
      <w:pPr>
        <w:ind w:left="1041" w:hanging="4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44828E44">
      <w:numFmt w:val="bullet"/>
      <w:lvlText w:val="•"/>
      <w:lvlJc w:val="left"/>
      <w:pPr>
        <w:ind w:left="1798" w:hanging="450"/>
      </w:pPr>
      <w:rPr>
        <w:rFonts w:hint="default"/>
        <w:lang w:val="en-US" w:eastAsia="en-US" w:bidi="ar-SA"/>
      </w:rPr>
    </w:lvl>
    <w:lvl w:ilvl="2" w:tplc="2F58C696">
      <w:numFmt w:val="bullet"/>
      <w:lvlText w:val="•"/>
      <w:lvlJc w:val="left"/>
      <w:pPr>
        <w:ind w:left="2557" w:hanging="450"/>
      </w:pPr>
      <w:rPr>
        <w:rFonts w:hint="default"/>
        <w:lang w:val="en-US" w:eastAsia="en-US" w:bidi="ar-SA"/>
      </w:rPr>
    </w:lvl>
    <w:lvl w:ilvl="3" w:tplc="DA7438C4">
      <w:numFmt w:val="bullet"/>
      <w:lvlText w:val="•"/>
      <w:lvlJc w:val="left"/>
      <w:pPr>
        <w:ind w:left="3315" w:hanging="450"/>
      </w:pPr>
      <w:rPr>
        <w:rFonts w:hint="default"/>
        <w:lang w:val="en-US" w:eastAsia="en-US" w:bidi="ar-SA"/>
      </w:rPr>
    </w:lvl>
    <w:lvl w:ilvl="4" w:tplc="211E01EC">
      <w:numFmt w:val="bullet"/>
      <w:lvlText w:val="•"/>
      <w:lvlJc w:val="left"/>
      <w:pPr>
        <w:ind w:left="4074" w:hanging="450"/>
      </w:pPr>
      <w:rPr>
        <w:rFonts w:hint="default"/>
        <w:lang w:val="en-US" w:eastAsia="en-US" w:bidi="ar-SA"/>
      </w:rPr>
    </w:lvl>
    <w:lvl w:ilvl="5" w:tplc="2B722314">
      <w:numFmt w:val="bullet"/>
      <w:lvlText w:val="•"/>
      <w:lvlJc w:val="left"/>
      <w:pPr>
        <w:ind w:left="4832" w:hanging="450"/>
      </w:pPr>
      <w:rPr>
        <w:rFonts w:hint="default"/>
        <w:lang w:val="en-US" w:eastAsia="en-US" w:bidi="ar-SA"/>
      </w:rPr>
    </w:lvl>
    <w:lvl w:ilvl="6" w:tplc="0CDCCAE6">
      <w:numFmt w:val="bullet"/>
      <w:lvlText w:val="•"/>
      <w:lvlJc w:val="left"/>
      <w:pPr>
        <w:ind w:left="5591" w:hanging="450"/>
      </w:pPr>
      <w:rPr>
        <w:rFonts w:hint="default"/>
        <w:lang w:val="en-US" w:eastAsia="en-US" w:bidi="ar-SA"/>
      </w:rPr>
    </w:lvl>
    <w:lvl w:ilvl="7" w:tplc="737E0FEC">
      <w:numFmt w:val="bullet"/>
      <w:lvlText w:val="•"/>
      <w:lvlJc w:val="left"/>
      <w:pPr>
        <w:ind w:left="6349" w:hanging="450"/>
      </w:pPr>
      <w:rPr>
        <w:rFonts w:hint="default"/>
        <w:lang w:val="en-US" w:eastAsia="en-US" w:bidi="ar-SA"/>
      </w:rPr>
    </w:lvl>
    <w:lvl w:ilvl="8" w:tplc="465A6E4E">
      <w:numFmt w:val="bullet"/>
      <w:lvlText w:val="•"/>
      <w:lvlJc w:val="left"/>
      <w:pPr>
        <w:ind w:left="7108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2E2B2D"/>
    <w:rsid w:val="003058E5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058E5"/>
    <w:pPr>
      <w:spacing w:before="8"/>
      <w:ind w:right="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058E5"/>
    <w:pPr>
      <w:ind w:left="5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058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58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58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058E5"/>
    <w:pPr>
      <w:ind w:left="127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058E5"/>
    <w:pPr>
      <w:spacing w:before="8"/>
      <w:ind w:right="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058E5"/>
    <w:pPr>
      <w:ind w:left="5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058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58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58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058E5"/>
    <w:pPr>
      <w:ind w:left="127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36944/22/NASKAH%20PUBLIKASI%20OK.pdf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pository.usu.ac.id/bitstream/handle/123456789/47661/Chapter%20II.pdf%3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m.wikipedia.org/wiki/Perceraian/%2C%20Diakses%20p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2020-09-07T14:24:00Z</dcterms:created>
  <dcterms:modified xsi:type="dcterms:W3CDTF">2020-09-07T14:24:00Z</dcterms:modified>
</cp:coreProperties>
</file>