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DEE3" w14:textId="77777777" w:rsidR="007F656F" w:rsidRPr="007F656F" w:rsidRDefault="007F656F" w:rsidP="007F656F">
      <w:pPr>
        <w:spacing w:before="93"/>
        <w:ind w:left="1297" w:right="298" w:hanging="711"/>
        <w:jc w:val="center"/>
        <w:rPr>
          <w:b/>
          <w:sz w:val="24"/>
        </w:rPr>
      </w:pPr>
      <w:r w:rsidRPr="007F656F">
        <w:rPr>
          <w:b/>
          <w:sz w:val="24"/>
        </w:rPr>
        <w:t>DAFTAR PUSTAKA</w:t>
      </w:r>
    </w:p>
    <w:p w14:paraId="1563EB17" w14:textId="77777777" w:rsidR="007F656F" w:rsidRDefault="007F656F" w:rsidP="00583946">
      <w:pPr>
        <w:spacing w:before="93"/>
        <w:ind w:right="298"/>
        <w:jc w:val="both"/>
        <w:rPr>
          <w:sz w:val="24"/>
        </w:rPr>
      </w:pPr>
    </w:p>
    <w:p w14:paraId="353E97F0" w14:textId="77777777" w:rsidR="007F656F" w:rsidRDefault="007F656F" w:rsidP="007F656F">
      <w:pPr>
        <w:spacing w:before="93"/>
        <w:ind w:left="1297" w:right="298" w:hanging="711"/>
        <w:jc w:val="both"/>
        <w:rPr>
          <w:sz w:val="24"/>
        </w:rPr>
      </w:pPr>
      <w:r>
        <w:rPr>
          <w:sz w:val="24"/>
        </w:rPr>
        <w:t xml:space="preserve">Agustini. (2006). </w:t>
      </w:r>
      <w:r>
        <w:rPr>
          <w:i/>
          <w:sz w:val="24"/>
        </w:rPr>
        <w:t>Pengaruh Lama Pemberian Formula Ekstrak Buah Labusiam (SechiumEdule) Terhadap Penurunan Kadar Kolesterol Total Dan Trigliserida Tikus Putih Jantan</w:t>
      </w:r>
      <w:r>
        <w:rPr>
          <w:sz w:val="24"/>
        </w:rPr>
        <w:t>.</w:t>
      </w:r>
    </w:p>
    <w:p w14:paraId="3D57B013" w14:textId="77777777" w:rsidR="007F656F" w:rsidRDefault="007F656F" w:rsidP="007F656F">
      <w:pPr>
        <w:pStyle w:val="BodyText"/>
      </w:pPr>
    </w:p>
    <w:p w14:paraId="680A933B" w14:textId="77777777" w:rsidR="007F656F" w:rsidRDefault="007F656F" w:rsidP="007F656F">
      <w:pPr>
        <w:spacing w:before="1" w:line="242" w:lineRule="auto"/>
        <w:ind w:left="1297" w:right="306" w:hanging="711"/>
        <w:jc w:val="both"/>
        <w:rPr>
          <w:sz w:val="24"/>
        </w:rPr>
      </w:pPr>
      <w:r>
        <w:rPr>
          <w:sz w:val="24"/>
        </w:rPr>
        <w:t xml:space="preserve">Almatsier, S. (2004). </w:t>
      </w:r>
      <w:r>
        <w:rPr>
          <w:i/>
          <w:sz w:val="24"/>
        </w:rPr>
        <w:t>Prinsip Dasar Ilmu Gizi</w:t>
      </w:r>
      <w:r>
        <w:rPr>
          <w:sz w:val="24"/>
        </w:rPr>
        <w:t>. Jakarta: PT. Gramedia Pustaka Utama. Hal. 228, 233, 235, 246, 256.</w:t>
      </w:r>
    </w:p>
    <w:p w14:paraId="78BF1F76" w14:textId="77777777" w:rsidR="007F656F" w:rsidRDefault="007F656F" w:rsidP="007F656F">
      <w:pPr>
        <w:pStyle w:val="BodyText"/>
        <w:spacing w:before="8"/>
        <w:rPr>
          <w:sz w:val="23"/>
        </w:rPr>
      </w:pPr>
    </w:p>
    <w:p w14:paraId="5726FAAF" w14:textId="77777777" w:rsidR="007F656F" w:rsidRDefault="007F656F" w:rsidP="007F656F">
      <w:pPr>
        <w:spacing w:line="275" w:lineRule="exact"/>
        <w:ind w:left="586"/>
        <w:rPr>
          <w:sz w:val="24"/>
        </w:rPr>
      </w:pPr>
      <w:r>
        <w:rPr>
          <w:sz w:val="24"/>
        </w:rPr>
        <w:t xml:space="preserve">Almatsier, S. (2001). </w:t>
      </w:r>
      <w:r>
        <w:rPr>
          <w:i/>
          <w:sz w:val="24"/>
        </w:rPr>
        <w:t>Prinsip dasar ilmu gizi</w:t>
      </w:r>
      <w:r>
        <w:rPr>
          <w:sz w:val="24"/>
        </w:rPr>
        <w:t>. PT. Gramedia Pustaka</w:t>
      </w:r>
      <w:r>
        <w:rPr>
          <w:spacing w:val="59"/>
          <w:sz w:val="24"/>
        </w:rPr>
        <w:t xml:space="preserve"> </w:t>
      </w:r>
      <w:r>
        <w:rPr>
          <w:sz w:val="24"/>
        </w:rPr>
        <w:t>Utama.</w:t>
      </w:r>
    </w:p>
    <w:p w14:paraId="0D6BFF7E" w14:textId="77777777" w:rsidR="007F656F" w:rsidRDefault="007F656F" w:rsidP="007F656F">
      <w:pPr>
        <w:pStyle w:val="BodyText"/>
        <w:spacing w:line="275" w:lineRule="exact"/>
        <w:ind w:left="1297"/>
      </w:pPr>
      <w:r>
        <w:t>Jakarta.</w:t>
      </w:r>
    </w:p>
    <w:p w14:paraId="0335382E" w14:textId="77777777" w:rsidR="007F656F" w:rsidRDefault="007F656F" w:rsidP="007F656F">
      <w:pPr>
        <w:pStyle w:val="BodyText"/>
        <w:spacing w:before="9"/>
        <w:rPr>
          <w:sz w:val="23"/>
        </w:rPr>
      </w:pPr>
    </w:p>
    <w:p w14:paraId="2BB8E10D" w14:textId="77777777" w:rsidR="007F656F" w:rsidRDefault="007F656F" w:rsidP="007F656F">
      <w:pPr>
        <w:pStyle w:val="BodyText"/>
        <w:spacing w:before="1" w:line="242" w:lineRule="auto"/>
        <w:ind w:left="1297" w:right="303" w:hanging="711"/>
        <w:jc w:val="both"/>
      </w:pPr>
      <w:r>
        <w:t xml:space="preserve">Barasi, M. (2007). </w:t>
      </w:r>
      <w:r>
        <w:rPr>
          <w:i/>
        </w:rPr>
        <w:t>Nutrition at a Glance</w:t>
      </w:r>
      <w:r>
        <w:t xml:space="preserve">. Penerjemah: Hermin. 2009. </w:t>
      </w:r>
      <w:r>
        <w:rPr>
          <w:spacing w:val="-3"/>
        </w:rPr>
        <w:t xml:space="preserve">At </w:t>
      </w:r>
      <w:r>
        <w:t xml:space="preserve">a Glance: </w:t>
      </w:r>
      <w:r>
        <w:rPr>
          <w:spacing w:val="-3"/>
        </w:rPr>
        <w:t xml:space="preserve">Ilmu </w:t>
      </w:r>
      <w:r>
        <w:t>Gizi. Jakarta:</w:t>
      </w:r>
      <w:r>
        <w:rPr>
          <w:spacing w:val="6"/>
        </w:rPr>
        <w:t xml:space="preserve"> </w:t>
      </w:r>
      <w:r>
        <w:t>Erlangga.</w:t>
      </w:r>
    </w:p>
    <w:p w14:paraId="6E9E8D3C" w14:textId="77777777" w:rsidR="007F656F" w:rsidRDefault="007F656F" w:rsidP="007F656F">
      <w:pPr>
        <w:pStyle w:val="BodyText"/>
        <w:spacing w:before="10"/>
        <w:rPr>
          <w:sz w:val="23"/>
        </w:rPr>
      </w:pPr>
    </w:p>
    <w:p w14:paraId="539D1BA6" w14:textId="77777777" w:rsidR="007F656F" w:rsidRDefault="007F656F" w:rsidP="007F656F">
      <w:pPr>
        <w:pStyle w:val="BodyText"/>
        <w:spacing w:line="237" w:lineRule="auto"/>
        <w:ind w:left="1297" w:right="308" w:hanging="711"/>
        <w:jc w:val="both"/>
      </w:pPr>
      <w:r>
        <w:t>Farnsworth, N. R., (1966). Biological and Phytochemical Screening of Plants, J.Pharm. Sci., 55(3), 225-276.</w:t>
      </w:r>
    </w:p>
    <w:p w14:paraId="4D3A9C06" w14:textId="77777777" w:rsidR="007F656F" w:rsidRDefault="007F656F" w:rsidP="007F656F">
      <w:pPr>
        <w:pStyle w:val="BodyText"/>
        <w:spacing w:before="1"/>
      </w:pPr>
    </w:p>
    <w:p w14:paraId="5C808186" w14:textId="77777777" w:rsidR="007F656F" w:rsidRDefault="007F656F" w:rsidP="007F656F">
      <w:pPr>
        <w:pStyle w:val="BodyText"/>
        <w:spacing w:before="1" w:line="242" w:lineRule="auto"/>
        <w:ind w:left="1297" w:right="299" w:hanging="711"/>
        <w:jc w:val="both"/>
      </w:pPr>
      <w:r>
        <w:t xml:space="preserve">Fox C, Ramsoomair D, Carter C. (2001). Magnesium: its proven and potential clinical significance. </w:t>
      </w:r>
      <w:r>
        <w:rPr>
          <w:i/>
        </w:rPr>
        <w:t xml:space="preserve">South Med J. </w:t>
      </w:r>
      <w:r>
        <w:t>94: 1195-201</w:t>
      </w:r>
    </w:p>
    <w:p w14:paraId="48F5C85F" w14:textId="77777777" w:rsidR="007F656F" w:rsidRDefault="007F656F" w:rsidP="007F656F">
      <w:pPr>
        <w:pStyle w:val="BodyText"/>
        <w:spacing w:before="10"/>
        <w:rPr>
          <w:sz w:val="23"/>
        </w:rPr>
      </w:pPr>
    </w:p>
    <w:p w14:paraId="1814C46C" w14:textId="77777777" w:rsidR="007F656F" w:rsidRDefault="007F656F" w:rsidP="007F656F">
      <w:pPr>
        <w:spacing w:line="237" w:lineRule="auto"/>
        <w:ind w:left="1297" w:right="306" w:hanging="711"/>
        <w:jc w:val="both"/>
        <w:rPr>
          <w:sz w:val="24"/>
        </w:rPr>
      </w:pPr>
      <w:r>
        <w:rPr>
          <w:sz w:val="24"/>
        </w:rPr>
        <w:t xml:space="preserve">Gandjar, I.G. dan Rohman, A., (2012). </w:t>
      </w:r>
      <w:r>
        <w:rPr>
          <w:i/>
          <w:sz w:val="24"/>
        </w:rPr>
        <w:t>Analisis Obat secara Spektroskopi dan Kromatografi, 70-72</w:t>
      </w:r>
      <w:r>
        <w:rPr>
          <w:sz w:val="24"/>
        </w:rPr>
        <w:t>. Yogyakarta, Pustaka Pelajar.</w:t>
      </w:r>
    </w:p>
    <w:p w14:paraId="6FC029E4" w14:textId="77777777" w:rsidR="007F656F" w:rsidRDefault="007F656F" w:rsidP="007F656F">
      <w:pPr>
        <w:spacing w:line="237" w:lineRule="auto"/>
        <w:ind w:left="1297" w:right="306" w:hanging="711"/>
        <w:jc w:val="both"/>
        <w:rPr>
          <w:sz w:val="24"/>
        </w:rPr>
      </w:pPr>
    </w:p>
    <w:p w14:paraId="3A13F4AF" w14:textId="77777777" w:rsidR="007F656F" w:rsidRPr="007F656F" w:rsidRDefault="007F656F" w:rsidP="007F656F">
      <w:pPr>
        <w:spacing w:line="237" w:lineRule="auto"/>
        <w:ind w:left="1297" w:right="306" w:hanging="711"/>
        <w:jc w:val="both"/>
        <w:rPr>
          <w:sz w:val="24"/>
        </w:rPr>
      </w:pPr>
      <w:r>
        <w:rPr>
          <w:sz w:val="24"/>
        </w:rPr>
        <w:t xml:space="preserve">Gunawan, D dan Mulyani S. (2004). </w:t>
      </w:r>
      <w:r>
        <w:rPr>
          <w:i/>
          <w:sz w:val="24"/>
        </w:rPr>
        <w:t>Ilmu Obat Alam</w:t>
      </w:r>
      <w:r>
        <w:rPr>
          <w:sz w:val="24"/>
        </w:rPr>
        <w:t xml:space="preserve">.Penebar Swadaya : Jakarta. Harborne, J.B. (1987). </w:t>
      </w:r>
      <w:r>
        <w:rPr>
          <w:i/>
          <w:sz w:val="24"/>
        </w:rPr>
        <w:t>Metode Fitokimia Penuntun Cara Modern Menganalisis Tumbuhan</w:t>
      </w:r>
      <w:r>
        <w:rPr>
          <w:sz w:val="24"/>
        </w:rPr>
        <w:t>. Penerbit ITB. Bandung.</w:t>
      </w:r>
    </w:p>
    <w:p w14:paraId="2A9EA3EF" w14:textId="77777777" w:rsidR="007F656F" w:rsidRDefault="007F656F" w:rsidP="007F656F">
      <w:pPr>
        <w:pStyle w:val="BodyText"/>
        <w:spacing w:before="3"/>
      </w:pPr>
    </w:p>
    <w:p w14:paraId="2303D0CE" w14:textId="77777777" w:rsidR="007F656F" w:rsidRDefault="007F656F" w:rsidP="007F656F">
      <w:pPr>
        <w:spacing w:line="237" w:lineRule="auto"/>
        <w:ind w:left="1297" w:right="305" w:hanging="711"/>
        <w:jc w:val="both"/>
        <w:rPr>
          <w:sz w:val="24"/>
        </w:rPr>
      </w:pPr>
      <w:r>
        <w:rPr>
          <w:sz w:val="24"/>
        </w:rPr>
        <w:t xml:space="preserve">Harmita. 2004. </w:t>
      </w:r>
      <w:r>
        <w:rPr>
          <w:i/>
          <w:sz w:val="24"/>
        </w:rPr>
        <w:t>Petunjuk Pelaksanaan Validasi Metode dan Cara  Perhitungannya</w:t>
      </w:r>
      <w:r>
        <w:rPr>
          <w:sz w:val="24"/>
        </w:rPr>
        <w:t xml:space="preserve">. Majalah Ilmu Kefarmasian, Vol. I, No. </w:t>
      </w:r>
      <w:r>
        <w:rPr>
          <w:spacing w:val="-3"/>
          <w:sz w:val="24"/>
        </w:rPr>
        <w:t>3,</w:t>
      </w:r>
      <w:r>
        <w:rPr>
          <w:spacing w:val="1"/>
          <w:sz w:val="24"/>
        </w:rPr>
        <w:t xml:space="preserve"> </w:t>
      </w:r>
      <w:r>
        <w:rPr>
          <w:sz w:val="24"/>
        </w:rPr>
        <w:t>Desember.</w:t>
      </w:r>
    </w:p>
    <w:p w14:paraId="646E4587" w14:textId="77777777" w:rsidR="007F656F" w:rsidRDefault="007F656F" w:rsidP="007F656F">
      <w:pPr>
        <w:pStyle w:val="BodyText"/>
        <w:spacing w:before="1"/>
      </w:pPr>
    </w:p>
    <w:p w14:paraId="756E2BF3" w14:textId="77777777" w:rsidR="007F656F" w:rsidRDefault="007F656F" w:rsidP="007F656F">
      <w:pPr>
        <w:pStyle w:val="BodyText"/>
        <w:spacing w:line="242" w:lineRule="auto"/>
        <w:ind w:left="1297" w:right="306" w:hanging="711"/>
        <w:jc w:val="both"/>
      </w:pPr>
      <w:r>
        <w:t xml:space="preserve">Jensen, L, P. dan </w:t>
      </w:r>
      <w:r>
        <w:rPr>
          <w:spacing w:val="-3"/>
        </w:rPr>
        <w:t xml:space="preserve">Lai, A, </w:t>
      </w:r>
      <w:r>
        <w:t xml:space="preserve">R. (1986). Chayote (Sechium edule) causing hypokalemia </w:t>
      </w:r>
      <w:r>
        <w:rPr>
          <w:spacing w:val="-3"/>
        </w:rPr>
        <w:t xml:space="preserve">in </w:t>
      </w:r>
      <w:r>
        <w:t xml:space="preserve">pregnancy. Am. J. </w:t>
      </w:r>
      <w:r>
        <w:rPr>
          <w:i/>
        </w:rPr>
        <w:t>Obts. Gynecol, 5,</w:t>
      </w:r>
      <w:r>
        <w:rPr>
          <w:i/>
          <w:spacing w:val="22"/>
        </w:rPr>
        <w:t xml:space="preserve"> </w:t>
      </w:r>
      <w:r>
        <w:t>1048-1049.</w:t>
      </w:r>
    </w:p>
    <w:p w14:paraId="6D2DA689" w14:textId="77777777" w:rsidR="007F656F" w:rsidRDefault="007F656F" w:rsidP="003E5F3A">
      <w:pPr>
        <w:pStyle w:val="BodyText"/>
        <w:spacing w:line="242" w:lineRule="auto"/>
        <w:ind w:right="306"/>
        <w:jc w:val="both"/>
      </w:pPr>
    </w:p>
    <w:p w14:paraId="0B5AC950" w14:textId="77777777" w:rsidR="007F656F" w:rsidRDefault="007F656F" w:rsidP="007F656F">
      <w:pPr>
        <w:pStyle w:val="BodyText"/>
        <w:spacing w:line="242" w:lineRule="auto"/>
        <w:ind w:left="1297" w:right="306" w:hanging="711"/>
        <w:jc w:val="both"/>
      </w:pPr>
      <w:r>
        <w:t xml:space="preserve">Joseph, HK. (2010). </w:t>
      </w:r>
      <w:r>
        <w:rPr>
          <w:i/>
        </w:rPr>
        <w:t xml:space="preserve">Ginekologi dan Obsteri (Obsgyn). </w:t>
      </w:r>
      <w:r>
        <w:t xml:space="preserve">Yogyakarta: Nuha Medika </w:t>
      </w:r>
      <w:r>
        <w:rPr>
          <w:i/>
        </w:rPr>
        <w:t xml:space="preserve">dan Produktivitas Kerja. </w:t>
      </w:r>
      <w:r>
        <w:t>Jakarta: Rineka Cipta. Hal. 90,92.</w:t>
      </w:r>
    </w:p>
    <w:p w14:paraId="34E9B923" w14:textId="77777777" w:rsidR="007F656F" w:rsidRDefault="007F656F" w:rsidP="007F656F">
      <w:pPr>
        <w:pStyle w:val="BodyText"/>
        <w:spacing w:line="242" w:lineRule="auto"/>
        <w:ind w:left="1297" w:right="306" w:hanging="711"/>
        <w:jc w:val="both"/>
      </w:pPr>
    </w:p>
    <w:p w14:paraId="75A030FA" w14:textId="441EBF7E" w:rsidR="00583946" w:rsidRDefault="007F656F" w:rsidP="003E5F3A">
      <w:pPr>
        <w:pStyle w:val="BodyText"/>
        <w:spacing w:line="242" w:lineRule="auto"/>
        <w:ind w:left="1297" w:right="306" w:hanging="711"/>
        <w:jc w:val="both"/>
      </w:pPr>
      <w:r>
        <w:t xml:space="preserve">Kartasapoetra, G dan Marsetyo, H. (2008). </w:t>
      </w:r>
      <w:r>
        <w:rPr>
          <w:i/>
        </w:rPr>
        <w:t xml:space="preserve">Ilmu Gizi: Korelasi Gizi, Kesehatan dan Produktivitas Kerja. </w:t>
      </w:r>
      <w:r>
        <w:t>Jakarta: Rineka Cipta. Hal. 90,92.</w:t>
      </w:r>
    </w:p>
    <w:p w14:paraId="2B36CFBC" w14:textId="77777777" w:rsidR="003E5F3A" w:rsidRDefault="007F656F" w:rsidP="007F656F">
      <w:pPr>
        <w:spacing w:before="216"/>
        <w:ind w:left="1297" w:right="295" w:hanging="711"/>
        <w:jc w:val="both"/>
        <w:rPr>
          <w:sz w:val="24"/>
        </w:rPr>
        <w:sectPr w:rsidR="003E5F3A" w:rsidSect="003E5F3A">
          <w:footerReference w:type="default" r:id="rId6"/>
          <w:pgSz w:w="12240" w:h="15840"/>
          <w:pgMar w:top="1701" w:right="1701" w:bottom="1701" w:left="2268" w:header="708" w:footer="708" w:gutter="0"/>
          <w:pgNumType w:start="35"/>
          <w:cols w:space="708"/>
          <w:docGrid w:linePitch="360"/>
        </w:sectPr>
      </w:pPr>
      <w:r>
        <w:rPr>
          <w:sz w:val="24"/>
        </w:rPr>
        <w:t xml:space="preserve">Khopkar, S. M. (1990). </w:t>
      </w:r>
      <w:r>
        <w:rPr>
          <w:i/>
          <w:sz w:val="24"/>
        </w:rPr>
        <w:t>Basic Concepts of Analytical Chemistry</w:t>
      </w:r>
      <w:r>
        <w:rPr>
          <w:sz w:val="24"/>
        </w:rPr>
        <w:t xml:space="preserve">. Penerjemah: Saptoraharjo, A., dan Nurhadi, A. (2008). </w:t>
      </w:r>
      <w:r>
        <w:rPr>
          <w:i/>
          <w:sz w:val="24"/>
        </w:rPr>
        <w:t>Konsep Dasar Kimia</w:t>
      </w:r>
      <w:r w:rsidR="003E5F3A">
        <w:rPr>
          <w:i/>
          <w:sz w:val="24"/>
          <w:lang w:val="en-US"/>
        </w:rPr>
        <w:t xml:space="preserve"> </w:t>
      </w:r>
      <w:r>
        <w:rPr>
          <w:i/>
          <w:sz w:val="24"/>
        </w:rPr>
        <w:t>Analitik</w:t>
      </w:r>
      <w:r>
        <w:rPr>
          <w:sz w:val="24"/>
        </w:rPr>
        <w:t>. Jakarta: UI-Press. Hal.275,283.</w:t>
      </w:r>
    </w:p>
    <w:p w14:paraId="2B9EA108" w14:textId="77777777" w:rsidR="007F656F" w:rsidRPr="007F656F" w:rsidRDefault="007F656F" w:rsidP="003E5F3A">
      <w:pPr>
        <w:spacing w:before="216"/>
        <w:ind w:left="1297" w:right="295" w:hanging="730"/>
        <w:jc w:val="both"/>
        <w:rPr>
          <w:sz w:val="24"/>
        </w:rPr>
      </w:pPr>
      <w:r>
        <w:rPr>
          <w:sz w:val="24"/>
        </w:rPr>
        <w:lastRenderedPageBreak/>
        <w:t xml:space="preserve">Khopkar, S. (1985). </w:t>
      </w:r>
      <w:r>
        <w:rPr>
          <w:i/>
          <w:sz w:val="24"/>
        </w:rPr>
        <w:t xml:space="preserve">Basic Concept of Analytical Chemistry New York. </w:t>
      </w:r>
      <w:r>
        <w:rPr>
          <w:sz w:val="24"/>
        </w:rPr>
        <w:t>New York</w:t>
      </w:r>
      <w:r>
        <w:t>: Wiley Eastern Limited, 1985.</w:t>
      </w:r>
    </w:p>
    <w:p w14:paraId="7F946C12" w14:textId="77777777" w:rsidR="007F656F" w:rsidRDefault="007F656F" w:rsidP="007F656F">
      <w:pPr>
        <w:pStyle w:val="BodyText"/>
      </w:pPr>
    </w:p>
    <w:p w14:paraId="7C02E945" w14:textId="77777777" w:rsidR="007F656F" w:rsidRDefault="007F656F" w:rsidP="007F656F">
      <w:pPr>
        <w:ind w:left="1297" w:right="300" w:hanging="711"/>
        <w:jc w:val="both"/>
        <w:rPr>
          <w:sz w:val="24"/>
        </w:rPr>
      </w:pPr>
      <w:r>
        <w:rPr>
          <w:sz w:val="24"/>
        </w:rPr>
        <w:t xml:space="preserve">Modgil, M., R. Modgil, dan R. Kumar. (2004). </w:t>
      </w:r>
      <w:r>
        <w:rPr>
          <w:i/>
          <w:sz w:val="24"/>
        </w:rPr>
        <w:t xml:space="preserve">Carbohydrate and Mineral Content </w:t>
      </w:r>
      <w:r>
        <w:rPr>
          <w:i/>
          <w:spacing w:val="-3"/>
          <w:sz w:val="24"/>
        </w:rPr>
        <w:t xml:space="preserve">of </w:t>
      </w:r>
      <w:r>
        <w:rPr>
          <w:i/>
          <w:sz w:val="24"/>
        </w:rPr>
        <w:t>Chyote (Sechium edule) and Bottle Gourd (Lagenaria Siceraria)</w:t>
      </w:r>
      <w:r>
        <w:rPr>
          <w:sz w:val="24"/>
        </w:rPr>
        <w:t>. Hum Ecol. 15(2):</w:t>
      </w:r>
      <w:r>
        <w:rPr>
          <w:spacing w:val="-3"/>
          <w:sz w:val="24"/>
        </w:rPr>
        <w:t xml:space="preserve"> </w:t>
      </w:r>
      <w:r>
        <w:rPr>
          <w:sz w:val="24"/>
        </w:rPr>
        <w:t>157-159.</w:t>
      </w:r>
    </w:p>
    <w:p w14:paraId="16BBEA4A" w14:textId="77777777" w:rsidR="007F656F" w:rsidRDefault="007F656F" w:rsidP="007F656F">
      <w:pPr>
        <w:pStyle w:val="BodyText"/>
        <w:spacing w:before="1"/>
      </w:pPr>
    </w:p>
    <w:p w14:paraId="4217D3DA" w14:textId="77777777" w:rsidR="007F656F" w:rsidRDefault="007F656F" w:rsidP="007F656F">
      <w:pPr>
        <w:ind w:left="586"/>
        <w:jc w:val="both"/>
        <w:rPr>
          <w:sz w:val="24"/>
        </w:rPr>
      </w:pPr>
      <w:r>
        <w:rPr>
          <w:sz w:val="24"/>
        </w:rPr>
        <w:t xml:space="preserve">Prahasta A, (2009). </w:t>
      </w:r>
      <w:r>
        <w:rPr>
          <w:i/>
          <w:sz w:val="24"/>
        </w:rPr>
        <w:t>Agribisnis Labu Siam</w:t>
      </w:r>
      <w:r>
        <w:rPr>
          <w:sz w:val="24"/>
        </w:rPr>
        <w:t>. Bandung: Pustaka Grafika.</w:t>
      </w:r>
    </w:p>
    <w:p w14:paraId="27272A2A" w14:textId="77777777" w:rsidR="007F656F" w:rsidRDefault="007F656F" w:rsidP="007F656F">
      <w:pPr>
        <w:pStyle w:val="BodyText"/>
        <w:spacing w:before="9"/>
        <w:rPr>
          <w:sz w:val="23"/>
        </w:rPr>
      </w:pPr>
    </w:p>
    <w:p w14:paraId="24894A2D" w14:textId="77777777" w:rsidR="007F656F" w:rsidRDefault="007F656F" w:rsidP="005F076E">
      <w:pPr>
        <w:pStyle w:val="BodyText"/>
        <w:spacing w:before="32" w:line="552" w:lineRule="exact"/>
        <w:ind w:left="586" w:right="299"/>
        <w:jc w:val="both"/>
      </w:pPr>
      <w:r>
        <w:t xml:space="preserve">Rohman, A. (2007). </w:t>
      </w:r>
      <w:r>
        <w:rPr>
          <w:i/>
        </w:rPr>
        <w:t>Kimia Farmasi Analisis</w:t>
      </w:r>
      <w:r>
        <w:t xml:space="preserve">. Yogyakarta : Pustaka Pelajar. </w:t>
      </w:r>
    </w:p>
    <w:p w14:paraId="41EF6DAD" w14:textId="77777777" w:rsidR="005F076E" w:rsidRDefault="005F076E" w:rsidP="005F076E">
      <w:pPr>
        <w:pStyle w:val="BodyText"/>
        <w:spacing w:before="32" w:line="552" w:lineRule="exact"/>
        <w:ind w:left="586" w:right="299"/>
        <w:jc w:val="both"/>
      </w:pPr>
    </w:p>
    <w:p w14:paraId="194F4AB6" w14:textId="77777777" w:rsidR="007F656F" w:rsidRDefault="007F656F" w:rsidP="007F656F">
      <w:pPr>
        <w:spacing w:before="1" w:line="244" w:lineRule="auto"/>
        <w:ind w:left="1297" w:right="303" w:hanging="711"/>
        <w:jc w:val="both"/>
        <w:rPr>
          <w:rFonts w:ascii="Carlito"/>
        </w:rPr>
      </w:pPr>
      <w:r>
        <w:t>Robinson, T. (1995). Kandungan Organik Tumbuhan Tinggi, Edisi VI, Hal 191-216, Diterjemahkan oleh Kosasih Padmawinata, ITB, Bandung.</w:t>
      </w:r>
    </w:p>
    <w:p w14:paraId="11F1D8D3" w14:textId="77777777" w:rsidR="007F656F" w:rsidRDefault="007F656F" w:rsidP="007F656F">
      <w:pPr>
        <w:pStyle w:val="BodyText"/>
      </w:pPr>
    </w:p>
    <w:p w14:paraId="0617CCAE" w14:textId="77777777" w:rsidR="007F656F" w:rsidRDefault="007F656F" w:rsidP="007F656F">
      <w:pPr>
        <w:spacing w:line="242" w:lineRule="auto"/>
        <w:ind w:left="1297" w:right="299" w:hanging="711"/>
        <w:jc w:val="both"/>
        <w:rPr>
          <w:sz w:val="24"/>
        </w:rPr>
      </w:pPr>
      <w:r>
        <w:rPr>
          <w:sz w:val="24"/>
        </w:rPr>
        <w:t xml:space="preserve">Rosmarkan, A dan Yuwono, N. W. (2002). </w:t>
      </w:r>
      <w:r>
        <w:rPr>
          <w:i/>
          <w:sz w:val="24"/>
        </w:rPr>
        <w:t xml:space="preserve">Ilmu Kesuburan Tanah. </w:t>
      </w:r>
      <w:r>
        <w:rPr>
          <w:sz w:val="24"/>
        </w:rPr>
        <w:t>Yogyakarta: Kanisius. Hal. 31 dan 60.</w:t>
      </w:r>
    </w:p>
    <w:p w14:paraId="5A13E143" w14:textId="77777777" w:rsidR="007F656F" w:rsidRDefault="007F656F" w:rsidP="007F656F">
      <w:pPr>
        <w:pStyle w:val="BodyText"/>
        <w:spacing w:before="11"/>
        <w:rPr>
          <w:sz w:val="23"/>
        </w:rPr>
      </w:pPr>
    </w:p>
    <w:p w14:paraId="47B5AE11" w14:textId="77777777" w:rsidR="007F656F" w:rsidRDefault="007F656F" w:rsidP="007F656F">
      <w:pPr>
        <w:spacing w:line="237" w:lineRule="auto"/>
        <w:ind w:left="1297" w:right="306" w:hanging="711"/>
        <w:jc w:val="both"/>
        <w:rPr>
          <w:sz w:val="24"/>
        </w:rPr>
      </w:pPr>
      <w:r>
        <w:rPr>
          <w:sz w:val="24"/>
        </w:rPr>
        <w:t xml:space="preserve">Saade, R. L., (1996). </w:t>
      </w:r>
      <w:r>
        <w:rPr>
          <w:i/>
          <w:sz w:val="24"/>
        </w:rPr>
        <w:t xml:space="preserve">Chayote, Sechium edule (Jacq.) Sw. </w:t>
      </w:r>
      <w:r>
        <w:rPr>
          <w:sz w:val="24"/>
        </w:rPr>
        <w:t>International Plant Genetic Resources Institute , 8-46.</w:t>
      </w:r>
    </w:p>
    <w:p w14:paraId="1FE39D24" w14:textId="77777777" w:rsidR="007F656F" w:rsidRDefault="007F656F" w:rsidP="007F656F">
      <w:pPr>
        <w:pStyle w:val="BodyText"/>
        <w:spacing w:before="1"/>
      </w:pPr>
    </w:p>
    <w:p w14:paraId="7A10352F" w14:textId="77777777" w:rsidR="005F076E" w:rsidRDefault="007F656F" w:rsidP="00443777">
      <w:pPr>
        <w:pStyle w:val="BodyText"/>
        <w:spacing w:line="242" w:lineRule="auto"/>
        <w:ind w:left="1297" w:right="304" w:hanging="711"/>
        <w:jc w:val="both"/>
      </w:pPr>
      <w:r>
        <w:t xml:space="preserve">Schlingmann KP, Konrad M, Seyberth HW. (2004). Genetics of hereditary disorders of magnesium homeostatis. </w:t>
      </w:r>
      <w:r>
        <w:rPr>
          <w:i/>
        </w:rPr>
        <w:t xml:space="preserve">Pediatr Nephrol. </w:t>
      </w:r>
      <w:r>
        <w:t>19: 13-25</w:t>
      </w:r>
    </w:p>
    <w:p w14:paraId="5AD53460" w14:textId="77777777" w:rsidR="007F656F" w:rsidRDefault="007F656F" w:rsidP="007F656F">
      <w:pPr>
        <w:pStyle w:val="BodyText"/>
        <w:spacing w:before="11"/>
        <w:rPr>
          <w:sz w:val="23"/>
        </w:rPr>
      </w:pPr>
    </w:p>
    <w:p w14:paraId="40471AB8" w14:textId="77777777" w:rsidR="007F656F" w:rsidRDefault="007F656F" w:rsidP="007F656F">
      <w:pPr>
        <w:spacing w:before="1"/>
        <w:ind w:left="1297" w:right="302" w:hanging="711"/>
        <w:jc w:val="both"/>
        <w:rPr>
          <w:sz w:val="24"/>
        </w:rPr>
      </w:pPr>
      <w:r>
        <w:rPr>
          <w:sz w:val="24"/>
        </w:rPr>
        <w:t xml:space="preserve">Sitanggang, S. S. (2013). </w:t>
      </w:r>
      <w:r>
        <w:rPr>
          <w:i/>
          <w:sz w:val="24"/>
        </w:rPr>
        <w:t>Penetapan kadar kalsium, kalium, dan natrium dalam buah nanas (ananas comusos (L) Merr.) Cayenne secara spektrofotometri serapan atom</w:t>
      </w:r>
      <w:r>
        <w:rPr>
          <w:sz w:val="24"/>
        </w:rPr>
        <w:t>. Skripsi. Medan: Universitas Sumatera Utara.</w:t>
      </w:r>
    </w:p>
    <w:p w14:paraId="02D8E881" w14:textId="77777777" w:rsidR="007F656F" w:rsidRDefault="007F656F" w:rsidP="007F656F">
      <w:pPr>
        <w:pStyle w:val="BodyText"/>
        <w:spacing w:before="11"/>
        <w:rPr>
          <w:sz w:val="23"/>
        </w:rPr>
      </w:pPr>
    </w:p>
    <w:p w14:paraId="565C404E" w14:textId="77777777" w:rsidR="007F656F" w:rsidRDefault="007F656F" w:rsidP="007F656F">
      <w:pPr>
        <w:ind w:left="1297" w:right="294" w:hanging="711"/>
        <w:jc w:val="both"/>
        <w:rPr>
          <w:sz w:val="24"/>
        </w:rPr>
      </w:pPr>
      <w:r>
        <w:rPr>
          <w:sz w:val="24"/>
        </w:rPr>
        <w:t xml:space="preserve">Surbakti, S. (2010). </w:t>
      </w:r>
      <w:r>
        <w:rPr>
          <w:i/>
          <w:sz w:val="24"/>
        </w:rPr>
        <w:t>Asupan Bahan Makanan dan Gizi Bagi Atlet Renang</w:t>
      </w:r>
      <w:r>
        <w:rPr>
          <w:sz w:val="24"/>
        </w:rPr>
        <w:t>. Jurnal Ilmu Keolahragaan. Fakut\ltas Ilmu Keolahragaan UNIMED Medan Vol 8(2) : 108-122.</w:t>
      </w:r>
    </w:p>
    <w:p w14:paraId="2C1BC6F5" w14:textId="77777777" w:rsidR="007F656F" w:rsidRDefault="007F656F" w:rsidP="007F656F">
      <w:pPr>
        <w:pStyle w:val="BodyText"/>
        <w:spacing w:before="3"/>
        <w:rPr>
          <w:sz w:val="21"/>
        </w:rPr>
      </w:pPr>
    </w:p>
    <w:p w14:paraId="40AC6E95" w14:textId="77777777" w:rsidR="007F656F" w:rsidRDefault="007F656F" w:rsidP="007F656F">
      <w:pPr>
        <w:pStyle w:val="BodyText"/>
        <w:spacing w:line="242" w:lineRule="auto"/>
        <w:ind w:left="1297" w:right="313" w:hanging="711"/>
        <w:jc w:val="both"/>
      </w:pPr>
      <w:r>
        <w:t xml:space="preserve">Watson, D. </w:t>
      </w:r>
      <w:r>
        <w:rPr>
          <w:spacing w:val="-3"/>
        </w:rPr>
        <w:t xml:space="preserve">G. </w:t>
      </w:r>
      <w:r>
        <w:t xml:space="preserve">(2005). </w:t>
      </w:r>
      <w:r>
        <w:rPr>
          <w:i/>
        </w:rPr>
        <w:t xml:space="preserve">Analisis Farmasi </w:t>
      </w:r>
      <w:r>
        <w:t>Edisi kedua. Jakarta : EGC Penerbit  Buku</w:t>
      </w:r>
      <w:r>
        <w:rPr>
          <w:spacing w:val="1"/>
        </w:rPr>
        <w:t xml:space="preserve"> </w:t>
      </w:r>
      <w:r>
        <w:t>Kedokteran</w:t>
      </w:r>
    </w:p>
    <w:p w14:paraId="321B3235" w14:textId="77777777" w:rsidR="007F656F" w:rsidRDefault="007F656F" w:rsidP="007F656F">
      <w:pPr>
        <w:pStyle w:val="BodyText"/>
        <w:spacing w:before="9"/>
        <w:rPr>
          <w:sz w:val="23"/>
        </w:rPr>
      </w:pPr>
    </w:p>
    <w:p w14:paraId="5861DA31" w14:textId="77777777" w:rsidR="007F656F" w:rsidRPr="00443777" w:rsidRDefault="007F656F" w:rsidP="00443777">
      <w:pPr>
        <w:ind w:left="1297" w:right="300" w:hanging="711"/>
        <w:jc w:val="both"/>
        <w:rPr>
          <w:sz w:val="24"/>
        </w:rPr>
      </w:pPr>
      <w:r>
        <w:rPr>
          <w:sz w:val="24"/>
        </w:rPr>
        <w:t xml:space="preserve">Yaswir, R. dan Ira, F. (2012). </w:t>
      </w:r>
      <w:r>
        <w:rPr>
          <w:i/>
          <w:sz w:val="24"/>
        </w:rPr>
        <w:t xml:space="preserve">Fisiologi dan Gangguan Keseimbangan Natrium, Kalium dan Klorida serta Pemeriksaan Laboratorium. </w:t>
      </w:r>
      <w:r>
        <w:rPr>
          <w:sz w:val="24"/>
        </w:rPr>
        <w:t>Jurnal Kesehatan Andalas 2012;1(2) FK-Unand.</w:t>
      </w:r>
    </w:p>
    <w:p w14:paraId="3CFC79D2" w14:textId="77777777" w:rsidR="00C048A9" w:rsidRDefault="00550E1A"/>
    <w:sectPr w:rsidR="00C048A9" w:rsidSect="007F656F">
      <w:headerReference w:type="default" r:id="rId7"/>
      <w:footerReference w:type="default" r:id="rId8"/>
      <w:pgSz w:w="12240" w:h="15840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16A31" w14:textId="77777777" w:rsidR="00550E1A" w:rsidRDefault="00550E1A" w:rsidP="003E5F3A">
      <w:r>
        <w:separator/>
      </w:r>
    </w:p>
  </w:endnote>
  <w:endnote w:type="continuationSeparator" w:id="0">
    <w:p w14:paraId="7210758F" w14:textId="77777777" w:rsidR="00550E1A" w:rsidRDefault="00550E1A" w:rsidP="003E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6278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C5682" w14:textId="36B52F87" w:rsidR="003E5F3A" w:rsidRDefault="003E5F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2F8C1F" w14:textId="77777777" w:rsidR="003E5F3A" w:rsidRDefault="003E5F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69DB" w14:textId="3AB42835" w:rsidR="003E5F3A" w:rsidRDefault="003E5F3A" w:rsidP="003E5F3A">
    <w:pPr>
      <w:pStyle w:val="Footer"/>
    </w:pPr>
  </w:p>
  <w:p w14:paraId="294DD964" w14:textId="77777777" w:rsidR="003E5F3A" w:rsidRDefault="003E5F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85C8A" w14:textId="77777777" w:rsidR="00550E1A" w:rsidRDefault="00550E1A" w:rsidP="003E5F3A">
      <w:r>
        <w:separator/>
      </w:r>
    </w:p>
  </w:footnote>
  <w:footnote w:type="continuationSeparator" w:id="0">
    <w:p w14:paraId="387C249F" w14:textId="77777777" w:rsidR="00550E1A" w:rsidRDefault="00550E1A" w:rsidP="003E5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79460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A8188F" w14:textId="1F65DF5C" w:rsidR="003E5F3A" w:rsidRDefault="003E5F3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5041FF" w14:textId="77777777" w:rsidR="003E5F3A" w:rsidRDefault="003E5F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6F"/>
    <w:rsid w:val="003E5F3A"/>
    <w:rsid w:val="00443777"/>
    <w:rsid w:val="00550E1A"/>
    <w:rsid w:val="00583946"/>
    <w:rsid w:val="005F076E"/>
    <w:rsid w:val="007F656F"/>
    <w:rsid w:val="00A57083"/>
    <w:rsid w:val="00C8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4C47"/>
  <w15:docId w15:val="{450B2190-1ED3-4C3C-AB58-81D337DC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F65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F65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F656F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3E5F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F3A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3E5F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F3A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Acer</dc:creator>
  <cp:lastModifiedBy>LENOVO</cp:lastModifiedBy>
  <cp:revision>3</cp:revision>
  <dcterms:created xsi:type="dcterms:W3CDTF">2021-10-26T15:53:00Z</dcterms:created>
  <dcterms:modified xsi:type="dcterms:W3CDTF">2021-10-27T05:03:00Z</dcterms:modified>
</cp:coreProperties>
</file>