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8B" w:rsidRDefault="0015388B" w:rsidP="0015388B">
      <w:pPr>
        <w:tabs>
          <w:tab w:val="left" w:pos="7938"/>
        </w:tabs>
        <w:spacing w:before="100" w:beforeAutospacing="1" w:after="100" w:afterAutospacing="1" w:line="240" w:lineRule="auto"/>
        <w:contextualSpacing/>
        <w:jc w:val="center"/>
        <w:rPr>
          <w:rFonts w:ascii="Times New Roman" w:hAnsi="Times New Roman" w:cs="Times New Roman"/>
          <w:b/>
          <w:noProof/>
          <w:spacing w:val="4"/>
          <w:sz w:val="28"/>
          <w:szCs w:val="28"/>
          <w:lang w:eastAsia="id-ID"/>
        </w:rPr>
      </w:pPr>
      <w:r w:rsidRPr="00D151A4">
        <w:rPr>
          <w:rFonts w:ascii="Times New Roman" w:hAnsi="Times New Roman" w:cs="Times New Roman"/>
          <w:b/>
          <w:noProof/>
          <w:spacing w:val="24"/>
          <w:sz w:val="28"/>
          <w:szCs w:val="28"/>
          <w:lang w:eastAsia="id-ID"/>
        </w:rPr>
        <w:t>ANALISIS PENERAPAN PERENCANAAN PAJAK</w:t>
      </w:r>
      <w:r w:rsidRPr="005A0786">
        <w:rPr>
          <w:rFonts w:ascii="Times New Roman" w:hAnsi="Times New Roman" w:cs="Times New Roman"/>
          <w:b/>
          <w:noProof/>
          <w:sz w:val="28"/>
          <w:szCs w:val="28"/>
          <w:lang w:eastAsia="id-ID"/>
        </w:rPr>
        <w:t xml:space="preserve"> </w:t>
      </w:r>
      <w:r w:rsidRPr="0071332A">
        <w:rPr>
          <w:rFonts w:ascii="Times New Roman" w:hAnsi="Times New Roman" w:cs="Times New Roman"/>
          <w:b/>
          <w:noProof/>
          <w:spacing w:val="24"/>
          <w:sz w:val="28"/>
          <w:szCs w:val="28"/>
          <w:lang w:eastAsia="id-ID"/>
        </w:rPr>
        <w:t>PENGHASILAN PASAL 21 SEBAGAI UPAYA</w:t>
      </w:r>
      <w:r w:rsidRPr="005A0786">
        <w:rPr>
          <w:rFonts w:ascii="Times New Roman" w:hAnsi="Times New Roman" w:cs="Times New Roman"/>
          <w:b/>
          <w:noProof/>
          <w:sz w:val="28"/>
          <w:szCs w:val="28"/>
          <w:lang w:eastAsia="id-ID"/>
        </w:rPr>
        <w:t xml:space="preserve"> </w:t>
      </w:r>
      <w:r w:rsidRPr="008D13FC">
        <w:rPr>
          <w:rFonts w:ascii="Times New Roman" w:hAnsi="Times New Roman" w:cs="Times New Roman"/>
          <w:b/>
          <w:noProof/>
          <w:spacing w:val="-2"/>
          <w:sz w:val="28"/>
          <w:szCs w:val="28"/>
          <w:lang w:eastAsia="id-ID"/>
        </w:rPr>
        <w:t>PENGHEMATAN BEBAN PAJAK PENGHASILAN</w:t>
      </w:r>
    </w:p>
    <w:p w:rsidR="0015388B" w:rsidRDefault="0015388B" w:rsidP="0015388B">
      <w:pPr>
        <w:tabs>
          <w:tab w:val="left" w:pos="210"/>
          <w:tab w:val="center" w:pos="3969"/>
        </w:tabs>
        <w:spacing w:after="240"/>
        <w:jc w:val="center"/>
        <w:rPr>
          <w:rFonts w:ascii="Times New Roman" w:hAnsi="Times New Roman" w:cs="Times New Roman"/>
          <w:b/>
          <w:noProof/>
          <w:sz w:val="28"/>
          <w:szCs w:val="28"/>
          <w:lang w:eastAsia="id-ID"/>
        </w:rPr>
      </w:pPr>
      <w:r w:rsidRPr="005A0786">
        <w:rPr>
          <w:rFonts w:ascii="Times New Roman" w:hAnsi="Times New Roman" w:cs="Times New Roman"/>
          <w:b/>
          <w:noProof/>
          <w:spacing w:val="4"/>
          <w:sz w:val="28"/>
          <w:szCs w:val="28"/>
          <w:lang w:eastAsia="id-ID"/>
        </w:rPr>
        <w:t>BADAN</w:t>
      </w:r>
      <w:r w:rsidRPr="005A0786">
        <w:rPr>
          <w:rFonts w:ascii="Times New Roman" w:hAnsi="Times New Roman" w:cs="Times New Roman"/>
          <w:b/>
          <w:noProof/>
          <w:sz w:val="28"/>
          <w:szCs w:val="28"/>
          <w:lang w:eastAsia="id-ID"/>
        </w:rPr>
        <w:t xml:space="preserve"> PADA </w:t>
      </w:r>
      <w:r>
        <w:rPr>
          <w:rFonts w:ascii="Times New Roman" w:hAnsi="Times New Roman" w:cs="Times New Roman"/>
          <w:b/>
          <w:noProof/>
          <w:sz w:val="28"/>
          <w:szCs w:val="28"/>
          <w:lang w:eastAsia="id-ID"/>
        </w:rPr>
        <w:t>PT. SUMBER SAWIT MAKMUR</w:t>
      </w:r>
    </w:p>
    <w:p w:rsidR="0015388B" w:rsidRPr="001946CD" w:rsidRDefault="0015388B" w:rsidP="0015388B">
      <w:pPr>
        <w:tabs>
          <w:tab w:val="left" w:pos="210"/>
          <w:tab w:val="center" w:pos="3969"/>
        </w:tabs>
        <w:spacing w:after="0" w:line="240" w:lineRule="auto"/>
        <w:contextualSpacing/>
        <w:jc w:val="center"/>
        <w:rPr>
          <w:rFonts w:ascii="Times New Roman" w:hAnsi="Times New Roman" w:cs="Times New Roman"/>
          <w:b/>
          <w:noProof/>
          <w:sz w:val="26"/>
          <w:szCs w:val="26"/>
          <w:lang w:eastAsia="id-ID"/>
        </w:rPr>
      </w:pPr>
      <w:r w:rsidRPr="001946CD">
        <w:rPr>
          <w:rFonts w:ascii="Times New Roman" w:hAnsi="Times New Roman" w:cs="Times New Roman"/>
          <w:b/>
          <w:noProof/>
          <w:sz w:val="26"/>
          <w:szCs w:val="26"/>
          <w:lang w:eastAsia="id-ID"/>
        </w:rPr>
        <w:t>NUHRI KHAIRANI</w:t>
      </w:r>
    </w:p>
    <w:p w:rsidR="0015388B" w:rsidRPr="001946CD" w:rsidRDefault="0015388B" w:rsidP="0015388B">
      <w:pPr>
        <w:tabs>
          <w:tab w:val="left" w:pos="210"/>
          <w:tab w:val="center" w:pos="3969"/>
        </w:tabs>
        <w:spacing w:after="0" w:line="240" w:lineRule="auto"/>
        <w:contextualSpacing/>
        <w:jc w:val="center"/>
        <w:rPr>
          <w:rFonts w:ascii="Times New Roman" w:hAnsi="Times New Roman" w:cs="Times New Roman"/>
          <w:b/>
          <w:noProof/>
          <w:sz w:val="26"/>
          <w:szCs w:val="26"/>
          <w:lang w:eastAsia="id-ID"/>
        </w:rPr>
      </w:pPr>
      <w:r w:rsidRPr="001946CD">
        <w:rPr>
          <w:rFonts w:ascii="Times New Roman" w:hAnsi="Times New Roman" w:cs="Times New Roman"/>
          <w:b/>
          <w:noProof/>
          <w:sz w:val="26"/>
          <w:szCs w:val="26"/>
          <w:lang w:eastAsia="id-ID"/>
        </w:rPr>
        <w:t>NPM : 173214098</w:t>
      </w:r>
    </w:p>
    <w:p w:rsidR="0015388B" w:rsidRPr="001946CD" w:rsidRDefault="0015388B" w:rsidP="0015388B">
      <w:pPr>
        <w:tabs>
          <w:tab w:val="left" w:pos="210"/>
          <w:tab w:val="center" w:pos="3969"/>
        </w:tabs>
        <w:spacing w:after="0" w:line="240" w:lineRule="auto"/>
        <w:contextualSpacing/>
        <w:jc w:val="center"/>
        <w:rPr>
          <w:rFonts w:ascii="Times New Roman" w:hAnsi="Times New Roman" w:cs="Times New Roman"/>
          <w:b/>
          <w:sz w:val="26"/>
          <w:szCs w:val="26"/>
        </w:rPr>
      </w:pPr>
      <w:r w:rsidRPr="001946CD">
        <w:rPr>
          <w:rFonts w:ascii="Times New Roman" w:hAnsi="Times New Roman" w:cs="Times New Roman"/>
          <w:b/>
          <w:noProof/>
          <w:sz w:val="26"/>
          <w:szCs w:val="26"/>
          <w:lang w:eastAsia="id-ID"/>
        </w:rPr>
        <w:t>khairaninuhri@gmail.com</w:t>
      </w:r>
    </w:p>
    <w:p w:rsidR="0015388B" w:rsidRDefault="0015388B" w:rsidP="0015388B">
      <w:pPr>
        <w:tabs>
          <w:tab w:val="left" w:pos="210"/>
          <w:tab w:val="center" w:pos="3969"/>
        </w:tabs>
        <w:spacing w:after="240"/>
        <w:jc w:val="center"/>
        <w:rPr>
          <w:rFonts w:ascii="Times New Roman" w:hAnsi="Times New Roman" w:cs="Times New Roman"/>
          <w:b/>
          <w:sz w:val="24"/>
          <w:szCs w:val="24"/>
        </w:rPr>
      </w:pPr>
    </w:p>
    <w:p w:rsidR="0015388B" w:rsidRPr="00783C67" w:rsidRDefault="0015388B" w:rsidP="0015388B">
      <w:pPr>
        <w:tabs>
          <w:tab w:val="left" w:pos="210"/>
          <w:tab w:val="center" w:pos="3969"/>
        </w:tabs>
        <w:spacing w:after="240"/>
        <w:jc w:val="center"/>
        <w:rPr>
          <w:rFonts w:ascii="Times New Roman" w:hAnsi="Times New Roman" w:cs="Times New Roman"/>
          <w:b/>
          <w:sz w:val="24"/>
          <w:szCs w:val="24"/>
        </w:rPr>
      </w:pPr>
      <w:r w:rsidRPr="00783C67">
        <w:rPr>
          <w:rFonts w:ascii="Times New Roman" w:hAnsi="Times New Roman" w:cs="Times New Roman"/>
          <w:b/>
          <w:sz w:val="24"/>
          <w:szCs w:val="24"/>
        </w:rPr>
        <w:t>ABSTRAK</w:t>
      </w:r>
    </w:p>
    <w:p w:rsidR="0015388B" w:rsidRPr="00C25D38" w:rsidRDefault="0015388B" w:rsidP="0015388B">
      <w:pPr>
        <w:jc w:val="both"/>
        <w:rPr>
          <w:rFonts w:ascii="Times New Roman" w:hAnsi="Times New Roman" w:cs="Times New Roman"/>
          <w:sz w:val="24"/>
          <w:szCs w:val="24"/>
        </w:rPr>
      </w:pPr>
      <w:r>
        <w:rPr>
          <w:rFonts w:ascii="Times New Roman" w:hAnsi="Times New Roman" w:cs="Times New Roman"/>
          <w:sz w:val="24"/>
          <w:szCs w:val="24"/>
        </w:rPr>
        <w:t xml:space="preserve">PT. Sumber Sawit Makmur melakukan penerapan pajak penghasilan pasal 21 sebagai upaya penghematan beban pajak penghasilan badan, dimana pajak merupakan salah satu  pengurang pendapatan perusahaan, oleh karena itu perusahaan memerlukan cara yang dapat digunakan untuk menghemat beban pajak perusahaan. Salah satu cara yang digunakan untuk menghemat beban pajak yaitu melalui perencanaan pajak. </w:t>
      </w:r>
      <w:r w:rsidRPr="009A65FD">
        <w:rPr>
          <w:rFonts w:ascii="Times New Roman" w:hAnsi="Times New Roman" w:cs="Times New Roman"/>
          <w:sz w:val="24"/>
          <w:szCs w:val="24"/>
        </w:rPr>
        <w:t>Penelitian ini bertujuan untuk mengetahui apakah terdapat perbedaan yang sig</w:t>
      </w:r>
      <w:r>
        <w:rPr>
          <w:rFonts w:ascii="Times New Roman" w:hAnsi="Times New Roman" w:cs="Times New Roman"/>
          <w:sz w:val="24"/>
          <w:szCs w:val="24"/>
        </w:rPr>
        <w:t xml:space="preserve">nifikan antara perencanaan pajak menggunakan metode </w:t>
      </w:r>
      <w:r w:rsidRPr="009A65FD">
        <w:rPr>
          <w:rFonts w:ascii="Times New Roman" w:hAnsi="Times New Roman" w:cs="Times New Roman"/>
          <w:i/>
          <w:sz w:val="24"/>
          <w:szCs w:val="24"/>
        </w:rPr>
        <w:t>net</w:t>
      </w:r>
      <w:r>
        <w:rPr>
          <w:rFonts w:ascii="Times New Roman" w:hAnsi="Times New Roman" w:cs="Times New Roman"/>
          <w:sz w:val="24"/>
          <w:szCs w:val="24"/>
        </w:rPr>
        <w:t xml:space="preserve"> dengan perencanaan pajak menggunakan metode </w:t>
      </w:r>
      <w:r w:rsidRPr="009A65FD">
        <w:rPr>
          <w:rFonts w:ascii="Times New Roman" w:hAnsi="Times New Roman" w:cs="Times New Roman"/>
          <w:i/>
          <w:sz w:val="24"/>
          <w:szCs w:val="24"/>
        </w:rPr>
        <w:t>gross up</w:t>
      </w:r>
      <w:r>
        <w:rPr>
          <w:rFonts w:ascii="Times New Roman" w:hAnsi="Times New Roman" w:cs="Times New Roman"/>
          <w:sz w:val="24"/>
          <w:szCs w:val="24"/>
        </w:rPr>
        <w:t xml:space="preserve">. Dalam penelitian ini PT. Sumber Sawit Makmur menggunakan metode net sebagai alat ukur dalam pembayaran pajak penghasilan pasal 21 akan tetapi dari hasil analisis menunjukan bahwa perencanaan pajak penghasilan pasal 21 menggunakan metode </w:t>
      </w:r>
      <w:r w:rsidRPr="00AA53B1">
        <w:rPr>
          <w:rFonts w:ascii="Times New Roman" w:hAnsi="Times New Roman" w:cs="Times New Roman"/>
          <w:i/>
          <w:sz w:val="24"/>
          <w:szCs w:val="24"/>
        </w:rPr>
        <w:t>gross up</w:t>
      </w:r>
      <w:r>
        <w:rPr>
          <w:rFonts w:ascii="Times New Roman" w:hAnsi="Times New Roman" w:cs="Times New Roman"/>
          <w:sz w:val="24"/>
          <w:szCs w:val="24"/>
        </w:rPr>
        <w:t xml:space="preserve"> merupakan yang paling tepat bagi perusahaan. Penerapan </w:t>
      </w:r>
      <w:r w:rsidRPr="00AA53B1">
        <w:rPr>
          <w:rFonts w:ascii="Times New Roman" w:hAnsi="Times New Roman" w:cs="Times New Roman"/>
          <w:i/>
          <w:sz w:val="24"/>
          <w:szCs w:val="24"/>
        </w:rPr>
        <w:t>gross up</w:t>
      </w:r>
      <w:r>
        <w:rPr>
          <w:rFonts w:ascii="Times New Roman" w:hAnsi="Times New Roman" w:cs="Times New Roman"/>
          <w:sz w:val="24"/>
          <w:szCs w:val="24"/>
        </w:rPr>
        <w:t xml:space="preserve"> terbukti berhasil meningkatkan laba bersih sebelum pajak sebesar Rp.26.072.928.140 dibandingkan dengan metode net sebesar Rp.25.897.987.814 di tahun 2017 sedangkan selisih laba bersih yang didapatkan sebesar Rp.300.259.041. Di tahun 2018 mendapatkan laba bersih sebelum pajak menggunakan </w:t>
      </w:r>
      <w:r>
        <w:rPr>
          <w:rFonts w:ascii="Times New Roman" w:hAnsi="Times New Roman" w:cs="Times New Roman"/>
          <w:i/>
          <w:sz w:val="24"/>
          <w:szCs w:val="24"/>
        </w:rPr>
        <w:t>gross up</w:t>
      </w:r>
      <w:r>
        <w:rPr>
          <w:rFonts w:ascii="Times New Roman" w:hAnsi="Times New Roman" w:cs="Times New Roman"/>
          <w:sz w:val="24"/>
          <w:szCs w:val="24"/>
        </w:rPr>
        <w:t xml:space="preserve"> sebesar Rp. 15.316.494.754 dibandingkan metode net Rp.15.182.639.441 sedangkan selisih laba bersih yang didapatkan sebesar Rp.267.975.124. Di tahun 2019 mendapatkan laba bersih sebelum pajak menggunakan </w:t>
      </w:r>
      <w:r>
        <w:rPr>
          <w:rFonts w:ascii="Times New Roman" w:hAnsi="Times New Roman" w:cs="Times New Roman"/>
          <w:i/>
          <w:sz w:val="24"/>
          <w:szCs w:val="24"/>
        </w:rPr>
        <w:t>gross up</w:t>
      </w:r>
      <w:r>
        <w:rPr>
          <w:rFonts w:ascii="Times New Roman" w:hAnsi="Times New Roman" w:cs="Times New Roman"/>
          <w:sz w:val="24"/>
          <w:szCs w:val="24"/>
        </w:rPr>
        <w:t xml:space="preserve"> sebesar Rp.21.406.628.194 dibanding metode net Rp.21.278.656.172 sedangkan selisih laba bersih yang didapatkan sebesar Rp.347.708.723. </w:t>
      </w:r>
    </w:p>
    <w:p w:rsidR="0015388B" w:rsidRPr="001946CD" w:rsidRDefault="0015388B" w:rsidP="0015388B">
      <w:pPr>
        <w:spacing w:after="0"/>
        <w:ind w:left="1843" w:hanging="1843"/>
        <w:jc w:val="both"/>
        <w:rPr>
          <w:rFonts w:ascii="Times New Roman" w:hAnsi="Times New Roman" w:cs="Times New Roman"/>
          <w:b/>
          <w:i/>
          <w:sz w:val="24"/>
          <w:szCs w:val="24"/>
        </w:rPr>
      </w:pPr>
      <w:r w:rsidRPr="00783C67">
        <w:rPr>
          <w:rFonts w:ascii="Times New Roman" w:hAnsi="Times New Roman" w:cs="Times New Roman"/>
          <w:b/>
          <w:i/>
          <w:sz w:val="24"/>
          <w:szCs w:val="24"/>
        </w:rPr>
        <w:t>Kata Kunci</w:t>
      </w:r>
      <w:r w:rsidRPr="00783C6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946CD">
        <w:rPr>
          <w:rFonts w:ascii="Times New Roman" w:hAnsi="Times New Roman" w:cs="Times New Roman"/>
          <w:b/>
          <w:i/>
          <w:sz w:val="24"/>
          <w:szCs w:val="24"/>
        </w:rPr>
        <w:t>Perencanaan Pajak, Pajak Penghasilan Badan,</w:t>
      </w:r>
      <w:r>
        <w:rPr>
          <w:rFonts w:ascii="Times New Roman" w:hAnsi="Times New Roman" w:cs="Times New Roman"/>
          <w:b/>
          <w:i/>
          <w:sz w:val="24"/>
          <w:szCs w:val="24"/>
        </w:rPr>
        <w:t xml:space="preserve"> Pajak Penghasilan </w:t>
      </w:r>
      <w:r w:rsidRPr="001946CD">
        <w:rPr>
          <w:rFonts w:ascii="Times New Roman" w:hAnsi="Times New Roman" w:cs="Times New Roman"/>
          <w:b/>
          <w:i/>
          <w:sz w:val="24"/>
          <w:szCs w:val="24"/>
        </w:rPr>
        <w:t>Pasal 21, Penghematan Pajak</w:t>
      </w:r>
    </w:p>
    <w:p w:rsidR="0015388B" w:rsidRDefault="0015388B" w:rsidP="0015388B">
      <w:pPr>
        <w:spacing w:after="0" w:line="360" w:lineRule="auto"/>
        <w:contextualSpacing/>
        <w:jc w:val="center"/>
        <w:rPr>
          <w:rFonts w:ascii="Times New Roman" w:hAnsi="Times New Roman" w:cs="Times New Roman"/>
          <w:b/>
          <w:sz w:val="24"/>
          <w:szCs w:val="24"/>
        </w:rPr>
      </w:pPr>
    </w:p>
    <w:p w:rsidR="0015388B" w:rsidRDefault="0015388B" w:rsidP="0015388B">
      <w:pPr>
        <w:spacing w:after="0" w:line="360" w:lineRule="auto"/>
        <w:contextualSpacing/>
        <w:jc w:val="center"/>
        <w:rPr>
          <w:rFonts w:ascii="Times New Roman" w:hAnsi="Times New Roman" w:cs="Times New Roman"/>
          <w:b/>
          <w:sz w:val="24"/>
          <w:szCs w:val="24"/>
        </w:rPr>
      </w:pPr>
    </w:p>
    <w:p w:rsidR="0015388B" w:rsidRDefault="0015388B" w:rsidP="0015388B">
      <w:pPr>
        <w:spacing w:after="0" w:line="360" w:lineRule="auto"/>
        <w:contextualSpacing/>
        <w:rPr>
          <w:rFonts w:ascii="Times New Roman" w:hAnsi="Times New Roman" w:cs="Times New Roman"/>
          <w:b/>
          <w:sz w:val="24"/>
          <w:szCs w:val="24"/>
        </w:rPr>
      </w:pPr>
    </w:p>
    <w:p w:rsidR="0015388B" w:rsidRDefault="0015388B" w:rsidP="0015388B">
      <w:pPr>
        <w:spacing w:after="0" w:line="360" w:lineRule="auto"/>
        <w:contextualSpacing/>
        <w:jc w:val="center"/>
        <w:rPr>
          <w:rFonts w:ascii="Times New Roman" w:hAnsi="Times New Roman" w:cs="Times New Roman"/>
          <w:b/>
          <w:sz w:val="24"/>
          <w:szCs w:val="24"/>
        </w:rPr>
      </w:pPr>
    </w:p>
    <w:p w:rsidR="0015388B" w:rsidRDefault="0015388B" w:rsidP="0015388B">
      <w:pPr>
        <w:tabs>
          <w:tab w:val="left" w:pos="7938"/>
        </w:tabs>
        <w:spacing w:before="100" w:beforeAutospacing="1" w:after="100" w:afterAutospacing="1" w:line="240" w:lineRule="auto"/>
        <w:contextualSpacing/>
        <w:jc w:val="center"/>
        <w:rPr>
          <w:rFonts w:ascii="Times New Roman" w:hAnsi="Times New Roman" w:cs="Times New Roman"/>
          <w:b/>
          <w:noProof/>
          <w:spacing w:val="4"/>
          <w:sz w:val="28"/>
          <w:szCs w:val="28"/>
          <w:lang w:eastAsia="id-ID"/>
        </w:rPr>
      </w:pPr>
      <w:r w:rsidRPr="00D151A4">
        <w:rPr>
          <w:rFonts w:ascii="Times New Roman" w:hAnsi="Times New Roman" w:cs="Times New Roman"/>
          <w:b/>
          <w:noProof/>
          <w:spacing w:val="24"/>
          <w:sz w:val="28"/>
          <w:szCs w:val="28"/>
          <w:lang w:eastAsia="id-ID"/>
        </w:rPr>
        <w:t>ANALISIS PENERAPAN PERENCANAAN PAJAK</w:t>
      </w:r>
      <w:r w:rsidRPr="005A0786">
        <w:rPr>
          <w:rFonts w:ascii="Times New Roman" w:hAnsi="Times New Roman" w:cs="Times New Roman"/>
          <w:b/>
          <w:noProof/>
          <w:sz w:val="28"/>
          <w:szCs w:val="28"/>
          <w:lang w:eastAsia="id-ID"/>
        </w:rPr>
        <w:t xml:space="preserve"> </w:t>
      </w:r>
      <w:r w:rsidRPr="0071332A">
        <w:rPr>
          <w:rFonts w:ascii="Times New Roman" w:hAnsi="Times New Roman" w:cs="Times New Roman"/>
          <w:b/>
          <w:noProof/>
          <w:spacing w:val="24"/>
          <w:sz w:val="28"/>
          <w:szCs w:val="28"/>
          <w:lang w:eastAsia="id-ID"/>
        </w:rPr>
        <w:t>PENGHASILAN PASAL 21 SEBAGAI UPAYA</w:t>
      </w:r>
      <w:r w:rsidRPr="005A0786">
        <w:rPr>
          <w:rFonts w:ascii="Times New Roman" w:hAnsi="Times New Roman" w:cs="Times New Roman"/>
          <w:b/>
          <w:noProof/>
          <w:sz w:val="28"/>
          <w:szCs w:val="28"/>
          <w:lang w:eastAsia="id-ID"/>
        </w:rPr>
        <w:t xml:space="preserve"> </w:t>
      </w:r>
      <w:r w:rsidRPr="008D13FC">
        <w:rPr>
          <w:rFonts w:ascii="Times New Roman" w:hAnsi="Times New Roman" w:cs="Times New Roman"/>
          <w:b/>
          <w:noProof/>
          <w:spacing w:val="-2"/>
          <w:sz w:val="28"/>
          <w:szCs w:val="28"/>
          <w:lang w:eastAsia="id-ID"/>
        </w:rPr>
        <w:t>PENGHEMATAN BEBAN PAJAK PENGHASILAN</w:t>
      </w:r>
    </w:p>
    <w:p w:rsidR="0015388B" w:rsidRDefault="0015388B" w:rsidP="0015388B">
      <w:pPr>
        <w:tabs>
          <w:tab w:val="left" w:pos="210"/>
          <w:tab w:val="center" w:pos="3969"/>
        </w:tabs>
        <w:spacing w:after="240"/>
        <w:jc w:val="center"/>
        <w:rPr>
          <w:rFonts w:ascii="Times New Roman" w:hAnsi="Times New Roman" w:cs="Times New Roman"/>
          <w:b/>
          <w:noProof/>
          <w:sz w:val="28"/>
          <w:szCs w:val="28"/>
          <w:lang w:eastAsia="id-ID"/>
        </w:rPr>
      </w:pPr>
      <w:r w:rsidRPr="005A0786">
        <w:rPr>
          <w:rFonts w:ascii="Times New Roman" w:hAnsi="Times New Roman" w:cs="Times New Roman"/>
          <w:b/>
          <w:noProof/>
          <w:spacing w:val="4"/>
          <w:sz w:val="28"/>
          <w:szCs w:val="28"/>
          <w:lang w:eastAsia="id-ID"/>
        </w:rPr>
        <w:t>BADAN</w:t>
      </w:r>
      <w:r w:rsidRPr="005A0786">
        <w:rPr>
          <w:rFonts w:ascii="Times New Roman" w:hAnsi="Times New Roman" w:cs="Times New Roman"/>
          <w:b/>
          <w:noProof/>
          <w:sz w:val="28"/>
          <w:szCs w:val="28"/>
          <w:lang w:eastAsia="id-ID"/>
        </w:rPr>
        <w:t xml:space="preserve"> PADA </w:t>
      </w:r>
      <w:r>
        <w:rPr>
          <w:rFonts w:ascii="Times New Roman" w:hAnsi="Times New Roman" w:cs="Times New Roman"/>
          <w:b/>
          <w:noProof/>
          <w:sz w:val="28"/>
          <w:szCs w:val="28"/>
          <w:lang w:eastAsia="id-ID"/>
        </w:rPr>
        <w:t>PT. SUMBER SAWIT MAKMUR</w:t>
      </w:r>
    </w:p>
    <w:p w:rsidR="0015388B" w:rsidRPr="001946CD" w:rsidRDefault="0015388B" w:rsidP="0015388B">
      <w:pPr>
        <w:tabs>
          <w:tab w:val="left" w:pos="210"/>
          <w:tab w:val="center" w:pos="3969"/>
        </w:tabs>
        <w:spacing w:after="0" w:line="240" w:lineRule="auto"/>
        <w:contextualSpacing/>
        <w:jc w:val="center"/>
        <w:rPr>
          <w:rFonts w:ascii="Times New Roman" w:hAnsi="Times New Roman" w:cs="Times New Roman"/>
          <w:b/>
          <w:noProof/>
          <w:sz w:val="26"/>
          <w:szCs w:val="26"/>
          <w:lang w:eastAsia="id-ID"/>
        </w:rPr>
      </w:pPr>
      <w:r w:rsidRPr="001946CD">
        <w:rPr>
          <w:rFonts w:ascii="Times New Roman" w:hAnsi="Times New Roman" w:cs="Times New Roman"/>
          <w:b/>
          <w:noProof/>
          <w:sz w:val="26"/>
          <w:szCs w:val="26"/>
          <w:lang w:eastAsia="id-ID"/>
        </w:rPr>
        <w:t>NUHRI KHAIRANI</w:t>
      </w:r>
    </w:p>
    <w:p w:rsidR="0015388B" w:rsidRPr="001946CD" w:rsidRDefault="0015388B" w:rsidP="0015388B">
      <w:pPr>
        <w:tabs>
          <w:tab w:val="left" w:pos="210"/>
          <w:tab w:val="center" w:pos="3969"/>
        </w:tabs>
        <w:spacing w:after="0" w:line="240" w:lineRule="auto"/>
        <w:contextualSpacing/>
        <w:jc w:val="center"/>
        <w:rPr>
          <w:rFonts w:ascii="Times New Roman" w:hAnsi="Times New Roman" w:cs="Times New Roman"/>
          <w:b/>
          <w:noProof/>
          <w:sz w:val="26"/>
          <w:szCs w:val="26"/>
          <w:lang w:eastAsia="id-ID"/>
        </w:rPr>
      </w:pPr>
      <w:r w:rsidRPr="001946CD">
        <w:rPr>
          <w:rFonts w:ascii="Times New Roman" w:hAnsi="Times New Roman" w:cs="Times New Roman"/>
          <w:b/>
          <w:noProof/>
          <w:sz w:val="26"/>
          <w:szCs w:val="26"/>
          <w:lang w:eastAsia="id-ID"/>
        </w:rPr>
        <w:t>NPM : 173214098</w:t>
      </w:r>
    </w:p>
    <w:p w:rsidR="0015388B" w:rsidRPr="001946CD" w:rsidRDefault="0015388B" w:rsidP="0015388B">
      <w:pPr>
        <w:tabs>
          <w:tab w:val="left" w:pos="210"/>
          <w:tab w:val="center" w:pos="3969"/>
        </w:tabs>
        <w:spacing w:after="0" w:line="240" w:lineRule="auto"/>
        <w:contextualSpacing/>
        <w:jc w:val="center"/>
        <w:rPr>
          <w:rFonts w:ascii="Times New Roman" w:hAnsi="Times New Roman" w:cs="Times New Roman"/>
          <w:b/>
          <w:sz w:val="26"/>
          <w:szCs w:val="26"/>
        </w:rPr>
      </w:pPr>
      <w:r w:rsidRPr="001946CD">
        <w:rPr>
          <w:rFonts w:ascii="Times New Roman" w:hAnsi="Times New Roman" w:cs="Times New Roman"/>
          <w:b/>
          <w:noProof/>
          <w:sz w:val="26"/>
          <w:szCs w:val="26"/>
          <w:lang w:eastAsia="id-ID"/>
        </w:rPr>
        <w:t>khairaninuhri@gmail.com</w:t>
      </w:r>
    </w:p>
    <w:p w:rsidR="0015388B" w:rsidRDefault="0015388B" w:rsidP="0015388B">
      <w:pPr>
        <w:tabs>
          <w:tab w:val="left" w:pos="210"/>
          <w:tab w:val="center" w:pos="3969"/>
        </w:tabs>
        <w:spacing w:after="240"/>
        <w:jc w:val="center"/>
        <w:rPr>
          <w:rFonts w:ascii="Times New Roman" w:hAnsi="Times New Roman" w:cs="Times New Roman"/>
          <w:b/>
          <w:sz w:val="24"/>
          <w:szCs w:val="24"/>
        </w:rPr>
      </w:pPr>
    </w:p>
    <w:p w:rsidR="0015388B" w:rsidRPr="00783C67" w:rsidRDefault="0015388B" w:rsidP="0015388B">
      <w:pPr>
        <w:tabs>
          <w:tab w:val="left" w:pos="210"/>
          <w:tab w:val="center" w:pos="3969"/>
        </w:tabs>
        <w:spacing w:after="240"/>
        <w:jc w:val="center"/>
        <w:rPr>
          <w:rFonts w:ascii="Times New Roman" w:hAnsi="Times New Roman" w:cs="Times New Roman"/>
          <w:b/>
          <w:sz w:val="24"/>
          <w:szCs w:val="24"/>
        </w:rPr>
      </w:pPr>
      <w:r>
        <w:rPr>
          <w:rFonts w:ascii="Times New Roman" w:hAnsi="Times New Roman" w:cs="Times New Roman"/>
          <w:b/>
          <w:sz w:val="24"/>
          <w:szCs w:val="24"/>
        </w:rPr>
        <w:t>ABSTRACT</w:t>
      </w:r>
    </w:p>
    <w:p w:rsidR="0015388B" w:rsidRPr="00C42399" w:rsidRDefault="0015388B" w:rsidP="0015388B">
      <w:pPr>
        <w:spacing w:before="100" w:beforeAutospacing="1"/>
        <w:jc w:val="both"/>
        <w:rPr>
          <w:rFonts w:ascii="Times New Roman" w:hAnsi="Times New Roman" w:cs="Times New Roman"/>
          <w:sz w:val="24"/>
          <w:szCs w:val="24"/>
        </w:rPr>
      </w:pPr>
      <w:r w:rsidRPr="00ED6979">
        <w:rPr>
          <w:rFonts w:ascii="Times New Roman" w:hAnsi="Times New Roman" w:cs="Times New Roman"/>
          <w:sz w:val="24"/>
          <w:szCs w:val="24"/>
        </w:rPr>
        <w:t>PT.  Sumber Sawit Makmur implements article 21 income tax as an effort to save the corporate income tax burden, where tax is one of the deductions for company income, therefore companies need ways that can be used to save the company's tax burden.  One way that is used to save the tax burden is through tax planning.  This study aims to determine whether there is a significant difference between tax planning using the net method and tax planning using the gross up method.  In this research PT.  Sumber Sawit Makmur uses the net method as a measuring tool in the payment of income tax article 21 but the results of the analysis show that the planning for income tax article 21 using the gross up method is the most appropriate for the company.  The implementation of gross up has proven to be successful in increasing net pro</w:t>
      </w:r>
      <w:r>
        <w:rPr>
          <w:rFonts w:ascii="Times New Roman" w:hAnsi="Times New Roman"/>
          <w:sz w:val="24"/>
          <w:szCs w:val="24"/>
        </w:rPr>
        <w:t>fit before tax by    Rp. 26.072.928.</w:t>
      </w:r>
      <w:r w:rsidRPr="00ED6979">
        <w:rPr>
          <w:rFonts w:ascii="Times New Roman" w:hAnsi="Times New Roman" w:cs="Times New Roman"/>
          <w:sz w:val="24"/>
          <w:szCs w:val="24"/>
        </w:rPr>
        <w:t xml:space="preserve">140 compared to </w:t>
      </w:r>
      <w:r>
        <w:rPr>
          <w:rFonts w:ascii="Times New Roman" w:hAnsi="Times New Roman"/>
          <w:sz w:val="24"/>
          <w:szCs w:val="24"/>
        </w:rPr>
        <w:t>the net method of Rp. 25.897.987.</w:t>
      </w:r>
      <w:r w:rsidRPr="00ED6979">
        <w:rPr>
          <w:rFonts w:ascii="Times New Roman" w:hAnsi="Times New Roman" w:cs="Times New Roman"/>
          <w:sz w:val="24"/>
          <w:szCs w:val="24"/>
        </w:rPr>
        <w:t>814 in 2017 while the difference in ne</w:t>
      </w:r>
      <w:r>
        <w:rPr>
          <w:rFonts w:ascii="Times New Roman" w:hAnsi="Times New Roman"/>
          <w:sz w:val="24"/>
          <w:szCs w:val="24"/>
        </w:rPr>
        <w:t>t profit obtained is Rp. 300.259.</w:t>
      </w:r>
      <w:r w:rsidRPr="00ED6979">
        <w:rPr>
          <w:rFonts w:ascii="Times New Roman" w:hAnsi="Times New Roman" w:cs="Times New Roman"/>
          <w:sz w:val="24"/>
          <w:szCs w:val="24"/>
        </w:rPr>
        <w:t>041.  In 2018 earning net profit before tax usin</w:t>
      </w:r>
      <w:r>
        <w:rPr>
          <w:rFonts w:ascii="Times New Roman" w:hAnsi="Times New Roman"/>
          <w:sz w:val="24"/>
          <w:szCs w:val="24"/>
        </w:rPr>
        <w:t>g a gross up of Rp. 15.316.494.</w:t>
      </w:r>
      <w:r w:rsidRPr="00ED6979">
        <w:rPr>
          <w:rFonts w:ascii="Times New Roman" w:hAnsi="Times New Roman" w:cs="Times New Roman"/>
          <w:sz w:val="24"/>
          <w:szCs w:val="24"/>
        </w:rPr>
        <w:t>754 co</w:t>
      </w:r>
      <w:r>
        <w:rPr>
          <w:rFonts w:ascii="Times New Roman" w:hAnsi="Times New Roman"/>
          <w:sz w:val="24"/>
          <w:szCs w:val="24"/>
        </w:rPr>
        <w:t>mpared to the net method of Rp. 15.182.639.</w:t>
      </w:r>
      <w:r w:rsidRPr="00ED6979">
        <w:rPr>
          <w:rFonts w:ascii="Times New Roman" w:hAnsi="Times New Roman" w:cs="Times New Roman"/>
          <w:sz w:val="24"/>
          <w:szCs w:val="24"/>
        </w:rPr>
        <w:t>441 while the difference in net</w:t>
      </w:r>
      <w:r>
        <w:rPr>
          <w:rFonts w:ascii="Times New Roman" w:hAnsi="Times New Roman"/>
          <w:sz w:val="24"/>
          <w:szCs w:val="24"/>
        </w:rPr>
        <w:t xml:space="preserve"> profit obtained was Rp. 267.975.</w:t>
      </w:r>
      <w:r w:rsidRPr="00ED6979">
        <w:rPr>
          <w:rFonts w:ascii="Times New Roman" w:hAnsi="Times New Roman" w:cs="Times New Roman"/>
          <w:sz w:val="24"/>
          <w:szCs w:val="24"/>
        </w:rPr>
        <w:t>124.  In 2019 the net profit before tax usi</w:t>
      </w:r>
      <w:r>
        <w:rPr>
          <w:rFonts w:ascii="Times New Roman" w:hAnsi="Times New Roman"/>
          <w:sz w:val="24"/>
          <w:szCs w:val="24"/>
        </w:rPr>
        <w:t>ng a gross up of Rp. 21.406.628.</w:t>
      </w:r>
      <w:r w:rsidRPr="00ED6979">
        <w:rPr>
          <w:rFonts w:ascii="Times New Roman" w:hAnsi="Times New Roman" w:cs="Times New Roman"/>
          <w:sz w:val="24"/>
          <w:szCs w:val="24"/>
        </w:rPr>
        <w:t>194 compared to the net method o</w:t>
      </w:r>
      <w:r>
        <w:rPr>
          <w:rFonts w:ascii="Times New Roman" w:hAnsi="Times New Roman"/>
          <w:sz w:val="24"/>
          <w:szCs w:val="24"/>
        </w:rPr>
        <w:t>f Rp. 21.278.656.</w:t>
      </w:r>
      <w:r w:rsidRPr="00ED6979">
        <w:rPr>
          <w:rFonts w:ascii="Times New Roman" w:hAnsi="Times New Roman" w:cs="Times New Roman"/>
          <w:sz w:val="24"/>
          <w:szCs w:val="24"/>
        </w:rPr>
        <w:t xml:space="preserve">172 while the difference in net </w:t>
      </w:r>
      <w:r>
        <w:rPr>
          <w:rFonts w:ascii="Times New Roman" w:hAnsi="Times New Roman"/>
          <w:sz w:val="24"/>
          <w:szCs w:val="24"/>
        </w:rPr>
        <w:t>profit obtained was   Rp. 347.708.</w:t>
      </w:r>
      <w:r w:rsidRPr="00ED6979">
        <w:rPr>
          <w:rFonts w:ascii="Times New Roman" w:hAnsi="Times New Roman" w:cs="Times New Roman"/>
          <w:sz w:val="24"/>
          <w:szCs w:val="24"/>
        </w:rPr>
        <w:t>723.</w:t>
      </w:r>
    </w:p>
    <w:p w:rsidR="0015388B" w:rsidRPr="001946CD" w:rsidRDefault="0015388B" w:rsidP="0015388B">
      <w:pPr>
        <w:spacing w:before="100" w:beforeAutospacing="1" w:after="100" w:afterAutospacing="1" w:line="240" w:lineRule="auto"/>
        <w:contextualSpacing/>
        <w:jc w:val="both"/>
        <w:rPr>
          <w:rFonts w:ascii="Times New Roman" w:hAnsi="Times New Roman" w:cs="Times New Roman"/>
          <w:b/>
          <w:i/>
          <w:sz w:val="24"/>
          <w:szCs w:val="24"/>
        </w:rPr>
      </w:pPr>
      <w:r w:rsidRPr="00C42399">
        <w:rPr>
          <w:rFonts w:ascii="Times New Roman" w:hAnsi="Times New Roman" w:cs="Times New Roman"/>
          <w:b/>
          <w:sz w:val="24"/>
          <w:szCs w:val="24"/>
        </w:rPr>
        <w:t>Keywords</w:t>
      </w:r>
      <w:r>
        <w:rPr>
          <w:rFonts w:ascii="Times New Roman" w:hAnsi="Times New Roman"/>
          <w:b/>
          <w:sz w:val="24"/>
          <w:szCs w:val="24"/>
        </w:rPr>
        <w:tab/>
        <w:t xml:space="preserve">: </w:t>
      </w:r>
      <w:r w:rsidRPr="001946CD">
        <w:rPr>
          <w:rFonts w:ascii="Times New Roman" w:hAnsi="Times New Roman" w:cs="Times New Roman"/>
          <w:b/>
          <w:i/>
          <w:sz w:val="24"/>
          <w:szCs w:val="24"/>
        </w:rPr>
        <w:t>Tax Planning, Corporate Income Tax, Article 21 Income Tax,</w:t>
      </w:r>
    </w:p>
    <w:p w:rsidR="0015388B" w:rsidRPr="001946CD" w:rsidRDefault="0015388B" w:rsidP="0015388B">
      <w:pPr>
        <w:spacing w:before="100" w:beforeAutospacing="1" w:after="100" w:afterAutospacing="1" w:line="240" w:lineRule="auto"/>
        <w:ind w:left="720" w:firstLine="720"/>
        <w:contextualSpacing/>
        <w:jc w:val="both"/>
        <w:rPr>
          <w:rFonts w:ascii="Times New Roman" w:hAnsi="Times New Roman" w:cs="Times New Roman"/>
          <w:b/>
          <w:i/>
          <w:sz w:val="24"/>
          <w:szCs w:val="24"/>
        </w:rPr>
      </w:pPr>
      <w:r w:rsidRPr="001946CD">
        <w:rPr>
          <w:rFonts w:ascii="Times New Roman" w:hAnsi="Times New Roman" w:cs="Times New Roman"/>
          <w:b/>
          <w:i/>
          <w:sz w:val="24"/>
          <w:szCs w:val="24"/>
        </w:rPr>
        <w:t xml:space="preserve">  Tax Savings</w:t>
      </w:r>
    </w:p>
    <w:p w:rsidR="006043B3" w:rsidRDefault="006043B3" w:rsidP="00DC2D3D">
      <w:pPr>
        <w:jc w:val="center"/>
      </w:pPr>
      <w:bookmarkStart w:id="0" w:name="_GoBack"/>
      <w:bookmarkEnd w:id="0"/>
    </w:p>
    <w:sectPr w:rsidR="006043B3" w:rsidSect="00DC2D3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3D"/>
    <w:rsid w:val="0015388B"/>
    <w:rsid w:val="006043B3"/>
    <w:rsid w:val="00DC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8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3D"/>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8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3D"/>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2022-12-22T06:58:00Z</dcterms:created>
  <dcterms:modified xsi:type="dcterms:W3CDTF">2022-12-22T06:58:00Z</dcterms:modified>
</cp:coreProperties>
</file>