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2" w:rsidRPr="00944D0B" w:rsidRDefault="00BE4D02" w:rsidP="00BE4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4D0B">
        <w:rPr>
          <w:rFonts w:ascii="Times New Roman" w:hAnsi="Times New Roman" w:cs="Times New Roman"/>
          <w:b/>
          <w:bCs/>
          <w:sz w:val="24"/>
          <w:szCs w:val="24"/>
        </w:rPr>
        <w:t>UJI  STABILITAS</w:t>
      </w:r>
      <w:proofErr w:type="gramEnd"/>
      <w:r w:rsidRPr="00944D0B">
        <w:rPr>
          <w:rFonts w:ascii="Times New Roman" w:hAnsi="Times New Roman" w:cs="Times New Roman"/>
          <w:b/>
          <w:bCs/>
          <w:sz w:val="24"/>
          <w:szCs w:val="24"/>
        </w:rPr>
        <w:t xml:space="preserve"> WARNA  BERDASARKAN  INTENSITAS DAN KADAR KURKUMIN EKSTRAK KUNYIT DAN TEMULAWAK</w:t>
      </w:r>
    </w:p>
    <w:p w:rsidR="00BE4D02" w:rsidRPr="00944D0B" w:rsidRDefault="00BE4D02" w:rsidP="00BE4D02">
      <w:pPr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BE4D02" w:rsidRPr="00944D0B" w:rsidRDefault="00BE4D02" w:rsidP="00BE4D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944D0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NURUL SHALEHA</w:t>
      </w:r>
    </w:p>
    <w:p w:rsidR="00BE4D02" w:rsidRPr="00944D0B" w:rsidRDefault="00BE4D02" w:rsidP="00BE4D0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44D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NPM.182114092</w:t>
      </w:r>
    </w:p>
    <w:p w:rsidR="00BE4D02" w:rsidRPr="00944D0B" w:rsidRDefault="00BE4D02" w:rsidP="00BE4D0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BE4D02" w:rsidRPr="00944D0B" w:rsidRDefault="00BE4D02" w:rsidP="00BE4D02">
      <w:pPr>
        <w:pStyle w:val="Heading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hd w:val="clear" w:color="auto" w:fill="FFFFFF"/>
        </w:rPr>
      </w:pPr>
      <w:bookmarkStart w:id="0" w:name="_Toc109311733"/>
      <w:bookmarkStart w:id="1" w:name="_Toc119576060"/>
      <w:bookmarkStart w:id="2" w:name="_Toc124253326"/>
      <w:r w:rsidRPr="00944D0B">
        <w:rPr>
          <w:rFonts w:ascii="Times New Roman" w:hAnsi="Times New Roman" w:cs="Times New Roman"/>
          <w:color w:val="auto"/>
          <w:sz w:val="24"/>
          <w:shd w:val="clear" w:color="auto" w:fill="FFFFFF"/>
        </w:rPr>
        <w:t>ABSTRAK</w:t>
      </w:r>
      <w:bookmarkEnd w:id="0"/>
      <w:bookmarkEnd w:id="1"/>
      <w:bookmarkEnd w:id="2"/>
    </w:p>
    <w:p w:rsidR="00BE4D02" w:rsidRPr="00944D0B" w:rsidRDefault="00BE4D02" w:rsidP="00BE4D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BE4D02" w:rsidRPr="00944D0B" w:rsidRDefault="00BE4D02" w:rsidP="00BE4D0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</w:t>
      </w:r>
      <w:r w:rsidRPr="00944D0B">
        <w:rPr>
          <w:rFonts w:ascii="Times New Roman" w:hAnsi="Times New Roman" w:cs="Times New Roman"/>
          <w:i/>
          <w:iCs/>
          <w:sz w:val="24"/>
          <w:szCs w:val="24"/>
        </w:rPr>
        <w:t xml:space="preserve">Curcuma </w:t>
      </w:r>
      <w:proofErr w:type="spellStart"/>
      <w:r w:rsidRPr="00944D0B">
        <w:rPr>
          <w:rFonts w:ascii="Times New Roman" w:hAnsi="Times New Roman" w:cs="Times New Roman"/>
          <w:i/>
          <w:iCs/>
          <w:sz w:val="24"/>
          <w:szCs w:val="24"/>
        </w:rPr>
        <w:t>longa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L)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</w:t>
      </w:r>
      <w:r w:rsidRPr="00944D0B">
        <w:rPr>
          <w:rFonts w:ascii="Times New Roman" w:hAnsi="Times New Roman" w:cs="Times New Roman"/>
          <w:i/>
          <w:iCs/>
          <w:sz w:val="24"/>
          <w:szCs w:val="24"/>
        </w:rPr>
        <w:t xml:space="preserve">Curcuma </w:t>
      </w:r>
      <w:proofErr w:type="spellStart"/>
      <w:r w:rsidRPr="00944D0B">
        <w:rPr>
          <w:rFonts w:ascii="Times New Roman" w:hAnsi="Times New Roman" w:cs="Times New Roman"/>
          <w:i/>
          <w:iCs/>
          <w:sz w:val="24"/>
          <w:szCs w:val="24"/>
        </w:rPr>
        <w:t>xanthorriza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Robx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02" w:rsidRPr="00944D0B" w:rsidRDefault="00BE4D02" w:rsidP="00BE4D0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dekoktasi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(27</w:t>
      </w:r>
      <w:r w:rsidRPr="00944D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4D0B">
        <w:rPr>
          <w:rFonts w:ascii="Times New Roman" w:hAnsi="Times New Roman" w:cs="Times New Roman"/>
          <w:sz w:val="24"/>
          <w:szCs w:val="24"/>
        </w:rPr>
        <w:t xml:space="preserve">C),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(7</w:t>
      </w:r>
      <w:r w:rsidRPr="00944D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4D0B">
        <w:rPr>
          <w:rFonts w:ascii="Times New Roman" w:hAnsi="Times New Roman" w:cs="Times New Roman"/>
          <w:sz w:val="24"/>
          <w:szCs w:val="24"/>
        </w:rPr>
        <w:t xml:space="preserve">C),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(32</w:t>
      </w:r>
      <w:r w:rsidRPr="00944D0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44D0B">
        <w:rPr>
          <w:rFonts w:ascii="Times New Roman" w:hAnsi="Times New Roman" w:cs="Times New Roman"/>
          <w:sz w:val="24"/>
          <w:szCs w:val="24"/>
        </w:rPr>
        <w:t>C).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i/>
          <w:iCs/>
          <w:sz w:val="24"/>
          <w:szCs w:val="24"/>
        </w:rPr>
        <w:t>visibel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direpresebtasikan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kurkuminnnya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02" w:rsidRPr="00944D0B" w:rsidRDefault="00BE4D02" w:rsidP="00BE4D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425</w:t>
      </w:r>
      <w:proofErr w:type="gramStart"/>
      <w:r w:rsidRPr="00944D0B"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nm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0,582 (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1),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0,463 (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absorbansi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sz w:val="24"/>
          <w:szCs w:val="24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lemari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pendingin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44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</w:rPr>
        <w:t>stabil</w:t>
      </w:r>
      <w:proofErr w:type="spellEnd"/>
    </w:p>
    <w:p w:rsidR="00BE4D02" w:rsidRPr="00944D0B" w:rsidRDefault="00BE4D02" w:rsidP="00BE4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Kata</w:t>
      </w:r>
      <w:proofErr w:type="spellEnd"/>
      <w:r w:rsidRPr="00944D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44D0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kunci</w:t>
      </w:r>
      <w:proofErr w:type="spellEnd"/>
      <w:r w:rsidRPr="00944D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944D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Ekstrak</w:t>
      </w:r>
      <w:proofErr w:type="spellEnd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kunyit</w:t>
      </w:r>
      <w:proofErr w:type="spellEnd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Intensitas</w:t>
      </w:r>
      <w:proofErr w:type="spellEnd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Stabilitas</w:t>
      </w:r>
      <w:proofErr w:type="spellEnd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4D0B">
        <w:rPr>
          <w:rFonts w:ascii="Times New Roman" w:hAnsi="Times New Roman" w:cs="Times New Roman"/>
          <w:sz w:val="24"/>
          <w:szCs w:val="24"/>
          <w:shd w:val="clear" w:color="auto" w:fill="FFFFFF"/>
        </w:rPr>
        <w:t>warna</w:t>
      </w:r>
      <w:proofErr w:type="spellEnd"/>
    </w:p>
    <w:p w:rsidR="00BE4D02" w:rsidRPr="00944D0B" w:rsidRDefault="00BE4D02" w:rsidP="00BE4D0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BE4D02" w:rsidRPr="00944D0B" w:rsidRDefault="00BE4D02" w:rsidP="00BE4D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4D02" w:rsidRPr="00944D0B" w:rsidRDefault="00BE4D02" w:rsidP="00BE4D02">
      <w:pPr>
        <w:spacing w:line="259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44D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 w:type="page"/>
      </w:r>
    </w:p>
    <w:p w:rsidR="00723CFE" w:rsidRPr="00BE4D02" w:rsidRDefault="003B78FF" w:rsidP="003B78FF">
      <w:pPr>
        <w:jc w:val="center"/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shd w:val="clear" w:color="auto" w:fill="FFFFFF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-346166</wp:posOffset>
            </wp:positionH>
            <wp:positionV relativeFrom="paragraph">
              <wp:posOffset>-1063806</wp:posOffset>
            </wp:positionV>
            <wp:extent cx="6506845" cy="10662557"/>
            <wp:effectExtent l="19050" t="0" r="8255" b="0"/>
            <wp:wrapNone/>
            <wp:docPr id="1" name="Picture 1" descr="C:\Users\SERVER\Pictures\2023-06-13\2023-06-13 11-22-3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6-13\2023-06-13 11-22-35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066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3CFE" w:rsidRPr="00BE4D02" w:rsidSect="000A723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0A7237"/>
    <w:rsid w:val="000A7237"/>
    <w:rsid w:val="002F48CC"/>
    <w:rsid w:val="003B78FF"/>
    <w:rsid w:val="00723CFE"/>
    <w:rsid w:val="007F6A01"/>
    <w:rsid w:val="00BE4D02"/>
    <w:rsid w:val="00F7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723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5AF9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37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F75AF9"/>
    <w:rPr>
      <w:rFonts w:ascii="Times New Roman" w:eastAsiaTheme="minorEastAsia" w:hAnsi="Times New Roman" w:cs="Times New Roman"/>
      <w:b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F75AF9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75AF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75A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E4D0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BE4D02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2023-06-13T04:12:00Z</dcterms:created>
  <dcterms:modified xsi:type="dcterms:W3CDTF">2023-06-13T04:26:00Z</dcterms:modified>
</cp:coreProperties>
</file>