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A6" w:rsidRPr="00001C32" w:rsidRDefault="005427A6" w:rsidP="00001C32">
      <w:pPr>
        <w:pStyle w:val="Heading1"/>
      </w:pPr>
      <w:r w:rsidRPr="00001C32">
        <w:t>DAFTAR ISI</w:t>
      </w:r>
    </w:p>
    <w:p w:rsidR="005427A6" w:rsidRPr="002830A2" w:rsidRDefault="005427A6" w:rsidP="002830A2">
      <w:pPr>
        <w:rPr>
          <w:sz w:val="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308722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noProof/>
          <w:sz w:val="24"/>
          <w:szCs w:val="24"/>
        </w:rPr>
      </w:sdtEndPr>
      <w:sdtContent>
        <w:p w:rsidR="005427A6" w:rsidRPr="002830A2" w:rsidRDefault="005427A6" w:rsidP="002830A2">
          <w:pPr>
            <w:pStyle w:val="TOCHeading"/>
            <w:spacing w:before="0" w:line="360" w:lineRule="auto"/>
            <w:rPr>
              <w:sz w:val="10"/>
            </w:rPr>
          </w:pPr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r w:rsidRPr="00E860B8">
            <w:rPr>
              <w:b w:val="0"/>
            </w:rPr>
            <w:fldChar w:fldCharType="begin"/>
          </w:r>
          <w:r w:rsidRPr="00E860B8">
            <w:rPr>
              <w:b w:val="0"/>
            </w:rPr>
            <w:instrText xml:space="preserve"> TOC \o "1-4" \h \z \u </w:instrText>
          </w:r>
          <w:r w:rsidRPr="00E860B8">
            <w:rPr>
              <w:b w:val="0"/>
            </w:rPr>
            <w:fldChar w:fldCharType="separate"/>
          </w:r>
          <w:hyperlink w:anchor="_Toc146549800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HALAMAN SAMPUL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_Toc146549800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1" w:history="1">
            <w:r w:rsidRPr="00E860B8">
              <w:rPr>
                <w:rStyle w:val="Hyperlink"/>
                <w:u w:val="none"/>
              </w:rPr>
              <w:t>HALAMAN PERSYARATAN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_Toc146549801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2" w:history="1">
            <w:r w:rsidRPr="00E860B8">
              <w:rPr>
                <w:rStyle w:val="Hyperlink"/>
                <w:u w:val="none"/>
              </w:rPr>
              <w:t>TANDA PERSETUJUAN SKRIPSI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_Toc146549802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5" w:history="1">
            <w:r w:rsidRPr="00E860B8">
              <w:rPr>
                <w:rStyle w:val="Hyperlink"/>
                <w:u w:val="none"/>
              </w:rPr>
              <w:t>SURAT PERNYATAAN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_Toc146549805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6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ABSTRAK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_Toc146549806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7" w:history="1">
            <w:r w:rsidRPr="00E860B8">
              <w:rPr>
                <w:rStyle w:val="Hyperlink"/>
                <w:i/>
                <w:u w:val="none"/>
              </w:rPr>
              <w:t>ABSTRACT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_Toc146549807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8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KATA PENGANTAR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_Toc146549808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09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DAFTAR ISI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_Toc146549809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10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DAFTAR TABEL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_Toc146549810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11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DAFTAR GAMBAR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_Toc146549811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>
          <w:pPr>
            <w:pStyle w:val="TOC1"/>
            <w:rPr>
              <w:rFonts w:eastAsiaTheme="minorEastAsia"/>
              <w:b w:val="0"/>
              <w:sz w:val="22"/>
              <w:szCs w:val="22"/>
            </w:rPr>
          </w:pPr>
          <w:hyperlink w:anchor="_Toc146549812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DAFTAR LAMPIRAN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_Toc146549812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813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 xml:space="preserve">BAB I </w:t>
            </w:r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ab/>
              <w:t>PENDAHULUAN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_Toc146549813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1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1.1 Latar Belakang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_Toc146549814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1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1.2 Rumusan Masalah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_Toc146549816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1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1.3 Hipotesis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_Toc146549817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1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1.4 Tujuan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_Toc146549818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1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1.5 Manfaat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_Toc146549819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1.6 Kerangka Pikir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821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BAB II TINJAUAN PUSTAKA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_Toc146549821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2.1 Tanaman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2.1.1 Klasifikasi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2.1.2 Dekskripsi Tanaman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2.1.3 Kandungan Senyawa Kimia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2.1.4 Manfaat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9B144A" w:rsidRDefault="005427A6" w:rsidP="009B144A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2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2.2.1 Jenis-Jenis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_Toc146549828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32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2.2.2.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3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2.2.3 Fungsi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>
            <w:rPr>
              <w:rStyle w:val="Hyperlink"/>
              <w:rFonts w:ascii="Times New Roman" w:hAnsi="Times New Roman" w:cs="Times New Roman"/>
              <w:noProof/>
              <w:u w:val="none"/>
            </w:rPr>
            <w:t xml:space="preserve">     </w:t>
          </w:r>
          <w:hyperlink w:anchor="_Toc14654983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2.2.4 Mekanisme Reaksi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>
            <w:rPr>
              <w:rStyle w:val="Hyperlink"/>
              <w:rFonts w:ascii="Times New Roman" w:hAnsi="Times New Roman" w:cs="Times New Roman"/>
              <w:noProof/>
              <w:u w:val="none"/>
            </w:rPr>
            <w:t xml:space="preserve">     </w:t>
          </w:r>
          <w:hyperlink w:anchor="_Toc14654983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2.2.5 Mekanisme Kerja Sabun Untuk Pembersih Kulit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>
            <w:rPr>
              <w:rStyle w:val="Hyperlink"/>
              <w:rFonts w:ascii="Times New Roman" w:hAnsi="Times New Roman" w:cs="Times New Roman"/>
              <w:noProof/>
              <w:u w:val="none"/>
            </w:rPr>
            <w:t xml:space="preserve">     </w:t>
          </w:r>
          <w:hyperlink w:anchor="_Toc14654983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2.2.6 Proses Pembuatan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57067B" w:rsidRDefault="005427A6" w:rsidP="008C5FE5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>
            <w:lastRenderedPageBreak/>
            <w:t xml:space="preserve">        </w:t>
          </w:r>
          <w:hyperlink w:anchor="_Toc146549837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2.2.7 Reaksi Saponifikasi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37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</w:rPr>
              <w:t xml:space="preserve">2.2.8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Syarat Mutu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3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2.2.9 Evaluasi Mutu Fisik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3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 Monografi Bahan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_Toc146549839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2.2.10.1 Natrium Hidroksida (NaOH)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2.2.10.2 Asam Stearate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2.2.10.3 Gula (sukrosa)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2.2.10.4 Asam sitrat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2.2.10.5 Gliserin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2.2.10.6 Etanol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</w:rPr>
              <w:t>20</w:t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2.2.10.7 Minyak Lemon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2.2.10.8 Virgin Coconut Oil (VCO)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4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2.2.10.9 Aquades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4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2.3 Antioksidan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_Toc146549849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2.3.1 Jenis-Jenis Antioksidan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2.3.2 Manfaat Antioksidan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2.3.3 Penentuan Nilai IC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  <w:vertAlign w:val="subscript"/>
              </w:rPr>
              <w:t>50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2.4 Metode-Metode Pengujian Antioksidan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2.4.1 Metode DPPH (Diphenyl-1-Picrylhydrazyl)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lang w:eastAsia="id-ID"/>
              </w:rPr>
              <w:t xml:space="preserve">2.4.2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Metode ferric reducting antioxidant power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lang w:eastAsia="id-ID"/>
              </w:rPr>
              <w:t xml:space="preserve">2.4.3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Metode cupric reducting antioxidant capacity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2.5 Radikal Bebas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8C5FE5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5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2.6 Spektrofotometri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_Toc146549859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1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2.6.1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 xml:space="preserve"> Komponen-Komponen Spektrofotometer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2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2.6.2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 Cara kerja spektrofotometri UV-Vis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4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2.6.3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 Jenis – jenis spektrofotometri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5" w:history="1">
            <w:r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2.6.4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 Keuntungan Spektrofotometer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866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BAB III METODOLOGI PENELITIAN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_Toc146549866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3.1 Rancangan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3.1.1 Variabel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6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3.1.2 Parameter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_Toc146549869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3.2 Jadwal dan Lokasi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3.2.1 Jadwal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3.2.2 Lokasi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lastRenderedPageBreak/>
            <w:tab/>
          </w:r>
          <w:hyperlink w:anchor="_Toc14654987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3.3 Bahan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3.4 Alat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3.5 Sampel Penelitian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3.5.1 Pengumpulan Sampel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3.5.2 Penyiapan Sampel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3.6 Formula Dasar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7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3.6.1 Pembuatan Dasar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_Toc146549879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3.6.2 Pembuatan Sabun Padat Transparan Daging Daun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3.6.3 Pembuatan Sabun Padat Transparan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3.7 Evaluasi Mutu Sabun Padat Transparan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3.7.1 Organoleptis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3.7.2 Kadar Air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3.7.3 Uji 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3.7.4 Uji Tinggi Busa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3.8 Pembuatan Larutan Uji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3.8.1 Pembuatan Larutan DPPH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8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3.8.2 Pembuatan Larutan Sampel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_Toc146549889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3.8.3 Penetapan Panjang Gelombang Maksium DPPH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3.8.4 Pengukuran </w:t>
            </w:r>
            <w:r w:rsidRPr="00E860B8">
              <w:rPr>
                <w:rStyle w:val="Hyperlink"/>
                <w:rFonts w:ascii="Times New Roman" w:hAnsi="Times New Roman" w:cs="Times New Roman"/>
                <w:i/>
                <w:iCs/>
                <w:noProof/>
                <w:u w:val="none"/>
                <w:shd w:val="clear" w:color="auto" w:fill="FFFFFF" w:themeFill="background1"/>
              </w:rPr>
              <w:t>operating time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 DPPH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3.8.5 Pengukuran Absorbansi DPPH dan 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3.9 Analisis Data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3.9.1 Penentuan Persen Peredaman (% inhibisi)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3.9.2 Penentuan Nilai IC50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896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BAB IV HASIL DAN PEMBAHASAN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_Toc146549896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4.1 Hasil Identifikasi Tumbuhan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4.2 Hasil Pengujian Aktivitas Antioksidan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89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4.2.1 Hasil Penentuan Panjang Gelombang Maksimum DPPH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_Toc146549899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4.2.2 Hasil penentuan </w:t>
            </w:r>
            <w:r w:rsidRPr="00E860B8">
              <w:rPr>
                <w:rStyle w:val="Hyperlink"/>
                <w:rFonts w:ascii="Times New Roman" w:hAnsi="Times New Roman" w:cs="Times New Roman"/>
                <w:i/>
                <w:noProof/>
                <w:u w:val="none"/>
                <w:shd w:val="clear" w:color="auto" w:fill="FFFFFF" w:themeFill="background1"/>
              </w:rPr>
              <w:t>operating time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1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4.2.3 Hasil Pengukuran Absorbansi DPPH Setelah Penambahan Lidah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br/>
              <w:t xml:space="preserve">                    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_Toc146549901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2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4.2.4 Hasil Penentuan Persen Peredaman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_Toc146549902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4.2.5 Hasil perhitungan IC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  <w:vertAlign w:val="subscript"/>
              </w:rPr>
              <w:t>50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4.3 Hasil Pengujian Sabun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4.3.1 Hasil uji organoleptis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lastRenderedPageBreak/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4.3.2 Hasil Pengujian 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7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4.3.3  Hasil Pengujian Tinggi Busa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_Toc146549907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4.3.4 Hasil Pengujian Kadar Air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0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4.4 Hasil Pengujian Aktivitas Antioksidan Sabun Padat Transparan         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br/>
              <w:t xml:space="preserve">                  Menggunakan Daging Daun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_Toc146549909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0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4.4.1 Hasil Penentuan Panjang Gelombang Maksimum DPPH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_Toc146549910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3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4.4.2 Hasil penentuan </w:t>
            </w:r>
            <w:r w:rsidRPr="00E860B8">
              <w:rPr>
                <w:rStyle w:val="Hyperlink"/>
                <w:rFonts w:ascii="Times New Roman" w:hAnsi="Times New Roman" w:cs="Times New Roman"/>
                <w:i/>
                <w:noProof/>
                <w:u w:val="none"/>
                <w:shd w:val="clear" w:color="auto" w:fill="FFFFFF" w:themeFill="background1"/>
              </w:rPr>
              <w:t>operating time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_Toc146549913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4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 xml:space="preserve">4.4.3 Hasil Pengukuran Absorbansi DPPH Setelah Penambahan Sabun Padat           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br/>
              <w:t xml:space="preserve">                     Transparan Menggunakan Daging Daun Lidah Buaya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_Toc146549914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5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4.4.4 Hasil Penentuan Persen Peredaman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_Toc146549915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6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4.4.5 Hasil perhitungan IC</w:t>
            </w:r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  <w:vertAlign w:val="subscript"/>
              </w:rPr>
              <w:t>50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_Toc146549916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917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BAB V KESIMPULAN DAN SARAN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_Toc146549917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8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5.1 Kesimpulan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_Toc146549918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</w:rPr>
          </w:pP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r w:rsidRPr="00E860B8">
            <w:rPr>
              <w:rStyle w:val="Hyperlink"/>
              <w:rFonts w:ascii="Times New Roman" w:hAnsi="Times New Roman" w:cs="Times New Roman"/>
              <w:noProof/>
              <w:u w:val="none"/>
            </w:rPr>
            <w:tab/>
          </w:r>
          <w:hyperlink w:anchor="_Toc146549919" w:history="1">
            <w:r w:rsidRPr="00E860B8">
              <w:rPr>
                <w:rStyle w:val="Hyperlink"/>
                <w:rFonts w:ascii="Times New Roman" w:hAnsi="Times New Roman" w:cs="Times New Roman"/>
                <w:noProof/>
                <w:u w:val="none"/>
                <w:shd w:val="clear" w:color="auto" w:fill="FFFFFF" w:themeFill="background1"/>
              </w:rPr>
              <w:t>5.2 Saran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instrText xml:space="preserve"> PAGEREF _Toc146549919 \h </w:instrTex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Pr="00E860B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427A6" w:rsidRPr="00E860B8" w:rsidRDefault="005427A6" w:rsidP="00E860B8">
          <w:pPr>
            <w:pStyle w:val="TOC1"/>
            <w:tabs>
              <w:tab w:val="left" w:pos="851"/>
              <w:tab w:val="left" w:pos="1134"/>
              <w:tab w:val="left" w:pos="1560"/>
            </w:tabs>
            <w:rPr>
              <w:rFonts w:eastAsiaTheme="minorEastAsia"/>
              <w:b w:val="0"/>
              <w:sz w:val="22"/>
              <w:szCs w:val="22"/>
            </w:rPr>
          </w:pPr>
          <w:hyperlink w:anchor="_Toc146549920" w:history="1">
            <w:r w:rsidRPr="00E860B8">
              <w:rPr>
                <w:rStyle w:val="Hyperlink"/>
                <w:u w:val="none"/>
                <w:shd w:val="clear" w:color="auto" w:fill="FFFFFF" w:themeFill="background1"/>
              </w:rPr>
              <w:t>DAFTAR PUSTAKA</w:t>
            </w:r>
            <w:r w:rsidRPr="00E860B8">
              <w:rPr>
                <w:webHidden/>
              </w:rPr>
              <w:tab/>
            </w:r>
            <w:r w:rsidRPr="00E860B8">
              <w:rPr>
                <w:webHidden/>
              </w:rPr>
              <w:fldChar w:fldCharType="begin"/>
            </w:r>
            <w:r w:rsidRPr="00E860B8">
              <w:rPr>
                <w:webHidden/>
              </w:rPr>
              <w:instrText xml:space="preserve"> PAGEREF _Toc146549920 \h </w:instrText>
            </w:r>
            <w:r w:rsidRPr="00E860B8">
              <w:rPr>
                <w:webHidden/>
              </w:rPr>
            </w:r>
            <w:r w:rsidRPr="00E860B8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E860B8">
              <w:rPr>
                <w:webHidden/>
              </w:rPr>
              <w:fldChar w:fldCharType="end"/>
            </w:r>
          </w:hyperlink>
        </w:p>
        <w:p w:rsidR="005427A6" w:rsidRPr="00E860B8" w:rsidRDefault="005427A6" w:rsidP="00BF797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860B8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sdtContent>
    </w:sdt>
    <w:p w:rsidR="005427A6" w:rsidRPr="00E860B8" w:rsidRDefault="005427A6" w:rsidP="00BF7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7A6" w:rsidRPr="00E860B8" w:rsidRDefault="005427A6" w:rsidP="00BF7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7A6" w:rsidRPr="00E860B8" w:rsidRDefault="005427A6" w:rsidP="002830A2"/>
    <w:p w:rsidR="005427A6" w:rsidRPr="00E860B8" w:rsidRDefault="005427A6" w:rsidP="002830A2"/>
    <w:p w:rsidR="005427A6" w:rsidRDefault="005427A6" w:rsidP="00001C32">
      <w:pPr>
        <w:rPr>
          <w:shd w:val="clear" w:color="auto" w:fill="FFFFFF" w:themeFill="background1"/>
        </w:rPr>
        <w:sectPr w:rsidR="005427A6" w:rsidSect="00001C32">
          <w:type w:val="continuous"/>
          <w:pgSz w:w="11907" w:h="16840" w:code="9"/>
          <w:pgMar w:top="1701" w:right="1701" w:bottom="1701" w:left="2268" w:header="709" w:footer="709" w:gutter="0"/>
          <w:pgNumType w:fmt="lowerRoman" w:start="5"/>
          <w:cols w:space="708"/>
          <w:docGrid w:linePitch="360"/>
        </w:sectPr>
      </w:pPr>
    </w:p>
    <w:p w:rsidR="005427A6" w:rsidRPr="005427A6" w:rsidRDefault="005427A6" w:rsidP="005427A6">
      <w:pPr>
        <w:pStyle w:val="Heading1"/>
        <w:rPr>
          <w:shd w:val="clear" w:color="auto" w:fill="FFFFFF" w:themeFill="background1"/>
        </w:rPr>
      </w:pPr>
      <w:bookmarkStart w:id="0" w:name="_Toc146549810"/>
      <w:r w:rsidRPr="00981E0D">
        <w:rPr>
          <w:shd w:val="clear" w:color="auto" w:fill="FFFFFF" w:themeFill="background1"/>
        </w:rPr>
        <w:lastRenderedPageBreak/>
        <w:t>DAFTAR TABEL</w:t>
      </w:r>
      <w:bookmarkStart w:id="1" w:name="_GoBack"/>
      <w:bookmarkEnd w:id="0"/>
      <w:bookmarkEnd w:id="1"/>
    </w:p>
    <w:p w:rsidR="005427A6" w:rsidRPr="00512FE2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2.1 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Kekuatan</w:t>
      </w:r>
      <w:proofErr w:type="spellEnd"/>
      <w:proofErr w:type="gram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Berdasarkan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Nilai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IC50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26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2.2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Hubungan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antara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warna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dengan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panjang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gelombang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sinar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33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3.1 Formula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Dasar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Padat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Transparan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38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3.2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Pembuatan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Padat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Transparan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39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Kekuatan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berdasarkan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nilai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IC5o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48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4.2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nilai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IC50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48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4.3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organoleptis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padat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transparan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49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4.4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pH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51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4.5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Tinggi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50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4.6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Kadar Air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52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4.7</w:t>
      </w:r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proofErr w:type="gram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absorbansi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setelah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penambahan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setiap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54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4.8</w:t>
      </w:r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persen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peredaman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56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4.9</w:t>
      </w:r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nilai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IC50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57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BF06E6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5427A6" w:rsidRDefault="005427A6" w:rsidP="005427A6">
      <w:pPr>
        <w:pStyle w:val="Heading1"/>
        <w:rPr>
          <w:shd w:val="clear" w:color="auto" w:fill="FFFFFF" w:themeFill="background1"/>
        </w:rPr>
      </w:pPr>
      <w:bookmarkStart w:id="2" w:name="_Toc146549811"/>
      <w:r w:rsidRPr="00981E0D">
        <w:rPr>
          <w:shd w:val="clear" w:color="auto" w:fill="FFFFFF" w:themeFill="background1"/>
        </w:rPr>
        <w:t>DAFTAR GAMBAR</w:t>
      </w:r>
      <w:bookmarkEnd w:id="2"/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Gambar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1.1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Kerangka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Pikir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Penelitian</w:t>
      </w:r>
      <w:proofErr w:type="spellEnd"/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1E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2.2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Mekanisme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Reaksi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12</w:t>
      </w:r>
    </w:p>
    <w:p w:rsidR="005427A6" w:rsidRPr="00512FE2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2.3 </w:t>
      </w:r>
      <w:proofErr w:type="spellStart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Struktur</w:t>
      </w:r>
      <w:proofErr w:type="spellEnd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Natrium</w:t>
      </w:r>
      <w:proofErr w:type="spellEnd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Hidroksida</w:t>
      </w:r>
      <w:proofErr w:type="spellEnd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NaOH</w:t>
      </w:r>
      <w:proofErr w:type="spellEnd"/>
      <w:r w:rsidRPr="007A418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17</w:t>
      </w:r>
    </w:p>
    <w:p w:rsidR="005427A6" w:rsidRPr="00F11003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>Gambar 2.4</w:t>
      </w:r>
      <w:r w:rsidRPr="00F1100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 Struktur Asam Stearat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ab/>
        <w:t>17</w:t>
      </w:r>
    </w:p>
    <w:p w:rsidR="005427A6" w:rsidRPr="00512FE2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Struktur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Gula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Sukrosa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18</w:t>
      </w:r>
    </w:p>
    <w:p w:rsidR="005427A6" w:rsidRPr="00F11003" w:rsidRDefault="005427A6" w:rsidP="005427A6">
      <w:pPr>
        <w:shd w:val="clear" w:color="auto" w:fill="FFFFFF" w:themeFill="background1"/>
        <w:tabs>
          <w:tab w:val="left" w:pos="2190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>Gambar 2.6</w:t>
      </w:r>
      <w:r w:rsidRPr="00F1100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 Struktur Molekul Asam Sitrat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ab/>
        <w:t>19</w:t>
      </w:r>
      <w:r w:rsidRPr="00F1100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ab/>
      </w:r>
    </w:p>
    <w:p w:rsidR="005427A6" w:rsidRPr="00F11003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2.7</w:t>
      </w:r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Struktur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Gliserin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19</w:t>
      </w:r>
    </w:p>
    <w:p w:rsidR="005427A6" w:rsidRPr="00F11003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2.8</w:t>
      </w:r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Struktur</w:t>
      </w:r>
      <w:proofErr w:type="spellEnd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F110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20</w:t>
      </w:r>
    </w:p>
    <w:p w:rsidR="005427A6" w:rsidRPr="00512FE2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2.9</w:t>
      </w:r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Struktur</w:t>
      </w:r>
      <w:proofErr w:type="spellEnd"/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Virgin Coconut Oil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22</w:t>
      </w:r>
    </w:p>
    <w:p w:rsidR="005427A6" w:rsidRPr="00512FE2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2.10</w:t>
      </w:r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Reaksi</w:t>
      </w:r>
      <w:proofErr w:type="spellEnd"/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Kimia </w:t>
      </w:r>
      <w:proofErr w:type="spellStart"/>
      <w:r w:rsidRPr="004869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23</w:t>
      </w:r>
    </w:p>
    <w:p w:rsidR="005427A6" w:rsidRPr="00BF06E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2.11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Mekanisme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Kerja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Spektrofotometri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UV-Vis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32</w:t>
      </w:r>
    </w:p>
    <w:p w:rsidR="005427A6" w:rsidRPr="003C19F8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4.1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Grafik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%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Peredaman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</w:t>
      </w:r>
      <w:proofErr w:type="gram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Pr="003C19F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Aloe </w:t>
      </w:r>
      <w:proofErr w:type="spellStart"/>
      <w:r w:rsidRPr="003C19F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vera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(L.)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Burm.f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.)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47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4.2</w:t>
      </w:r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Penentuan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Panjang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Gelombang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Maksimum</w:t>
      </w:r>
      <w:proofErr w:type="spellEnd"/>
      <w:r w:rsidRPr="003C19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53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4.3</w:t>
      </w:r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Grafik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%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Peredaman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transparan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menggunakan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Pr="00842DCA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Aloe </w:t>
      </w:r>
      <w:proofErr w:type="spellStart"/>
      <w:r w:rsidRPr="00842DCA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vera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(L.)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Burm.f</w:t>
      </w:r>
      <w:proofErr w:type="spellEnd"/>
      <w:r w:rsidRPr="00842D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.)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57</w:t>
      </w: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tabs>
          <w:tab w:val="right" w:leader="dot" w:pos="7938"/>
        </w:tabs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Pr="00981E0D" w:rsidRDefault="005427A6" w:rsidP="005427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shd w:val="clear" w:color="auto" w:fill="FFFFFF" w:themeFill="background1"/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427A6" w:rsidRDefault="005427A6" w:rsidP="005427A6">
      <w:pPr>
        <w:pStyle w:val="Heading1"/>
        <w:rPr>
          <w:shd w:val="clear" w:color="auto" w:fill="FFFFFF" w:themeFill="background1"/>
        </w:rPr>
      </w:pPr>
      <w:bookmarkStart w:id="3" w:name="_Toc146549812"/>
      <w:r>
        <w:rPr>
          <w:shd w:val="clear" w:color="auto" w:fill="FFFFFF" w:themeFill="background1"/>
        </w:rPr>
        <w:t>DAFTAR LAMPIRAN</w:t>
      </w:r>
      <w:bookmarkEnd w:id="3"/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 w:rsidRPr="00065A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62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Alir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Pembuatan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63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alir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pH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64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alir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tinggi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busa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65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5.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alir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kadar</w:t>
      </w:r>
      <w:proofErr w:type="spellEnd"/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air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66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6.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Bagan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Alir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Pengukuran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67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7.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Sampel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69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Sediaan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Sabun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Padat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Transparan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Menggunakan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70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9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Pengujian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Tinggi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71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derajat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keasaman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(pH)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72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11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kadar</w:t>
      </w:r>
      <w:proofErr w:type="spellEnd"/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air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73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12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Ketinggian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Busa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74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13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Kadar Air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77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14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Penentuan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Kurva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Serapan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Maksimum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Larutan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dalam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 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metanol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secara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Spektrofotometri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UV-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78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15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Pengukuran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Operating Time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Larutan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79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16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Pengukuran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Absorbansi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Larutan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ditambah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Larutan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 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Berbagai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Konsentrasi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80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17.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Pengukuran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Absorbansi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Larutan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DPPH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ditambah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setiap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                 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81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18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Hasil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83</w:t>
      </w:r>
    </w:p>
    <w:p w:rsidR="005427A6" w:rsidRPr="007234F5" w:rsidRDefault="005427A6" w:rsidP="005427A6">
      <w:pPr>
        <w:shd w:val="clear" w:color="auto" w:fill="FFFFFF" w:themeFill="background1"/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sectPr w:rsidR="005427A6" w:rsidRPr="007234F5" w:rsidSect="00C262C8">
          <w:footerReference w:type="default" r:id="rId6"/>
          <w:pgSz w:w="11907" w:h="16840" w:code="9"/>
          <w:pgMar w:top="1701" w:right="1701" w:bottom="1701" w:left="2268" w:header="709" w:footer="709" w:gutter="0"/>
          <w:pgNumType w:fmt="lowerRoman" w:start="5"/>
          <w:cols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19</w:t>
      </w:r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Perhitungan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Uji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Aktivitas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Antioksidan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Sampel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Lidah</w:t>
      </w:r>
      <w:proofErr w:type="spellEnd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A421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93</w:t>
      </w:r>
    </w:p>
    <w:p w:rsidR="008D7398" w:rsidRDefault="008D7398"/>
    <w:sectPr w:rsidR="008D73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21060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7A6" w:rsidRPr="00DF2CF7" w:rsidRDefault="005427A6">
        <w:pPr>
          <w:pStyle w:val="Footer"/>
          <w:jc w:val="center"/>
          <w:rPr>
            <w:rFonts w:ascii="Times New Roman" w:hAnsi="Times New Roman" w:cs="Times New Roman"/>
          </w:rPr>
        </w:pPr>
        <w:r w:rsidRPr="00DF2CF7">
          <w:rPr>
            <w:rFonts w:ascii="Times New Roman" w:hAnsi="Times New Roman" w:cs="Times New Roman"/>
          </w:rPr>
          <w:fldChar w:fldCharType="begin"/>
        </w:r>
        <w:r w:rsidRPr="00DF2CF7">
          <w:rPr>
            <w:rFonts w:ascii="Times New Roman" w:hAnsi="Times New Roman" w:cs="Times New Roman"/>
          </w:rPr>
          <w:instrText xml:space="preserve"> PAGE   \* MERGEFORMAT </w:instrText>
        </w:r>
        <w:r w:rsidRPr="00DF2CF7">
          <w:rPr>
            <w:rFonts w:ascii="Times New Roman" w:hAnsi="Times New Roman" w:cs="Times New Roman"/>
          </w:rPr>
          <w:fldChar w:fldCharType="separate"/>
        </w:r>
        <w:r w:rsidRPr="005427A6">
          <w:rPr>
            <w:noProof/>
          </w:rPr>
          <w:t>v</w:t>
        </w:r>
        <w:r w:rsidRPr="00DF2CF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427A6" w:rsidRPr="00DF2CF7" w:rsidRDefault="005427A6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DBE"/>
    <w:multiLevelType w:val="hybridMultilevel"/>
    <w:tmpl w:val="A5006E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C56"/>
    <w:multiLevelType w:val="hybridMultilevel"/>
    <w:tmpl w:val="662044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7002"/>
    <w:multiLevelType w:val="hybridMultilevel"/>
    <w:tmpl w:val="B77ED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192A"/>
    <w:multiLevelType w:val="hybridMultilevel"/>
    <w:tmpl w:val="65B095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ABE"/>
    <w:multiLevelType w:val="multilevel"/>
    <w:tmpl w:val="DC426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12F4D3B"/>
    <w:multiLevelType w:val="hybridMultilevel"/>
    <w:tmpl w:val="3A704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2576E"/>
    <w:multiLevelType w:val="multilevel"/>
    <w:tmpl w:val="675A3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6CA4F15"/>
    <w:multiLevelType w:val="hybridMultilevel"/>
    <w:tmpl w:val="993E57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42CFA"/>
    <w:multiLevelType w:val="multilevel"/>
    <w:tmpl w:val="FEF24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8AA0DDE"/>
    <w:multiLevelType w:val="hybridMultilevel"/>
    <w:tmpl w:val="B1A0B5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30F79"/>
    <w:multiLevelType w:val="hybridMultilevel"/>
    <w:tmpl w:val="89085DC0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F4DC1"/>
    <w:multiLevelType w:val="multilevel"/>
    <w:tmpl w:val="3A400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</w:rPr>
    </w:lvl>
    <w:lvl w:ilvl="3">
      <w:start w:val="151"/>
      <w:numFmt w:val="decimal"/>
      <w:lvlText w:val="%4"/>
      <w:lvlJc w:val="left"/>
      <w:pPr>
        <w:ind w:left="36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2">
    <w:nsid w:val="45A62183"/>
    <w:multiLevelType w:val="hybridMultilevel"/>
    <w:tmpl w:val="AFFAA056"/>
    <w:lvl w:ilvl="0" w:tplc="77940E7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0A386E84">
      <w:numFmt w:val="bullet"/>
      <w:lvlText w:val="•"/>
      <w:lvlJc w:val="left"/>
      <w:pPr>
        <w:ind w:left="1924" w:hanging="428"/>
      </w:pPr>
      <w:rPr>
        <w:lang w:eastAsia="en-US" w:bidi="ar-SA"/>
      </w:rPr>
    </w:lvl>
    <w:lvl w:ilvl="2" w:tplc="18024656">
      <w:numFmt w:val="bullet"/>
      <w:lvlText w:val="•"/>
      <w:lvlJc w:val="left"/>
      <w:pPr>
        <w:ind w:left="2829" w:hanging="428"/>
      </w:pPr>
      <w:rPr>
        <w:lang w:eastAsia="en-US" w:bidi="ar-SA"/>
      </w:rPr>
    </w:lvl>
    <w:lvl w:ilvl="3" w:tplc="E348CFBE">
      <w:numFmt w:val="bullet"/>
      <w:lvlText w:val="•"/>
      <w:lvlJc w:val="left"/>
      <w:pPr>
        <w:ind w:left="3733" w:hanging="428"/>
      </w:pPr>
      <w:rPr>
        <w:lang w:eastAsia="en-US" w:bidi="ar-SA"/>
      </w:rPr>
    </w:lvl>
    <w:lvl w:ilvl="4" w:tplc="672EBF1E">
      <w:numFmt w:val="bullet"/>
      <w:lvlText w:val="•"/>
      <w:lvlJc w:val="left"/>
      <w:pPr>
        <w:ind w:left="4638" w:hanging="428"/>
      </w:pPr>
      <w:rPr>
        <w:lang w:eastAsia="en-US" w:bidi="ar-SA"/>
      </w:rPr>
    </w:lvl>
    <w:lvl w:ilvl="5" w:tplc="70063278">
      <w:numFmt w:val="bullet"/>
      <w:lvlText w:val="•"/>
      <w:lvlJc w:val="left"/>
      <w:pPr>
        <w:ind w:left="5543" w:hanging="428"/>
      </w:pPr>
      <w:rPr>
        <w:lang w:eastAsia="en-US" w:bidi="ar-SA"/>
      </w:rPr>
    </w:lvl>
    <w:lvl w:ilvl="6" w:tplc="83F4C280">
      <w:numFmt w:val="bullet"/>
      <w:lvlText w:val="•"/>
      <w:lvlJc w:val="left"/>
      <w:pPr>
        <w:ind w:left="6447" w:hanging="428"/>
      </w:pPr>
      <w:rPr>
        <w:lang w:eastAsia="en-US" w:bidi="ar-SA"/>
      </w:rPr>
    </w:lvl>
    <w:lvl w:ilvl="7" w:tplc="2E90CF3A">
      <w:numFmt w:val="bullet"/>
      <w:lvlText w:val="•"/>
      <w:lvlJc w:val="left"/>
      <w:pPr>
        <w:ind w:left="7352" w:hanging="428"/>
      </w:pPr>
      <w:rPr>
        <w:lang w:eastAsia="en-US" w:bidi="ar-SA"/>
      </w:rPr>
    </w:lvl>
    <w:lvl w:ilvl="8" w:tplc="A28E974A">
      <w:numFmt w:val="bullet"/>
      <w:lvlText w:val="•"/>
      <w:lvlJc w:val="left"/>
      <w:pPr>
        <w:ind w:left="8257" w:hanging="428"/>
      </w:pPr>
      <w:rPr>
        <w:lang w:eastAsia="en-US" w:bidi="ar-SA"/>
      </w:rPr>
    </w:lvl>
  </w:abstractNum>
  <w:abstractNum w:abstractNumId="13">
    <w:nsid w:val="49410176"/>
    <w:multiLevelType w:val="hybridMultilevel"/>
    <w:tmpl w:val="76761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0325"/>
    <w:multiLevelType w:val="hybridMultilevel"/>
    <w:tmpl w:val="C5BC6E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B78DC"/>
    <w:multiLevelType w:val="hybridMultilevel"/>
    <w:tmpl w:val="B77ED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E7C0C"/>
    <w:multiLevelType w:val="hybridMultilevel"/>
    <w:tmpl w:val="65169618"/>
    <w:lvl w:ilvl="0" w:tplc="CC241C5C">
      <w:start w:val="1"/>
      <w:numFmt w:val="decimal"/>
      <w:lvlText w:val="%1."/>
      <w:lvlJc w:val="left"/>
      <w:pPr>
        <w:ind w:left="720" w:hanging="360"/>
      </w:pPr>
    </w:lvl>
    <w:lvl w:ilvl="1" w:tplc="93686EE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6F52"/>
    <w:multiLevelType w:val="hybridMultilevel"/>
    <w:tmpl w:val="CAD4E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7553"/>
    <w:multiLevelType w:val="multilevel"/>
    <w:tmpl w:val="9FC83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CDF5862"/>
    <w:multiLevelType w:val="multilevel"/>
    <w:tmpl w:val="E0C4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E5E231F"/>
    <w:multiLevelType w:val="hybridMultilevel"/>
    <w:tmpl w:val="B77ED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56CB"/>
    <w:multiLevelType w:val="hybridMultilevel"/>
    <w:tmpl w:val="B77ED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3"/>
  </w:num>
  <w:num w:numId="5">
    <w:abstractNumId w:val="19"/>
  </w:num>
  <w:num w:numId="6">
    <w:abstractNumId w:val="22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20"/>
  </w:num>
  <w:num w:numId="12">
    <w:abstractNumId w:val="15"/>
  </w:num>
  <w:num w:numId="13">
    <w:abstractNumId w:val="7"/>
  </w:num>
  <w:num w:numId="14">
    <w:abstractNumId w:val="16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"/>
  </w:num>
  <w:num w:numId="19">
    <w:abstractNumId w:val="10"/>
  </w:num>
  <w:num w:numId="20">
    <w:abstractNumId w:val="9"/>
  </w:num>
  <w:num w:numId="21">
    <w:abstractNumId w:val="0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C"/>
    <w:rsid w:val="002A654C"/>
    <w:rsid w:val="005427A6"/>
    <w:rsid w:val="008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4C"/>
    <w:pPr>
      <w:spacing w:after="0" w:line="480" w:lineRule="auto"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54C"/>
    <w:pPr>
      <w:spacing w:after="0" w:line="480" w:lineRule="auto"/>
      <w:jc w:val="both"/>
      <w:outlineLvl w:val="1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54C"/>
    <w:pPr>
      <w:tabs>
        <w:tab w:val="left" w:pos="1875"/>
      </w:tabs>
      <w:spacing w:after="0" w:line="480" w:lineRule="auto"/>
      <w:jc w:val="both"/>
      <w:outlineLvl w:val="2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54C"/>
    <w:pPr>
      <w:shd w:val="clear" w:color="auto" w:fill="FFFFFF" w:themeFill="background1"/>
      <w:tabs>
        <w:tab w:val="left" w:pos="284"/>
      </w:tabs>
      <w:spacing w:after="0" w:line="480" w:lineRule="auto"/>
      <w:jc w:val="both"/>
      <w:outlineLvl w:val="3"/>
    </w:pPr>
    <w:rPr>
      <w:rFonts w:ascii="Times New Roman" w:eastAsiaTheme="minorHAnsi" w:hAnsi="Times New Roman" w:cs="Times New Roman"/>
      <w:b/>
      <w:sz w:val="24"/>
      <w:szCs w:val="24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54C"/>
    <w:rPr>
      <w:rFonts w:ascii="Times New Roman" w:eastAsiaTheme="minorHAnsi" w:hAnsi="Times New Roman" w:cs="Times New Roman"/>
      <w:b/>
      <w:sz w:val="24"/>
      <w:szCs w:val="24"/>
      <w:shd w:val="clear" w:color="auto" w:fill="FFFFFF" w:themeFill="background1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A654C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2A654C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4C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654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54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A654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A654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A654C"/>
    <w:rPr>
      <w:rFonts w:eastAsia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2A654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654C"/>
    <w:pPr>
      <w:tabs>
        <w:tab w:val="right" w:leader="dot" w:pos="7928"/>
      </w:tabs>
      <w:spacing w:after="100"/>
    </w:pPr>
    <w:rPr>
      <w:rFonts w:ascii="Times New Roman" w:eastAsiaTheme="minorHAnsi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A654C"/>
    <w:pPr>
      <w:spacing w:after="100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2A654C"/>
    <w:pPr>
      <w:spacing w:after="100"/>
      <w:ind w:left="44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A65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A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54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A654C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A65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54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54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54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6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5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654C"/>
  </w:style>
  <w:style w:type="character" w:styleId="PlaceholderText">
    <w:name w:val="Placeholder Text"/>
    <w:basedOn w:val="DefaultParagraphFont"/>
    <w:uiPriority w:val="99"/>
    <w:semiHidden/>
    <w:rsid w:val="002A654C"/>
    <w:rPr>
      <w:color w:val="808080"/>
    </w:rPr>
  </w:style>
  <w:style w:type="character" w:styleId="Strong">
    <w:name w:val="Strong"/>
    <w:uiPriority w:val="22"/>
    <w:qFormat/>
    <w:rsid w:val="002A654C"/>
    <w:rPr>
      <w:b/>
      <w:bCs/>
    </w:rPr>
  </w:style>
  <w:style w:type="character" w:styleId="Emphasis">
    <w:name w:val="Emphasis"/>
    <w:uiPriority w:val="20"/>
    <w:qFormat/>
    <w:rsid w:val="002A654C"/>
    <w:rPr>
      <w:i/>
      <w:iCs/>
    </w:rPr>
  </w:style>
  <w:style w:type="paragraph" w:styleId="NoSpacing">
    <w:name w:val="No Spacing"/>
    <w:uiPriority w:val="1"/>
    <w:rsid w:val="002A65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rsid w:val="002A654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2A654C"/>
  </w:style>
  <w:style w:type="character" w:customStyle="1" w:styleId="ff2">
    <w:name w:val="ff2"/>
    <w:basedOn w:val="DefaultParagraphFont"/>
    <w:rsid w:val="002A654C"/>
  </w:style>
  <w:style w:type="character" w:customStyle="1" w:styleId="a">
    <w:name w:val="_"/>
    <w:basedOn w:val="DefaultParagraphFont"/>
    <w:rsid w:val="002A654C"/>
  </w:style>
  <w:style w:type="character" w:customStyle="1" w:styleId="ls3">
    <w:name w:val="ls3"/>
    <w:basedOn w:val="DefaultParagraphFont"/>
    <w:rsid w:val="002A654C"/>
  </w:style>
  <w:style w:type="paragraph" w:styleId="TOC4">
    <w:name w:val="toc 4"/>
    <w:basedOn w:val="Normal"/>
    <w:next w:val="Normal"/>
    <w:autoRedefine/>
    <w:uiPriority w:val="39"/>
    <w:unhideWhenUsed/>
    <w:rsid w:val="002A654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A654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A654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A654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A654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A654C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4C"/>
    <w:pPr>
      <w:spacing w:after="0" w:line="480" w:lineRule="auto"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54C"/>
    <w:pPr>
      <w:spacing w:after="0" w:line="480" w:lineRule="auto"/>
      <w:jc w:val="both"/>
      <w:outlineLvl w:val="1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54C"/>
    <w:pPr>
      <w:tabs>
        <w:tab w:val="left" w:pos="1875"/>
      </w:tabs>
      <w:spacing w:after="0" w:line="480" w:lineRule="auto"/>
      <w:jc w:val="both"/>
      <w:outlineLvl w:val="2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54C"/>
    <w:pPr>
      <w:shd w:val="clear" w:color="auto" w:fill="FFFFFF" w:themeFill="background1"/>
      <w:tabs>
        <w:tab w:val="left" w:pos="284"/>
      </w:tabs>
      <w:spacing w:after="0" w:line="480" w:lineRule="auto"/>
      <w:jc w:val="both"/>
      <w:outlineLvl w:val="3"/>
    </w:pPr>
    <w:rPr>
      <w:rFonts w:ascii="Times New Roman" w:eastAsiaTheme="minorHAnsi" w:hAnsi="Times New Roman" w:cs="Times New Roman"/>
      <w:b/>
      <w:sz w:val="24"/>
      <w:szCs w:val="24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654C"/>
    <w:rPr>
      <w:rFonts w:ascii="Times New Roman" w:eastAsiaTheme="minorHAns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54C"/>
    <w:rPr>
      <w:rFonts w:ascii="Times New Roman" w:eastAsiaTheme="minorHAnsi" w:hAnsi="Times New Roman" w:cs="Times New Roman"/>
      <w:b/>
      <w:sz w:val="24"/>
      <w:szCs w:val="24"/>
      <w:shd w:val="clear" w:color="auto" w:fill="FFFFFF" w:themeFill="background1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2A654C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2A654C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4C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654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654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A654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A654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A654C"/>
    <w:rPr>
      <w:rFonts w:eastAsia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2A654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654C"/>
    <w:pPr>
      <w:tabs>
        <w:tab w:val="right" w:leader="dot" w:pos="7928"/>
      </w:tabs>
      <w:spacing w:after="100"/>
    </w:pPr>
    <w:rPr>
      <w:rFonts w:ascii="Times New Roman" w:eastAsiaTheme="minorHAnsi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A654C"/>
    <w:pPr>
      <w:spacing w:after="100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2A654C"/>
    <w:pPr>
      <w:spacing w:after="100"/>
      <w:ind w:left="44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A65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A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654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A654C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A65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54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54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54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6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5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A654C"/>
  </w:style>
  <w:style w:type="character" w:styleId="PlaceholderText">
    <w:name w:val="Placeholder Text"/>
    <w:basedOn w:val="DefaultParagraphFont"/>
    <w:uiPriority w:val="99"/>
    <w:semiHidden/>
    <w:rsid w:val="002A654C"/>
    <w:rPr>
      <w:color w:val="808080"/>
    </w:rPr>
  </w:style>
  <w:style w:type="character" w:styleId="Strong">
    <w:name w:val="Strong"/>
    <w:uiPriority w:val="22"/>
    <w:qFormat/>
    <w:rsid w:val="002A654C"/>
    <w:rPr>
      <w:b/>
      <w:bCs/>
    </w:rPr>
  </w:style>
  <w:style w:type="character" w:styleId="Emphasis">
    <w:name w:val="Emphasis"/>
    <w:uiPriority w:val="20"/>
    <w:qFormat/>
    <w:rsid w:val="002A654C"/>
    <w:rPr>
      <w:i/>
      <w:iCs/>
    </w:rPr>
  </w:style>
  <w:style w:type="paragraph" w:styleId="NoSpacing">
    <w:name w:val="No Spacing"/>
    <w:uiPriority w:val="1"/>
    <w:rsid w:val="002A65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rsid w:val="002A654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2A654C"/>
  </w:style>
  <w:style w:type="character" w:customStyle="1" w:styleId="ff2">
    <w:name w:val="ff2"/>
    <w:basedOn w:val="DefaultParagraphFont"/>
    <w:rsid w:val="002A654C"/>
  </w:style>
  <w:style w:type="character" w:customStyle="1" w:styleId="a">
    <w:name w:val="_"/>
    <w:basedOn w:val="DefaultParagraphFont"/>
    <w:rsid w:val="002A654C"/>
  </w:style>
  <w:style w:type="character" w:customStyle="1" w:styleId="ls3">
    <w:name w:val="ls3"/>
    <w:basedOn w:val="DefaultParagraphFont"/>
    <w:rsid w:val="002A654C"/>
  </w:style>
  <w:style w:type="paragraph" w:styleId="TOC4">
    <w:name w:val="toc 4"/>
    <w:basedOn w:val="Normal"/>
    <w:next w:val="Normal"/>
    <w:autoRedefine/>
    <w:uiPriority w:val="39"/>
    <w:unhideWhenUsed/>
    <w:rsid w:val="002A654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A654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A654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A654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A654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A654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2023-09-26T12:10:00Z</dcterms:created>
  <dcterms:modified xsi:type="dcterms:W3CDTF">2023-09-26T13:09:00Z</dcterms:modified>
</cp:coreProperties>
</file>