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89" w:rsidRDefault="00FD1689" w:rsidP="00FD1689">
      <w:pPr>
        <w:pStyle w:val="Heading1"/>
        <w:spacing w:before="0"/>
        <w:ind w:left="709" w:hanging="709"/>
        <w:jc w:val="center"/>
      </w:pPr>
      <w:bookmarkStart w:id="0" w:name="_GoBack"/>
      <w:r>
        <w:t>DAFTAR</w:t>
      </w:r>
      <w:r>
        <w:rPr>
          <w:spacing w:val="-8"/>
        </w:rPr>
        <w:t xml:space="preserve"> </w:t>
      </w:r>
      <w:r>
        <w:rPr>
          <w:spacing w:val="-2"/>
        </w:rPr>
        <w:t>PUSTAKA</w:t>
      </w:r>
    </w:p>
    <w:bookmarkEnd w:id="0"/>
    <w:p w:rsidR="00FD1689" w:rsidRDefault="00FD1689" w:rsidP="00FD1689">
      <w:pPr>
        <w:pStyle w:val="BodyText"/>
        <w:ind w:left="709" w:hanging="709"/>
        <w:jc w:val="both"/>
        <w:rPr>
          <w:b/>
          <w:sz w:val="16"/>
        </w:rPr>
      </w:pPr>
    </w:p>
    <w:p w:rsidR="00FD1689" w:rsidRDefault="00FD1689" w:rsidP="00FD1689">
      <w:pPr>
        <w:ind w:left="709" w:hanging="709"/>
        <w:jc w:val="both"/>
        <w:rPr>
          <w:b/>
          <w:sz w:val="24"/>
        </w:rPr>
      </w:pPr>
      <w:r>
        <w:rPr>
          <w:b/>
          <w:spacing w:val="-4"/>
          <w:sz w:val="24"/>
        </w:rPr>
        <w:t>BUKU</w:t>
      </w:r>
    </w:p>
    <w:p w:rsidR="00FD1689" w:rsidRDefault="00FD1689" w:rsidP="00FD1689">
      <w:pPr>
        <w:pStyle w:val="BodyText"/>
        <w:ind w:left="709" w:hanging="709"/>
        <w:jc w:val="both"/>
        <w:rPr>
          <w:b/>
          <w:sz w:val="23"/>
        </w:rPr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Andi</w:t>
      </w:r>
      <w:r>
        <w:rPr>
          <w:spacing w:val="-7"/>
          <w:sz w:val="24"/>
        </w:rPr>
        <w:t xml:space="preserve"> </w:t>
      </w:r>
      <w:r>
        <w:rPr>
          <w:sz w:val="24"/>
        </w:rPr>
        <w:t>Hamzah,</w:t>
      </w:r>
      <w:r>
        <w:rPr>
          <w:spacing w:val="-6"/>
          <w:sz w:val="24"/>
        </w:rPr>
        <w:t xml:space="preserve"> </w:t>
      </w:r>
      <w:r>
        <w:rPr>
          <w:sz w:val="24"/>
        </w:rPr>
        <w:t>2015,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(Jakarta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Sinar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Grafika)</w:t>
      </w:r>
    </w:p>
    <w:p w:rsidR="00FD1689" w:rsidRDefault="00FD1689" w:rsidP="00FD1689">
      <w:pPr>
        <w:pStyle w:val="BodyText"/>
        <w:ind w:left="709" w:hanging="709"/>
        <w:jc w:val="both"/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i/>
          <w:sz w:val="24"/>
        </w:rPr>
        <w:t>-------------------2005,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(Jakarta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Ghalia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Indonesia)</w:t>
      </w:r>
    </w:p>
    <w:p w:rsidR="00FD1689" w:rsidRDefault="00FD1689" w:rsidP="00FD1689">
      <w:pPr>
        <w:pStyle w:val="BodyText"/>
        <w:ind w:left="709" w:hanging="709"/>
        <w:jc w:val="both"/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i/>
          <w:sz w:val="24"/>
        </w:rPr>
        <w:t>------------------</w:t>
      </w:r>
      <w:r>
        <w:rPr>
          <w:sz w:val="24"/>
        </w:rPr>
        <w:t xml:space="preserve">2019, </w:t>
      </w:r>
      <w:r>
        <w:rPr>
          <w:i/>
          <w:sz w:val="24"/>
        </w:rPr>
        <w:t>Delik-Delik Tertentu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(Spesiale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Delicten)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Didalam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KUHP</w:t>
      </w:r>
      <w:r>
        <w:rPr>
          <w:sz w:val="24"/>
        </w:rPr>
        <w:t>,( Jakarta : Sinar Grafika)</w:t>
      </w:r>
    </w:p>
    <w:p w:rsidR="00FD1689" w:rsidRDefault="00FD1689" w:rsidP="00FD1689">
      <w:pPr>
        <w:tabs>
          <w:tab w:val="left" w:pos="1440"/>
          <w:tab w:val="left" w:pos="4188"/>
        </w:tabs>
        <w:ind w:left="709" w:hanging="709"/>
        <w:jc w:val="both"/>
        <w:rPr>
          <w:sz w:val="24"/>
        </w:rPr>
      </w:pPr>
      <w:r>
        <w:rPr>
          <w:sz w:val="24"/>
        </w:rPr>
        <w:t>Abdul</w:t>
      </w:r>
      <w:r>
        <w:rPr>
          <w:spacing w:val="-5"/>
          <w:sz w:val="24"/>
        </w:rPr>
        <w:t xml:space="preserve"> </w:t>
      </w:r>
      <w:r>
        <w:rPr>
          <w:sz w:val="24"/>
        </w:rPr>
        <w:t>Syahni,</w:t>
      </w:r>
      <w:r>
        <w:rPr>
          <w:spacing w:val="-4"/>
          <w:sz w:val="24"/>
        </w:rPr>
        <w:t xml:space="preserve"> </w:t>
      </w:r>
      <w:r>
        <w:rPr>
          <w:sz w:val="24"/>
        </w:rPr>
        <w:t>2012,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Sosiologi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Kriminalitas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(Bandung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Rejama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Karya) </w:t>
      </w:r>
      <w:r>
        <w:rPr>
          <w:spacing w:val="-2"/>
          <w:sz w:val="24"/>
        </w:rPr>
        <w:t>Adami</w:t>
      </w:r>
      <w:r>
        <w:rPr>
          <w:sz w:val="24"/>
        </w:rPr>
        <w:tab/>
        <w:t xml:space="preserve">Chazawi, 2012. </w:t>
      </w:r>
      <w:r>
        <w:rPr>
          <w:i/>
          <w:sz w:val="24"/>
        </w:rPr>
        <w:t>Pelajaran</w:t>
      </w:r>
      <w:r>
        <w:rPr>
          <w:i/>
          <w:sz w:val="24"/>
        </w:rPr>
        <w:tab/>
        <w:t>Hukum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Bagian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,(Jakarta:</w:t>
      </w:r>
    </w:p>
    <w:p w:rsidR="00FD1689" w:rsidRDefault="00FD1689" w:rsidP="00FD1689">
      <w:pPr>
        <w:pStyle w:val="BodyText"/>
        <w:ind w:left="709" w:hanging="709"/>
        <w:jc w:val="both"/>
      </w:pPr>
      <w:r>
        <w:rPr>
          <w:spacing w:val="-2"/>
        </w:rPr>
        <w:t>Rajagrafindo)</w:t>
      </w:r>
    </w:p>
    <w:p w:rsidR="00FD1689" w:rsidRDefault="00FD1689" w:rsidP="00FD1689">
      <w:pPr>
        <w:pStyle w:val="BodyText"/>
        <w:ind w:left="709" w:hanging="709"/>
        <w:jc w:val="both"/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Barda</w:t>
      </w:r>
      <w:r>
        <w:rPr>
          <w:spacing w:val="76"/>
          <w:sz w:val="24"/>
        </w:rPr>
        <w:t xml:space="preserve"> </w:t>
      </w:r>
      <w:r>
        <w:rPr>
          <w:sz w:val="24"/>
        </w:rPr>
        <w:t>Narwawi</w:t>
      </w:r>
      <w:r>
        <w:rPr>
          <w:spacing w:val="77"/>
          <w:sz w:val="24"/>
        </w:rPr>
        <w:t xml:space="preserve"> </w:t>
      </w:r>
      <w:r>
        <w:rPr>
          <w:sz w:val="24"/>
        </w:rPr>
        <w:t>Arief,</w:t>
      </w:r>
      <w:r>
        <w:rPr>
          <w:spacing w:val="79"/>
          <w:sz w:val="24"/>
        </w:rPr>
        <w:t xml:space="preserve"> </w:t>
      </w:r>
      <w:r>
        <w:rPr>
          <w:sz w:val="24"/>
        </w:rPr>
        <w:t>2018,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77"/>
          <w:sz w:val="24"/>
        </w:rPr>
        <w:t xml:space="preserve"> </w:t>
      </w:r>
      <w:r>
        <w:rPr>
          <w:sz w:val="24"/>
        </w:rPr>
        <w:t>(Jakarta</w:t>
      </w:r>
      <w:r>
        <w:rPr>
          <w:spacing w:val="76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Kencana Prenada Media Group)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C.S.T.</w:t>
      </w:r>
      <w:r>
        <w:rPr>
          <w:spacing w:val="-4"/>
          <w:sz w:val="24"/>
        </w:rPr>
        <w:t xml:space="preserve"> </w:t>
      </w:r>
      <w:r>
        <w:rPr>
          <w:sz w:val="24"/>
        </w:rPr>
        <w:t>Kancil,</w:t>
      </w:r>
      <w:r>
        <w:rPr>
          <w:spacing w:val="-4"/>
          <w:sz w:val="24"/>
        </w:rPr>
        <w:t xml:space="preserve"> </w:t>
      </w:r>
      <w:r>
        <w:rPr>
          <w:sz w:val="24"/>
        </w:rPr>
        <w:t>2012,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Hukumdan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(Jakarta</w:t>
      </w:r>
      <w:r>
        <w:rPr>
          <w:spacing w:val="-4"/>
          <w:sz w:val="24"/>
        </w:rPr>
        <w:t xml:space="preserve"> </w:t>
      </w:r>
      <w:r>
        <w:rPr>
          <w:sz w:val="24"/>
        </w:rPr>
        <w:t>: Balai Pustaka)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Chainur</w:t>
      </w:r>
      <w:r>
        <w:rPr>
          <w:spacing w:val="-7"/>
          <w:sz w:val="24"/>
        </w:rPr>
        <w:t xml:space="preserve"> </w:t>
      </w:r>
      <w:r>
        <w:rPr>
          <w:sz w:val="24"/>
        </w:rPr>
        <w:t>Arrasjid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2018.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(Jakarta:</w:t>
      </w:r>
      <w:r>
        <w:rPr>
          <w:spacing w:val="-6"/>
          <w:sz w:val="24"/>
        </w:rPr>
        <w:t xml:space="preserve"> </w:t>
      </w:r>
      <w:r>
        <w:rPr>
          <w:sz w:val="24"/>
        </w:rPr>
        <w:t>Sinar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Grafika)</w:t>
      </w:r>
    </w:p>
    <w:p w:rsidR="00FD1689" w:rsidRDefault="00FD1689" w:rsidP="00FD1689">
      <w:pPr>
        <w:pStyle w:val="BodyText"/>
        <w:ind w:left="709" w:hanging="709"/>
        <w:jc w:val="both"/>
        <w:rPr>
          <w:sz w:val="23"/>
        </w:rPr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E.Y.</w:t>
      </w:r>
      <w:r>
        <w:rPr>
          <w:spacing w:val="70"/>
          <w:sz w:val="24"/>
        </w:rPr>
        <w:t xml:space="preserve"> </w:t>
      </w:r>
      <w:r>
        <w:rPr>
          <w:sz w:val="24"/>
        </w:rPr>
        <w:t>Kanter,</w:t>
      </w:r>
      <w:r>
        <w:rPr>
          <w:spacing w:val="71"/>
          <w:sz w:val="24"/>
        </w:rPr>
        <w:t xml:space="preserve"> </w:t>
      </w:r>
      <w:r>
        <w:rPr>
          <w:sz w:val="24"/>
        </w:rPr>
        <w:t>S.H.,</w:t>
      </w:r>
      <w:r>
        <w:rPr>
          <w:spacing w:val="73"/>
          <w:sz w:val="24"/>
        </w:rPr>
        <w:t xml:space="preserve"> </w:t>
      </w:r>
      <w:r>
        <w:rPr>
          <w:sz w:val="24"/>
        </w:rPr>
        <w:t>2011,</w:t>
      </w:r>
      <w:r>
        <w:rPr>
          <w:spacing w:val="75"/>
          <w:sz w:val="24"/>
        </w:rPr>
        <w:t xml:space="preserve"> </w:t>
      </w:r>
      <w:r>
        <w:rPr>
          <w:i/>
          <w:sz w:val="24"/>
        </w:rPr>
        <w:t>Asas-Asas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sz w:val="24"/>
        </w:rPr>
        <w:t>(Jakarta</w:t>
      </w:r>
      <w:r>
        <w:rPr>
          <w:spacing w:val="72"/>
          <w:sz w:val="24"/>
        </w:rPr>
        <w:t xml:space="preserve"> </w:t>
      </w:r>
      <w:r>
        <w:rPr>
          <w:sz w:val="24"/>
        </w:rPr>
        <w:t>: Alumni AHM-PTHM)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Eddy</w:t>
      </w:r>
      <w:r>
        <w:rPr>
          <w:spacing w:val="40"/>
          <w:sz w:val="24"/>
        </w:rPr>
        <w:t xml:space="preserve"> </w:t>
      </w:r>
      <w:r>
        <w:rPr>
          <w:sz w:val="24"/>
        </w:rPr>
        <w:t>O.S.</w:t>
      </w:r>
      <w:r>
        <w:rPr>
          <w:spacing w:val="40"/>
          <w:sz w:val="24"/>
        </w:rPr>
        <w:t xml:space="preserve"> </w:t>
      </w:r>
      <w:r>
        <w:rPr>
          <w:sz w:val="24"/>
        </w:rPr>
        <w:t>Hierarji,</w:t>
      </w:r>
      <w:r>
        <w:rPr>
          <w:spacing w:val="40"/>
          <w:sz w:val="24"/>
        </w:rPr>
        <w:t xml:space="preserve"> </w:t>
      </w:r>
      <w:r>
        <w:rPr>
          <w:sz w:val="24"/>
        </w:rPr>
        <w:t>2016.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Prinsip-Prinsip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(Yogyakarta: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Atma </w:t>
      </w:r>
      <w:r>
        <w:rPr>
          <w:spacing w:val="-2"/>
          <w:sz w:val="24"/>
        </w:rPr>
        <w:t>Jaya,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Ishaq,</w:t>
      </w:r>
      <w:r>
        <w:rPr>
          <w:spacing w:val="-4"/>
          <w:sz w:val="24"/>
        </w:rPr>
        <w:t xml:space="preserve"> </w:t>
      </w:r>
      <w:r>
        <w:rPr>
          <w:sz w:val="24"/>
        </w:rPr>
        <w:t>2012,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Jakarta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Sinar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Grafika,</w:t>
      </w:r>
    </w:p>
    <w:p w:rsidR="00FD1689" w:rsidRDefault="00FD1689" w:rsidP="00FD1689">
      <w:pPr>
        <w:pStyle w:val="BodyText"/>
        <w:ind w:left="709" w:hanging="709"/>
        <w:jc w:val="both"/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Lamintang dan</w:t>
      </w:r>
      <w:r>
        <w:rPr>
          <w:spacing w:val="33"/>
          <w:sz w:val="24"/>
        </w:rPr>
        <w:t xml:space="preserve"> </w:t>
      </w:r>
      <w:r>
        <w:rPr>
          <w:sz w:val="24"/>
        </w:rPr>
        <w:t>Djisman</w:t>
      </w:r>
      <w:r>
        <w:rPr>
          <w:spacing w:val="33"/>
          <w:sz w:val="24"/>
        </w:rPr>
        <w:t xml:space="preserve"> </w:t>
      </w:r>
      <w:r>
        <w:rPr>
          <w:sz w:val="24"/>
        </w:rPr>
        <w:t>Samosir,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2013 . </w:t>
      </w:r>
      <w:r>
        <w:rPr>
          <w:i/>
          <w:sz w:val="24"/>
        </w:rPr>
        <w:t>Hukum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(Bandung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"/>
          <w:sz w:val="24"/>
        </w:rPr>
        <w:t>SinarBaru,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 xml:space="preserve">Moeljatno, 2002, </w:t>
      </w:r>
      <w:r>
        <w:rPr>
          <w:i/>
          <w:sz w:val="24"/>
        </w:rPr>
        <w:t>Asas-Asas Hukum Pidana</w:t>
      </w:r>
      <w:r>
        <w:rPr>
          <w:sz w:val="24"/>
        </w:rPr>
        <w:t>, (Jakarta : Rineka Cipta)</w:t>
      </w:r>
      <w:r>
        <w:rPr>
          <w:spacing w:val="40"/>
          <w:sz w:val="24"/>
        </w:rPr>
        <w:t xml:space="preserve"> </w:t>
      </w:r>
      <w:r>
        <w:rPr>
          <w:sz w:val="24"/>
        </w:rPr>
        <w:t>Makhrus</w:t>
      </w:r>
      <w:r>
        <w:rPr>
          <w:spacing w:val="21"/>
          <w:sz w:val="24"/>
        </w:rPr>
        <w:t xml:space="preserve"> </w:t>
      </w:r>
      <w:r>
        <w:rPr>
          <w:sz w:val="24"/>
        </w:rPr>
        <w:t>Ali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(Jakarta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z w:val="24"/>
        </w:rPr>
        <w:t>Sinar</w:t>
      </w:r>
      <w:r>
        <w:rPr>
          <w:spacing w:val="19"/>
          <w:sz w:val="24"/>
        </w:rPr>
        <w:t xml:space="preserve"> </w:t>
      </w:r>
      <w:r>
        <w:rPr>
          <w:sz w:val="24"/>
        </w:rPr>
        <w:t>Grafika,</w:t>
      </w:r>
    </w:p>
    <w:p w:rsidR="00FD1689" w:rsidRDefault="00FD1689" w:rsidP="00FD1689">
      <w:pPr>
        <w:pStyle w:val="BodyText"/>
        <w:ind w:left="709" w:hanging="709"/>
        <w:jc w:val="both"/>
        <w:rPr>
          <w:sz w:val="23"/>
        </w:rPr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Soeroso,</w:t>
      </w:r>
      <w:r>
        <w:rPr>
          <w:spacing w:val="-3"/>
          <w:sz w:val="24"/>
        </w:rPr>
        <w:t xml:space="preserve"> </w:t>
      </w:r>
      <w:r>
        <w:rPr>
          <w:sz w:val="24"/>
        </w:rPr>
        <w:t>2011,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Sinar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Grafika,</w:t>
      </w:r>
    </w:p>
    <w:p w:rsidR="00FD1689" w:rsidRDefault="00FD1689" w:rsidP="00FD1689">
      <w:pPr>
        <w:pStyle w:val="BodyText"/>
        <w:ind w:left="709" w:hanging="709"/>
        <w:jc w:val="both"/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 xml:space="preserve">Rasyid Airman, </w:t>
      </w:r>
      <w:r>
        <w:rPr>
          <w:i/>
          <w:sz w:val="24"/>
        </w:rPr>
        <w:t xml:space="preserve">Fahmi Raghib, </w:t>
      </w:r>
      <w:r>
        <w:rPr>
          <w:sz w:val="24"/>
        </w:rPr>
        <w:t>2015.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Hukum Pidana</w:t>
      </w:r>
      <w:r>
        <w:rPr>
          <w:sz w:val="24"/>
        </w:rPr>
        <w:t>,( Malang: Setara Press, Roeslan</w:t>
      </w:r>
      <w:r>
        <w:rPr>
          <w:spacing w:val="40"/>
          <w:sz w:val="24"/>
        </w:rPr>
        <w:t xml:space="preserve"> </w:t>
      </w:r>
      <w:r>
        <w:rPr>
          <w:sz w:val="24"/>
        </w:rPr>
        <w:t>Shaleh,</w:t>
      </w:r>
      <w:r>
        <w:rPr>
          <w:spacing w:val="40"/>
          <w:sz w:val="24"/>
        </w:rPr>
        <w:t xml:space="preserve"> </w:t>
      </w:r>
      <w:r>
        <w:rPr>
          <w:sz w:val="24"/>
        </w:rPr>
        <w:t>2015.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Perbuatan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Pertanggung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Jawaban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</w:p>
    <w:p w:rsidR="00FD1689" w:rsidRDefault="00FD1689" w:rsidP="00FD1689">
      <w:pPr>
        <w:pStyle w:val="BodyText"/>
        <w:ind w:left="709" w:hanging="709"/>
        <w:jc w:val="both"/>
      </w:pPr>
      <w:r>
        <w:t>(ttp.:Aksara</w:t>
      </w:r>
      <w:r>
        <w:rPr>
          <w:spacing w:val="-2"/>
        </w:rPr>
        <w:t xml:space="preserve"> </w:t>
      </w:r>
      <w:r>
        <w:rPr>
          <w:spacing w:val="-4"/>
        </w:rPr>
        <w:t>Baru)</w:t>
      </w:r>
    </w:p>
    <w:p w:rsidR="00FD1689" w:rsidRDefault="00FD1689" w:rsidP="00FD1689">
      <w:pPr>
        <w:pStyle w:val="BodyText"/>
        <w:ind w:left="709" w:hanging="709"/>
        <w:jc w:val="both"/>
        <w:rPr>
          <w:sz w:val="23"/>
        </w:rPr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 xml:space="preserve">Sri Soemantri, 2015, Bunga Rampai </w:t>
      </w:r>
      <w:r>
        <w:rPr>
          <w:i/>
          <w:sz w:val="24"/>
        </w:rPr>
        <w:t>Hukum Tata Negara Indonesia</w:t>
      </w:r>
      <w:r>
        <w:rPr>
          <w:sz w:val="24"/>
        </w:rPr>
        <w:t xml:space="preserve">, Bandung : </w:t>
      </w:r>
      <w:r>
        <w:rPr>
          <w:spacing w:val="-2"/>
          <w:sz w:val="24"/>
        </w:rPr>
        <w:t>Alumni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Soerjono</w:t>
      </w:r>
      <w:r>
        <w:rPr>
          <w:spacing w:val="-3"/>
          <w:sz w:val="24"/>
        </w:rPr>
        <w:t xml:space="preserve"> </w:t>
      </w:r>
      <w:r>
        <w:rPr>
          <w:sz w:val="24"/>
        </w:rPr>
        <w:t>Soekanto,</w:t>
      </w:r>
      <w:r>
        <w:rPr>
          <w:spacing w:val="-1"/>
          <w:sz w:val="24"/>
        </w:rPr>
        <w:t xml:space="preserve"> </w:t>
      </w:r>
      <w:r>
        <w:rPr>
          <w:sz w:val="24"/>
        </w:rPr>
        <w:t>2015,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Jakarta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UI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Press,</w:t>
      </w:r>
    </w:p>
    <w:p w:rsidR="00FD1689" w:rsidRDefault="00FD1689" w:rsidP="00FD1689">
      <w:pPr>
        <w:pStyle w:val="BodyText"/>
        <w:ind w:left="709" w:hanging="709"/>
        <w:jc w:val="both"/>
      </w:pP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i/>
          <w:sz w:val="24"/>
        </w:rPr>
        <w:t>-------------Sosiologi Suatu Pengantar</w:t>
      </w:r>
      <w:r>
        <w:rPr>
          <w:sz w:val="24"/>
        </w:rPr>
        <w:t>, (Jakarta : PT Raja Grapindi Persada, 2011) Sidik</w:t>
      </w:r>
      <w:r>
        <w:rPr>
          <w:spacing w:val="30"/>
          <w:sz w:val="24"/>
        </w:rPr>
        <w:t xml:space="preserve"> </w:t>
      </w:r>
      <w:r>
        <w:rPr>
          <w:sz w:val="24"/>
        </w:rPr>
        <w:t>Sunaryo,</w:t>
      </w:r>
      <w:r>
        <w:rPr>
          <w:spacing w:val="31"/>
          <w:sz w:val="24"/>
        </w:rPr>
        <w:t xml:space="preserve"> </w:t>
      </w:r>
      <w:r>
        <w:rPr>
          <w:sz w:val="24"/>
        </w:rPr>
        <w:t>2004,</w:t>
      </w:r>
      <w:r>
        <w:rPr>
          <w:spacing w:val="80"/>
          <w:w w:val="150"/>
          <w:sz w:val="24"/>
        </w:rPr>
        <w:t xml:space="preserve"> </w:t>
      </w:r>
      <w:r>
        <w:rPr>
          <w:i/>
          <w:sz w:val="24"/>
        </w:rPr>
        <w:t>Kapita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Selekta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Pidana,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Malang:</w:t>
      </w:r>
      <w:r>
        <w:rPr>
          <w:spacing w:val="32"/>
          <w:sz w:val="24"/>
        </w:rPr>
        <w:t xml:space="preserve"> </w:t>
      </w:r>
      <w:r>
        <w:rPr>
          <w:sz w:val="24"/>
        </w:rPr>
        <w:t>UMM</w:t>
      </w:r>
    </w:p>
    <w:p w:rsidR="00FD1689" w:rsidRDefault="00FD1689" w:rsidP="00FD1689">
      <w:pPr>
        <w:pStyle w:val="BodyText"/>
        <w:ind w:left="709" w:hanging="709"/>
        <w:jc w:val="both"/>
      </w:pPr>
      <w:r>
        <w:rPr>
          <w:spacing w:val="-2"/>
        </w:rPr>
        <w:t>Press,</w:t>
      </w:r>
      <w:r>
        <w:rPr>
          <w:spacing w:val="-2"/>
        </w:rPr>
        <w:t xml:space="preserve"> </w:t>
      </w:r>
      <w:r>
        <w:t xml:space="preserve">Sudikno Mertokusumo, 2010, </w:t>
      </w:r>
      <w:r>
        <w:rPr>
          <w:i/>
        </w:rPr>
        <w:t xml:space="preserve">Mengenal Hukum Suatu Pengantar, </w:t>
      </w:r>
      <w:r>
        <w:t>Yogyakarta: Universitas Atma Jaya,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lastRenderedPageBreak/>
        <w:t xml:space="preserve">Satochid Kartanegara, 2012, </w:t>
      </w:r>
      <w:r>
        <w:rPr>
          <w:i/>
          <w:sz w:val="24"/>
        </w:rPr>
        <w:t>Hukum Pidana Kumpulan Kuliah</w:t>
      </w:r>
      <w:r>
        <w:rPr>
          <w:sz w:val="24"/>
        </w:rPr>
        <w:t>, (Jakarta : Balai Lektur Mahasiswa)</w:t>
      </w:r>
    </w:p>
    <w:p w:rsidR="00FD1689" w:rsidRDefault="00FD1689" w:rsidP="00FD1689">
      <w:pPr>
        <w:ind w:left="709" w:hanging="709"/>
        <w:jc w:val="both"/>
        <w:rPr>
          <w:sz w:val="24"/>
        </w:rPr>
      </w:pPr>
      <w:r>
        <w:rPr>
          <w:sz w:val="24"/>
        </w:rPr>
        <w:t>Tongat</w:t>
      </w:r>
      <w:r>
        <w:rPr>
          <w:i/>
          <w:sz w:val="24"/>
        </w:rPr>
        <w:t xml:space="preserve">, </w:t>
      </w:r>
      <w:r>
        <w:rPr>
          <w:sz w:val="24"/>
        </w:rPr>
        <w:t xml:space="preserve">2013. </w:t>
      </w:r>
      <w:r>
        <w:rPr>
          <w:i/>
          <w:sz w:val="24"/>
        </w:rPr>
        <w:t>Hukum Pidana Materil: Tinjauan Atas Tindak Pidana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Terhadap Subjek Hukum Dalam Kitab Undang-Undang Hukum Pidana</w:t>
      </w:r>
      <w:r>
        <w:rPr>
          <w:sz w:val="24"/>
        </w:rPr>
        <w:t xml:space="preserve">, (Jakarta: Penertib </w:t>
      </w:r>
      <w:r>
        <w:rPr>
          <w:spacing w:val="-2"/>
          <w:sz w:val="24"/>
        </w:rPr>
        <w:t>Djambtana,</w:t>
      </w:r>
    </w:p>
    <w:p w:rsidR="00FD1689" w:rsidRDefault="00FD1689" w:rsidP="00FD1689">
      <w:pPr>
        <w:pStyle w:val="BodyText"/>
        <w:ind w:left="709" w:hanging="709"/>
        <w:jc w:val="both"/>
        <w:rPr>
          <w:sz w:val="26"/>
        </w:rPr>
      </w:pPr>
    </w:p>
    <w:p w:rsidR="00FD1689" w:rsidRDefault="00FD1689" w:rsidP="00FD1689">
      <w:pPr>
        <w:pStyle w:val="BodyText"/>
        <w:ind w:left="709" w:hanging="709"/>
        <w:jc w:val="both"/>
        <w:rPr>
          <w:sz w:val="22"/>
        </w:rPr>
      </w:pPr>
    </w:p>
    <w:p w:rsidR="00FD1689" w:rsidRPr="009578E8" w:rsidRDefault="00FD1689" w:rsidP="00FD1689">
      <w:pPr>
        <w:pStyle w:val="Heading1"/>
        <w:spacing w:before="0"/>
        <w:ind w:left="709" w:hanging="709"/>
        <w:jc w:val="both"/>
      </w:pPr>
      <w:r w:rsidRPr="009578E8">
        <w:rPr>
          <w:spacing w:val="-2"/>
        </w:rPr>
        <w:t>UNDANG</w:t>
      </w:r>
      <w:r>
        <w:rPr>
          <w:spacing w:val="-2"/>
        </w:rPr>
        <w:t>-UNDANG</w:t>
      </w:r>
    </w:p>
    <w:p w:rsidR="00FD1689" w:rsidRPr="009578E8" w:rsidRDefault="00FD1689" w:rsidP="00FD1689">
      <w:pPr>
        <w:pStyle w:val="BodyText"/>
        <w:ind w:left="709" w:hanging="709"/>
        <w:jc w:val="both"/>
        <w:rPr>
          <w:b/>
        </w:rPr>
      </w:pPr>
    </w:p>
    <w:p w:rsidR="00FD1689" w:rsidRDefault="00FD1689" w:rsidP="00FD1689">
      <w:pPr>
        <w:pStyle w:val="BodyText"/>
        <w:ind w:left="709" w:hanging="709"/>
        <w:jc w:val="both"/>
      </w:pPr>
      <w:r>
        <w:t>Undang-undang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1981</w:t>
      </w:r>
      <w:r>
        <w:rPr>
          <w:spacing w:val="-5"/>
        </w:rPr>
        <w:t xml:space="preserve"> </w:t>
      </w:r>
      <w:r>
        <w:t>Tentang</w:t>
      </w:r>
      <w:r>
        <w:rPr>
          <w:spacing w:val="-9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Acara</w:t>
      </w:r>
      <w:r>
        <w:rPr>
          <w:spacing w:val="-8"/>
        </w:rPr>
        <w:t xml:space="preserve"> </w:t>
      </w:r>
      <w:r>
        <w:t>Pidana Undang-undang No.22 Tahun 2002 tentang Kepolisian</w:t>
      </w:r>
    </w:p>
    <w:p w:rsidR="00FD1689" w:rsidRDefault="00FD1689" w:rsidP="00FD1689">
      <w:pPr>
        <w:pStyle w:val="BodyText"/>
        <w:ind w:left="709" w:hanging="709"/>
        <w:jc w:val="both"/>
      </w:pPr>
      <w:r>
        <w:t>PERMA NO. 2 Tahun 2012 tentang Penyelesaian Batasan Tindak PidanaRingan (Tipiring) dan Jumlah Denda dalam KUHP</w:t>
      </w:r>
    </w:p>
    <w:p w:rsidR="00FD1689" w:rsidRDefault="00FD1689" w:rsidP="00FD1689">
      <w:pPr>
        <w:pStyle w:val="BodyText"/>
        <w:ind w:left="709" w:hanging="709"/>
        <w:jc w:val="both"/>
        <w:rPr>
          <w:sz w:val="20"/>
        </w:rPr>
      </w:pPr>
    </w:p>
    <w:p w:rsidR="00FD1689" w:rsidRDefault="00FD1689" w:rsidP="00FD1689">
      <w:pPr>
        <w:pStyle w:val="BodyText"/>
        <w:ind w:left="709" w:hanging="709"/>
        <w:jc w:val="both"/>
        <w:rPr>
          <w:sz w:val="23"/>
        </w:rPr>
      </w:pPr>
    </w:p>
    <w:p w:rsidR="00FD1689" w:rsidRDefault="00FD1689" w:rsidP="00FD1689">
      <w:pPr>
        <w:pStyle w:val="BodyText"/>
        <w:ind w:left="709" w:hanging="709"/>
        <w:jc w:val="both"/>
      </w:pPr>
      <w:r>
        <w:t>Undang-undang</w:t>
      </w:r>
      <w:r>
        <w:rPr>
          <w:spacing w:val="-11"/>
        </w:rPr>
        <w:t xml:space="preserve"> </w:t>
      </w:r>
      <w:r>
        <w:t>No.48</w:t>
      </w:r>
      <w:r>
        <w:rPr>
          <w:spacing w:val="-9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2009</w:t>
      </w:r>
      <w:r>
        <w:rPr>
          <w:spacing w:val="-9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Kekuasaan</w:t>
      </w:r>
      <w:r>
        <w:rPr>
          <w:spacing w:val="-8"/>
        </w:rPr>
        <w:t xml:space="preserve"> </w:t>
      </w:r>
      <w:r>
        <w:t>Kehakiman Undang-undang No. 16 tahun 2004 tentang Kejaksaan</w:t>
      </w:r>
    </w:p>
    <w:p w:rsidR="00FD1689" w:rsidRDefault="00FD1689" w:rsidP="00FD1689">
      <w:pPr>
        <w:pStyle w:val="BodyText"/>
        <w:ind w:left="709" w:hanging="709"/>
        <w:jc w:val="both"/>
      </w:pPr>
    </w:p>
    <w:p w:rsidR="00FD1689" w:rsidRDefault="00FD1689" w:rsidP="00FD1689">
      <w:pPr>
        <w:pStyle w:val="BodyText"/>
        <w:ind w:left="709" w:hanging="709"/>
        <w:jc w:val="both"/>
        <w:rPr>
          <w:b/>
        </w:rPr>
      </w:pPr>
      <w:r>
        <w:rPr>
          <w:b/>
        </w:rPr>
        <w:t>INTERNET</w:t>
      </w:r>
    </w:p>
    <w:p w:rsidR="00FD1689" w:rsidRDefault="00FD1689" w:rsidP="00FD1689">
      <w:pPr>
        <w:pStyle w:val="BodyText"/>
        <w:ind w:left="709" w:hanging="709"/>
        <w:jc w:val="both"/>
      </w:pPr>
      <w:r>
        <w:t xml:space="preserve">Kamus besar bahasa indonesia, kemendikbud, 31 oktober 2016, 27 desember 2022, </w:t>
      </w:r>
      <w:hyperlink r:id="rId5" w:history="1">
        <w:r w:rsidRPr="00F60817">
          <w:rPr>
            <w:rStyle w:val="Hyperlink"/>
          </w:rPr>
          <w:t>http://www.kemendikbud.go.id</w:t>
        </w:r>
      </w:hyperlink>
    </w:p>
    <w:p w:rsidR="00FD1689" w:rsidRDefault="00FD1689" w:rsidP="00FD1689">
      <w:pPr>
        <w:pStyle w:val="BodyText"/>
        <w:ind w:left="709" w:hanging="709"/>
        <w:jc w:val="both"/>
      </w:pPr>
      <w:r>
        <w:t>Penegakan hukum, mafiadoc, 21 april 2023, https://mafiadoc.com/penegakan -hukum-jimly-asshiddiqie</w:t>
      </w:r>
    </w:p>
    <w:sectPr w:rsidR="00FD1689" w:rsidSect="00374054">
      <w:pgSz w:w="11910" w:h="16850"/>
      <w:pgMar w:top="2268" w:right="1701" w:bottom="1701" w:left="2268" w:header="76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9"/>
    <w:rsid w:val="00E32375"/>
    <w:rsid w:val="00F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D1689"/>
    <w:pPr>
      <w:spacing w:before="90"/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168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D16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689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FD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D1689"/>
    <w:pPr>
      <w:spacing w:before="90"/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168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D16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689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FD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ndikbud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2023-11-10T08:14:00Z</dcterms:created>
  <dcterms:modified xsi:type="dcterms:W3CDTF">2023-11-10T08:15:00Z</dcterms:modified>
</cp:coreProperties>
</file>