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9A" w:rsidRPr="005A0943" w:rsidRDefault="003C1E9A" w:rsidP="003C1E9A">
      <w:pPr>
        <w:pStyle w:val="Heading1"/>
        <w:ind w:left="0" w:right="-1"/>
        <w:rPr>
          <w:sz w:val="24"/>
          <w:szCs w:val="24"/>
        </w:rPr>
      </w:pPr>
      <w:bookmarkStart w:id="0" w:name="_Toc173137365"/>
      <w:bookmarkStart w:id="1" w:name="_GoBack"/>
      <w:r w:rsidRPr="005A0943">
        <w:rPr>
          <w:sz w:val="24"/>
          <w:szCs w:val="24"/>
        </w:rPr>
        <w:t>DAFTAR PUSTAKA</w:t>
      </w:r>
      <w:bookmarkEnd w:id="0"/>
    </w:p>
    <w:bookmarkEnd w:id="1"/>
    <w:p w:rsidR="003C1E9A" w:rsidRPr="00412CF4" w:rsidRDefault="003C1E9A" w:rsidP="003C1E9A">
      <w:pPr>
        <w:pStyle w:val="Heading1"/>
        <w:ind w:left="0" w:right="-1"/>
      </w:pPr>
    </w:p>
    <w:p w:rsidR="003C1E9A" w:rsidRPr="005A0943" w:rsidRDefault="003C1E9A" w:rsidP="003C1E9A">
      <w:pPr>
        <w:spacing w:after="240" w:line="240" w:lineRule="auto"/>
        <w:ind w:left="72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Adhisa, S. U., &amp; Megasari, S. (2020).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Kajian Penerapan Model Pembelajararan Kooperatif Tipe True or False Pada Kompetensi Dasar Kelainan Dan Penyakit Kulit.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Tata Rias</w:t>
      </w:r>
      <w:r w:rsidRPr="005A0943">
        <w:rPr>
          <w:rFonts w:ascii="Times New Roman" w:hAnsi="Times New Roman" w:cs="Times New Roman"/>
          <w:sz w:val="24"/>
          <w:szCs w:val="24"/>
        </w:rPr>
        <w:t>, 9 (3).</w:t>
      </w:r>
      <w:proofErr w:type="gramEnd"/>
    </w:p>
    <w:p w:rsidR="003C1E9A" w:rsidRPr="005A0943" w:rsidRDefault="003C1E9A" w:rsidP="003C1E9A">
      <w:pPr>
        <w:spacing w:after="240" w:line="240" w:lineRule="auto"/>
        <w:ind w:left="720" w:right="-1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Akrom, Hidayati, T. (2021).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Imunofarmakologi Radang. Jakarta</w:t>
      </w:r>
    </w:p>
    <w:p w:rsidR="003C1E9A" w:rsidRPr="005A0943" w:rsidRDefault="003C1E9A" w:rsidP="003C1E9A">
      <w:pPr>
        <w:spacing w:after="240" w:line="240" w:lineRule="auto"/>
        <w:ind w:left="72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Amsia, M. H. S. (2020).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Buah Nanas (Ananas comosus L.) sebagai Faktor Penurunan Resiko Inflamasi Kronis pada Penyakit Infeksi.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Medical Profession Journal of Lampung,</w:t>
      </w:r>
      <w:r w:rsidRPr="005A0943">
        <w:rPr>
          <w:rFonts w:ascii="Times New Roman" w:hAnsi="Times New Roman" w:cs="Times New Roman"/>
          <w:sz w:val="24"/>
          <w:szCs w:val="24"/>
        </w:rPr>
        <w:t xml:space="preserve"> 10 (2), 365-369</w:t>
      </w:r>
    </w:p>
    <w:p w:rsidR="003C1E9A" w:rsidRPr="005A0943" w:rsidRDefault="003C1E9A" w:rsidP="003C1E9A">
      <w:pPr>
        <w:spacing w:after="240" w:line="240" w:lineRule="auto"/>
        <w:ind w:left="72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Ansel, H. C., (2005). Pengantar Bentuk Sediaan Farmasi Edisi IV. Jakarta: UI Press.</w:t>
      </w:r>
    </w:p>
    <w:p w:rsidR="003C1E9A" w:rsidRPr="005A0943" w:rsidRDefault="003C1E9A" w:rsidP="003C1E9A">
      <w:pPr>
        <w:spacing w:after="240" w:line="240" w:lineRule="auto"/>
        <w:ind w:left="720" w:right="-1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Arief, R., Thahir, Z., &amp; Kristiana, K. (2018).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Uji Aktivitas Antiinflamasi Sediaan Salep Ekstrak Daun Awar-Awar (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Ficus septica</w:t>
      </w:r>
      <w:r w:rsidRPr="005A0943">
        <w:rPr>
          <w:rFonts w:ascii="Times New Roman" w:hAnsi="Times New Roman" w:cs="Times New Roman"/>
          <w:sz w:val="24"/>
          <w:szCs w:val="24"/>
        </w:rPr>
        <w:t xml:space="preserve"> Burm. F) Terhadap UdemaKulit Punggung Mencit (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Mus musculus</w:t>
      </w:r>
      <w:r w:rsidRPr="005A094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Jurnal Kesehatan Yamasi </w:t>
      </w:r>
      <w:r w:rsidRPr="005A0943">
        <w:rPr>
          <w:rFonts w:ascii="Times New Roman" w:hAnsi="Times New Roman" w:cs="Times New Roman"/>
          <w:sz w:val="24"/>
          <w:szCs w:val="24"/>
        </w:rPr>
        <w:t>Makassar, 2 (2).</w:t>
      </w:r>
      <w:proofErr w:type="gramEnd"/>
    </w:p>
    <w:p w:rsidR="003C1E9A" w:rsidRPr="005A0943" w:rsidRDefault="003C1E9A" w:rsidP="003C1E9A">
      <w:pPr>
        <w:spacing w:after="240" w:line="240" w:lineRule="auto"/>
        <w:ind w:left="72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Arjile, Dara.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(2021). Formulasi dan Uji Aktivitas Sediaan Gel Anti Jerawat Ekstrak Etanol Daun Nilam (Pogostemon cablin (Blanco.Benth) Terhadap Bakteri Propionibacterium acnes.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5A09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Medan: Fakultas Farmasi Universitas Muslim Nusantara Al-Washliyah.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Badaring, D. R., Sari, S. P. M., Nurhabiba, S., Wulan, W., &amp; Lembang, S. A. R. (2020).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Uji ekstrak daun maja (Aegle marmelos L.) terhadap pertumbuhan bakteri Escherichia coli dan Staphylococcus aureus.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Indonesian Journal of Fundamental Sciences</w:t>
      </w:r>
      <w:r w:rsidRPr="005A0943">
        <w:rPr>
          <w:rFonts w:ascii="Times New Roman" w:hAnsi="Times New Roman" w:cs="Times New Roman"/>
          <w:sz w:val="24"/>
          <w:szCs w:val="24"/>
        </w:rPr>
        <w:t>, 6(1), 16.</w:t>
      </w:r>
      <w:proofErr w:type="gramEnd"/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Bowman, WC.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 xml:space="preserve">(1980). Textbook of pharmacology and 2nd ed.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Blackwell Scientific Publication.</w:t>
      </w:r>
      <w:proofErr w:type="gramEnd"/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 Oxford</w:t>
      </w:r>
      <w:r w:rsidRPr="005A0943">
        <w:rPr>
          <w:rFonts w:ascii="Times New Roman" w:hAnsi="Times New Roman" w:cs="Times New Roman"/>
          <w:sz w:val="24"/>
          <w:szCs w:val="24"/>
        </w:rPr>
        <w:t>: London. Halaman 13.-17</w:t>
      </w:r>
    </w:p>
    <w:p w:rsidR="003C1E9A" w:rsidRPr="005A0943" w:rsidRDefault="003C1E9A" w:rsidP="003C1E9A">
      <w:pPr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Chandra, devina dan Rahmah.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 xml:space="preserve">(2022). Uji fisikokimia sediaan emulsi, gel, emulgel ekstrak etanol goji berry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(Lycium barbarium L.)</w:t>
      </w:r>
      <w:r w:rsidRPr="005A09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farmasi dan kesehatan.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11 (2), hal 219-228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Depkes RI, (1977). Materia Medika Indonesia Jilid I, Jakarta: Departemen Kesehatan Indonesia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Depkes RI, (1979).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Farmakope Indonesia Edisi III.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Jakarta: Departemen Kesehatan Indonesia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Depkes RI.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(1980). Materia Medika Indonesia.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Jilid IV.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177-180. Departemen Kesehatan Republik Indonesia.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Depkes RI, (1985). Farmakope Indonesia Edisi I. Jakarta: Departemen Kesehatan Indonesia</w:t>
      </w:r>
    </w:p>
    <w:p w:rsidR="003C1E9A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3C1E9A" w:rsidSect="00D30583">
          <w:headerReference w:type="default" r:id="rId7"/>
          <w:footerReference w:type="default" r:id="rId8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lastRenderedPageBreak/>
        <w:t xml:space="preserve">Depkes RI, (1989).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Materia Medika Indonesia Jilid II.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Jakarta: Departemen Kesehatan Indonesia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Depkes RI, (1995).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Materia Medika Indonesia Jilid VI.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Jakarta: Departemen Kesehatan Indonesia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Depkes RI, (2000).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Farmakope Indonesia Edisi IV.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Jakarta: Departemen Kesehatan Indonesia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Depkes RI, (2014), Farmakope Indonesia Edisi V, Departemen Kesehatan Indonesia, Jakarta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Dewi, N. (2020).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Uji kualitatif dan kuantitatif metabolit sekunder ekstrak etanol daun awar-awar.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Acta Holist.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Pharm, 2(1), 16-24.</w:t>
      </w:r>
    </w:p>
    <w:p w:rsidR="003C1E9A" w:rsidRPr="00E049A0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Farsnworth, N.R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>1996).Biological and Phytochemical Screening Of Plant.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Journal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Of Pharmaceutical Sciences.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55-59.</w:t>
      </w:r>
      <w:proofErr w:type="gramEnd"/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Febriani, A., &amp; Kusuma, I. M.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Formulasi dan Uji Iritasi Sediaan Gel Kombinasi Ekstrak Etanol Rimpang Kencur (Kaempferia galanga L.) dan Ekstrak Etanol Herba Pegagan (Centella asiatica (L.)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Urban.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Sainstech Farma Jurnal Ilmu Kefarmasian</w:t>
      </w:r>
      <w:r w:rsidRPr="005A0943">
        <w:rPr>
          <w:rFonts w:ascii="Times New Roman" w:hAnsi="Times New Roman" w:cs="Times New Roman"/>
          <w:sz w:val="24"/>
          <w:szCs w:val="24"/>
        </w:rPr>
        <w:t>, 13(1), 46-54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Ginting, G. A., Silitonga, E. M., &amp; Brahmana, N. B.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Uji Aktivitas Ekstrak Etanol Daun Bangun Bangun (Plecantrus ambonicus Linn Spreng) Sediaan Gel Sebagai Anti Inflamasi.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Teknologi Kesehatan Dan Ilmu Sosial (Tekesnos)</w:t>
      </w:r>
      <w:r w:rsidRPr="005A0943">
        <w:rPr>
          <w:rFonts w:ascii="Times New Roman" w:hAnsi="Times New Roman" w:cs="Times New Roman"/>
          <w:sz w:val="24"/>
          <w:szCs w:val="24"/>
        </w:rPr>
        <w:t>, 2(2), 182-190.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Handayani, R., &amp; Qamariah, N. (2018).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Uji Daya Hambat Formulasi Salep Ekstrak Etanol Umbi Hati Tanah (Angiopteris sp) terhadap Bakteri Staphylococcus aureus: Antibacterial Activity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an Ethanol Extract Ointment of Angiopteris sp Against Staphylococcus aureus. Daun: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Ilmiah Pertanian dan Kehutanan</w:t>
      </w:r>
      <w:r w:rsidRPr="005A0943">
        <w:rPr>
          <w:rFonts w:ascii="Times New Roman" w:hAnsi="Times New Roman" w:cs="Times New Roman"/>
          <w:sz w:val="24"/>
          <w:szCs w:val="24"/>
        </w:rPr>
        <w:t>, 5(2), 119-125.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Harbone, J.B. </w:t>
      </w:r>
      <w:r>
        <w:rPr>
          <w:rFonts w:ascii="Times New Roman" w:hAnsi="Times New Roman" w:cs="Times New Roman"/>
          <w:sz w:val="24"/>
          <w:szCs w:val="24"/>
        </w:rPr>
        <w:t xml:space="preserve">(1987). </w:t>
      </w:r>
      <w:r w:rsidRPr="005A0943">
        <w:rPr>
          <w:rFonts w:ascii="Times New Roman" w:hAnsi="Times New Roman" w:cs="Times New Roman"/>
          <w:sz w:val="24"/>
          <w:szCs w:val="24"/>
        </w:rPr>
        <w:t>Metode Fitokimia, edisi I. Bandung: ITB</w:t>
      </w:r>
    </w:p>
    <w:p w:rsidR="003C1E9A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Harlim, Ago.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(2018). Buku Ajar Ilmu Kesehatan Kulit dan Kelamin Imunologi Inflamasi.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Edisi I. Fakultas Kedokteran: Universitas Kristen Indonesia.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Heliawati, Leny. </w:t>
      </w:r>
      <w:proofErr w:type="gramStart"/>
      <w:r>
        <w:rPr>
          <w:rFonts w:ascii="Times New Roman" w:hAnsi="Times New Roman" w:cs="Times New Roman"/>
          <w:sz w:val="24"/>
          <w:szCs w:val="24"/>
        </w:rPr>
        <w:t>(2018). Buku Kimia Organik Bahan Alam.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Bogor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Unpak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Hidayah, H., Sinangling, B. A., Mulyawan, I., &amp; Kholisoh, T. (2023).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Aktivitas Kandungan Flavonoid Jamun (Syzygium cumini) Sebagai Senyawa Anti Inflamasi. Innovative: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 Social Science Research</w:t>
      </w:r>
      <w:r w:rsidRPr="005A0943">
        <w:rPr>
          <w:rFonts w:ascii="Times New Roman" w:hAnsi="Times New Roman" w:cs="Times New Roman"/>
          <w:sz w:val="24"/>
          <w:szCs w:val="24"/>
        </w:rPr>
        <w:t>, 3(2), 10790-10796.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Hujjatusnaini, N., dkk.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(2021). Ekstraksi.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Buku Referensi. Fakuktas Matermatika dan Ilmu Pengetahuan Alam: Palangkaraya.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lastRenderedPageBreak/>
        <w:t xml:space="preserve">Hutapea, J.R., dan Syamsuhidayat. (1991). Inventaris Tanaman Obat Indonesia,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jakarta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: Departemen kesehatan republik indonesia,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badan penelitian dan pengembangan Kesehatan.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Ifmaily, I., Islamiyah, S. B., &amp; Fitriani, P. R. (2021).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Efek Gel Daun Temu Putih (Curcuma zedoaria (Christm.)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Roscoe) Sebagai Antiinflamasi Dengan Metoda Induksi Karagen Dan Kantong Granuloma Pada Mencit Putih Jantan.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Inovasi Penelitian</w:t>
      </w:r>
      <w:r w:rsidRPr="005A0943">
        <w:rPr>
          <w:rFonts w:ascii="Times New Roman" w:hAnsi="Times New Roman" w:cs="Times New Roman"/>
          <w:sz w:val="24"/>
          <w:szCs w:val="24"/>
        </w:rPr>
        <w:t>, 1(10), 2213-2226.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Irianto, I. D. K., Purwanto, P., &amp; Mardan, M. T. (2020).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Aktivitas antibakteri dan uji sifat fisik sediaan gel dekokta sirih hijau (Piper betle L.) sebagai alternatif pengobatan mastitis sapi.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Majalah Farmaseutik, 16(2), 202-210.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Isrul, M., Dewi, C., &amp; Wahdini, V.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Uji Efek Antiinflamasi Infusa Daun Bayam Merah (Amaranthus tricolor L.) Terhadap Tikus Putih (Rattus norvegicus) Yang Diinduksi Karagenan.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Mandala Pharmacon Indonesia</w:t>
      </w:r>
      <w:r w:rsidRPr="005A0943">
        <w:rPr>
          <w:rFonts w:ascii="Times New Roman" w:hAnsi="Times New Roman" w:cs="Times New Roman"/>
          <w:sz w:val="24"/>
          <w:szCs w:val="24"/>
        </w:rPr>
        <w:t>, 6(2), 97-103.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Jones.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,W.P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.,Kinghom, A.D.(2006). Extraction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Plant Secondary Metabolites In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           Sharker.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Natural Product Isolation.Humana Press</w:t>
      </w:r>
      <w:r w:rsidRPr="005A0943">
        <w:rPr>
          <w:rFonts w:ascii="Times New Roman" w:hAnsi="Times New Roman" w:cs="Times New Roman"/>
          <w:sz w:val="24"/>
          <w:szCs w:val="24"/>
        </w:rPr>
        <w:t>.New Jersey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Karim, S. F., Wahid, H., Wahyuni, W., &amp; Yusuf, W. S. (2022).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Formulasi dan uji aktivitas gel antiinflamasi ekstrak etanol daun pepaya (Carica papaya L.)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Pada mencit jantan putih (Mus musculus).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Ilmiah Farmasi Farmasyifa</w:t>
      </w:r>
      <w:r w:rsidRPr="005A0943">
        <w:rPr>
          <w:rFonts w:ascii="Times New Roman" w:hAnsi="Times New Roman" w:cs="Times New Roman"/>
          <w:sz w:val="24"/>
          <w:szCs w:val="24"/>
        </w:rPr>
        <w:t>, 5(2), 112-121.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Kee, J.L dan E. R. Hayes.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(1993). Farmakologi: Pendekatan proses keperawatan. Penerjemah: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Anugerah, P. Penerbit EGC</w:t>
      </w:r>
      <w:r w:rsidRPr="005A0943">
        <w:rPr>
          <w:rFonts w:ascii="Times New Roman" w:hAnsi="Times New Roman" w:cs="Times New Roman"/>
          <w:sz w:val="24"/>
          <w:szCs w:val="24"/>
        </w:rPr>
        <w:t>, Jakarta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Kumar, V., Abbas,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Ak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, Fausto, N. dan Mitchell R. N. (2007).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Robbin Basic Pathology, Philadelpia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, Saunders Elsevier</w:t>
      </w:r>
      <w:r w:rsidRPr="005A09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Page: 37-41, 53-55.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Kurniasari, F., &amp; Widyasti, J. H.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Uji Iritasi dan Uji Sifat Fisik Sediaan Gel Minyak Atsiri Daun Cengkeh (Syzygium aromaticum (L.)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Merr.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&amp; LM Perry) dengan Variasi Konsentrasi HPMC.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PHARMACY: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Farmasi Indonesia (Pharmaceutical Journal of Indonesia)</w:t>
      </w:r>
      <w:r w:rsidRPr="005A0943">
        <w:rPr>
          <w:rFonts w:ascii="Times New Roman" w:hAnsi="Times New Roman" w:cs="Times New Roman"/>
          <w:sz w:val="24"/>
          <w:szCs w:val="24"/>
        </w:rPr>
        <w:t>, 17(1), 187-196.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Langley, C. A., D. Belcher. (2013). FASTtrack Peracikan dan Penyerahan Obat.Jakarta: 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EGC.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Mangkoewidjojo dan Smith</w:t>
      </w:r>
      <w:r w:rsidRPr="005A09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1988.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Pemeliharaan, Pembiakan, dan Penggunaan Hewan Percobaanmdi Daerah Tropis</w:t>
      </w:r>
      <w:r w:rsidRPr="005A0943">
        <w:rPr>
          <w:rFonts w:ascii="Times New Roman" w:hAnsi="Times New Roman" w:cs="Times New Roman"/>
          <w:sz w:val="24"/>
          <w:szCs w:val="24"/>
        </w:rPr>
        <w:t>. UI Press. Jakarta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Mentari, I. A., Wirnawati, W., &amp; Putri, M. R.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Karakterisasi simplisia dan ekstrak daun bandotan (Ageratum conyzoides L) sebagai kandidat obat karies gigi.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Ilmiah Ibnu Sina</w:t>
      </w:r>
      <w:r w:rsidRPr="005A0943">
        <w:rPr>
          <w:rFonts w:ascii="Times New Roman" w:hAnsi="Times New Roman" w:cs="Times New Roman"/>
          <w:sz w:val="24"/>
          <w:szCs w:val="24"/>
        </w:rPr>
        <w:t>, 5(1), 1-9.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lastRenderedPageBreak/>
        <w:t>Midian Sirait, D. (1985).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Cara Pembuatan Simplisia. Departemen Kesehatan Indoesia, Jakarta, 4-25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National prescribing service (NPS) (2010).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COX-2 selective NSAIDS: New Wonder Drugs.</w:t>
      </w:r>
    </w:p>
    <w:p w:rsidR="003C1E9A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Ningrum, EO, Bagus, A., Agustiani, E., &amp; Ni'mah, H. (2020, Maret).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Adsorben berbasis gel cangkang kepiting (Portunus pelagicus) termosensitif dan kitosan untuk adsorpsi-desorpsi reversibel beberapa ion logam beracun. Dalam Seri Konferensi IOP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: Ilmu Bumi dan Lingkungan</w:t>
      </w:r>
      <w:r w:rsidRPr="005A0943">
        <w:rPr>
          <w:rFonts w:ascii="Times New Roman" w:hAnsi="Times New Roman" w:cs="Times New Roman"/>
          <w:sz w:val="24"/>
          <w:szCs w:val="24"/>
        </w:rPr>
        <w:t xml:space="preserve"> (Vol. 460, No. 1, hal. 012017). Penerbitan IOP.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Nurlaili,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(2016). Modul Anatomi Fisiologi Kulit.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Sekolah menengah kejuruan.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Nurvianty, A. (2018).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Formulasi Sediaan Gel Ekstrak Etanol Daun Awar-Awar (Ficus septica Burm.) dengan Variasi Basis HPMC dan Aktivitasnya terhadap Staphylococcus epidermidis.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Pharmacon</w:t>
      </w:r>
      <w:r w:rsidRPr="005A0943">
        <w:rPr>
          <w:rFonts w:ascii="Times New Roman" w:hAnsi="Times New Roman" w:cs="Times New Roman"/>
          <w:sz w:val="24"/>
          <w:szCs w:val="24"/>
        </w:rPr>
        <w:t>, 7 (1).</w:t>
      </w:r>
      <w:proofErr w:type="gramEnd"/>
    </w:p>
    <w:p w:rsidR="003C1E9A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Octora, D. D., Situmorang, Y., &amp; Marbun, R. A. T.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Formulasi sediaan sabun mandi padat ekstrak etanol bonggol nanas (Ananas cosmosus L.) untuk kelembapan kulit.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Farmasimed (Jfm),</w:t>
      </w:r>
      <w:r w:rsidRPr="005A0943">
        <w:rPr>
          <w:rFonts w:ascii="Times New Roman" w:hAnsi="Times New Roman" w:cs="Times New Roman"/>
          <w:sz w:val="24"/>
          <w:szCs w:val="24"/>
        </w:rPr>
        <w:t xml:space="preserve"> 2(2), 77-84.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Rejeki, P.S, Eka, A.C.P, &amp; Rizka, E.P. (2018).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Ovariektomi pada tikus dan mencit.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Airlangga University press.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1-2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Robinson, T. (1995).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Kandungan Organik Tumbuhan Tinggi.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Edisi keenam.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Bandung: ITB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Sani, L. M. M., Subaidah, W. A., &amp; Andayani, Y. (2021). Formulasi dan evaluasi karakter fisik sediaan gel ekstrak etanol daun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salam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(Syzygium polyanthum).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Sasambo Journal of Pharmacy</w:t>
      </w:r>
      <w:r w:rsidRPr="005A0943">
        <w:rPr>
          <w:rFonts w:ascii="Times New Roman" w:hAnsi="Times New Roman" w:cs="Times New Roman"/>
          <w:sz w:val="24"/>
          <w:szCs w:val="24"/>
        </w:rPr>
        <w:t>, 2(1), 16-22.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Siregar, R. S. H., (2021). Uji Aktivitas Antibakteri Sediaan Gel Anti Acne Ekstrak Daun Sirih (Piper bettle L.)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Terhadapat Bakteri Propionibacterium acnes.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Medan:  Fakultas Farmasi Universitas Muslim Nusantara Al-Washliyah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Situmorang, G. A. (2018).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Gambaran Faktor-Faktor Yang Berhubungan Dengan Kejadian Dermatitis Kontak Akibat Kerja Pada Karyawan Binatu Di Kota Medan Tahun 2018.</w:t>
      </w:r>
      <w:proofErr w:type="gramEnd"/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>Steenis, Van.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(2005). </w:t>
      </w:r>
      <w:r w:rsidRPr="005A0943">
        <w:rPr>
          <w:rFonts w:ascii="Times New Roman" w:hAnsi="Times New Roman" w:cs="Times New Roman"/>
          <w:sz w:val="24"/>
          <w:szCs w:val="24"/>
        </w:rPr>
        <w:t>Flora untuk Sekolah di Indonesia.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Jakarta: PT. Pradnya Paramita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Sudarmadji, S. (1989).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Analisa Bahan Makanan dan Pertanian</w:t>
      </w:r>
      <w:r w:rsidRPr="005A09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Yogyakarta: Liberti.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lastRenderedPageBreak/>
        <w:t xml:space="preserve">Sudarwati, T. P. L., dan M.A Hanny, F. F. (2019).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 xml:space="preserve">Aplikasi Pemanfaatan Daun Pepaya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(Carica papaya)</w:t>
      </w:r>
      <w:r w:rsidRPr="005A0943">
        <w:rPr>
          <w:rFonts w:ascii="Times New Roman" w:hAnsi="Times New Roman" w:cs="Times New Roman"/>
          <w:sz w:val="24"/>
          <w:szCs w:val="24"/>
        </w:rPr>
        <w:t xml:space="preserve"> Sebagai Biolarvasida Tergadap Larva Aedes aegypti.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Graniti.</w:t>
      </w:r>
      <w:proofErr w:type="gramEnd"/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Sugihartini, N., Jannah, S., &amp; Yuwono, T.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Formulasi Gel Ekstrak Daun Kelor (Moringa oleifera Lamk) Sebagai Sediaan Antiinflamasi.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Pharmaceutical Sciences and Research</w:t>
      </w:r>
      <w:r w:rsidRPr="005A0943">
        <w:rPr>
          <w:rFonts w:ascii="Times New Roman" w:hAnsi="Times New Roman" w:cs="Times New Roman"/>
          <w:sz w:val="24"/>
          <w:szCs w:val="24"/>
        </w:rPr>
        <w:t>, 7(1), 2.</w:t>
      </w:r>
      <w:proofErr w:type="gramEnd"/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Supriadi, Y., &amp; Hardiansyah, N. H. (2020).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Formulasi dan Evaluasi Fisik Sediaan Gel Rambut Ekstrak Etanol Daun Pare (Momordica charantia L.)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Dengan Variasi Konsentrasi Carbopol 940.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Jurnal Health Sains</w:t>
      </w:r>
      <w:r w:rsidRPr="005A0943">
        <w:rPr>
          <w:rFonts w:ascii="Times New Roman" w:hAnsi="Times New Roman" w:cs="Times New Roman"/>
          <w:sz w:val="24"/>
          <w:szCs w:val="24"/>
        </w:rPr>
        <w:t>, 1(4), 262-269.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Suryandari, S. S., De Queljoe, E., &amp; Datu, O. S. (2021).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Uji aktivitas antiinflamasi ekstrak etanol daun sesewanua (Clerodendrum squamatum Vahl.) terhadap tikus putih (Rattus norvegicus L.) yang diinduksi karagenan.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Pharmacon</w:t>
      </w:r>
      <w:r w:rsidRPr="005A0943">
        <w:rPr>
          <w:rFonts w:ascii="Times New Roman" w:hAnsi="Times New Roman" w:cs="Times New Roman"/>
          <w:sz w:val="24"/>
          <w:szCs w:val="24"/>
        </w:rPr>
        <w:t>, 10(3), 1025-1032.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Syahrana, NA, &amp; Nonci, TA (2023).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Uji Aktivitas Antiinflamasi Sediaan Krim Ekstrak Etanol Daun Sambiloto (Andrographis panikulate Nees) Terhadap Mencit (Mus musculus): Ilmu Kedokteran: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 xml:space="preserve"> Jurnal Ilmiah </w:t>
      </w:r>
      <w:proofErr w:type="gramStart"/>
      <w:r w:rsidRPr="005A0943">
        <w:rPr>
          <w:rFonts w:ascii="Times New Roman" w:hAnsi="Times New Roman" w:cs="Times New Roman"/>
          <w:i/>
          <w:iCs/>
          <w:sz w:val="24"/>
          <w:szCs w:val="24"/>
        </w:rPr>
        <w:t>Kefarmasian</w:t>
      </w:r>
      <w:r w:rsidRPr="005A09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8 (1), 77-84</w:t>
      </w:r>
    </w:p>
    <w:p w:rsidR="003C1E9A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0943">
        <w:rPr>
          <w:rFonts w:ascii="Times New Roman" w:hAnsi="Times New Roman" w:cs="Times New Roman"/>
          <w:sz w:val="24"/>
          <w:szCs w:val="24"/>
        </w:rPr>
        <w:t xml:space="preserve">Tsabitah, A., A. Zulkarnain, M. Wahyuningsih.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(2020). Optimasi Carbomer, Propilen Glikol, dan Trietanolamin Dalam Formulasi Sediaan Gel Ekstrak Etanol Daun Kembang Putih.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r w:rsidRPr="005A0943">
        <w:rPr>
          <w:rFonts w:ascii="Times New Roman" w:hAnsi="Times New Roman" w:cs="Times New Roman"/>
          <w:i/>
          <w:iCs/>
          <w:sz w:val="24"/>
          <w:szCs w:val="24"/>
        </w:rPr>
        <w:t>Majalah Farmseutik</w:t>
      </w:r>
      <w:r w:rsidRPr="005A0943">
        <w:rPr>
          <w:rFonts w:ascii="Times New Roman" w:hAnsi="Times New Roman" w:cs="Times New Roman"/>
          <w:sz w:val="24"/>
          <w:szCs w:val="24"/>
        </w:rPr>
        <w:t>, 112-114.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Viandari, Eka. </w:t>
      </w:r>
      <w:proofErr w:type="gramStart"/>
      <w:r>
        <w:rPr>
          <w:rFonts w:ascii="Times New Roman" w:hAnsi="Times New Roman" w:cs="Times New Roman"/>
          <w:sz w:val="24"/>
          <w:szCs w:val="24"/>
        </w:rPr>
        <w:t>(2022). Mengenal kulit.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Quipperblog.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Biologi</w:t>
      </w:r>
    </w:p>
    <w:p w:rsidR="003C1E9A" w:rsidRPr="005A0943" w:rsidRDefault="003C1E9A" w:rsidP="003C1E9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943">
        <w:rPr>
          <w:rFonts w:ascii="Times New Roman" w:hAnsi="Times New Roman" w:cs="Times New Roman"/>
          <w:sz w:val="24"/>
          <w:szCs w:val="24"/>
        </w:rPr>
        <w:t>Voight.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43">
        <w:rPr>
          <w:rFonts w:ascii="Times New Roman" w:hAnsi="Times New Roman" w:cs="Times New Roman"/>
          <w:sz w:val="24"/>
          <w:szCs w:val="24"/>
        </w:rPr>
        <w:t>R., (1994).</w:t>
      </w:r>
      <w:proofErr w:type="gramEnd"/>
      <w:r w:rsidRPr="005A0943">
        <w:rPr>
          <w:rFonts w:ascii="Times New Roman" w:hAnsi="Times New Roman" w:cs="Times New Roman"/>
          <w:sz w:val="24"/>
          <w:szCs w:val="24"/>
        </w:rPr>
        <w:t xml:space="preserve"> Buku Pengantar Teknologi Farmasi, diterjemahkan oleh Soedani. N., Yogyakarta. Universitas Gadjah Mada Press. Edisi V Hal 572-574.</w:t>
      </w:r>
    </w:p>
    <w:p w:rsidR="00476351" w:rsidRPr="003C1E9A" w:rsidRDefault="00476351" w:rsidP="003C1E9A"/>
    <w:sectPr w:rsidR="00476351" w:rsidRPr="003C1E9A" w:rsidSect="00F5476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982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C1E9A" w:rsidRPr="004552C8" w:rsidRDefault="003C1E9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552C8">
          <w:rPr>
            <w:rFonts w:ascii="Times New Roman" w:hAnsi="Times New Roman" w:cs="Times New Roman"/>
            <w:sz w:val="24"/>
          </w:rPr>
          <w:fldChar w:fldCharType="begin"/>
        </w:r>
        <w:r w:rsidRPr="004552C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52C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4552C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C1E9A" w:rsidRDefault="003C1E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3C1E9A">
    <w:pPr>
      <w:pStyle w:val="Footer"/>
      <w:jc w:val="center"/>
    </w:pPr>
  </w:p>
  <w:p w:rsidR="00C75585" w:rsidRDefault="003C1E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02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585" w:rsidRDefault="003C1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3C1E9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9A" w:rsidRPr="004552C8" w:rsidRDefault="003C1E9A">
    <w:pPr>
      <w:pStyle w:val="Header"/>
      <w:jc w:val="right"/>
      <w:rPr>
        <w:rFonts w:ascii="Times New Roman" w:hAnsi="Times New Roman" w:cs="Times New Roman"/>
        <w:sz w:val="24"/>
      </w:rPr>
    </w:pPr>
  </w:p>
  <w:p w:rsidR="003C1E9A" w:rsidRDefault="003C1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3C1E9A">
    <w:pPr>
      <w:pStyle w:val="Header"/>
      <w:jc w:val="right"/>
    </w:pPr>
  </w:p>
  <w:p w:rsidR="00C75585" w:rsidRDefault="003C1E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378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5585" w:rsidRDefault="003C1E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3C1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2D"/>
    <w:rsid w:val="000759A0"/>
    <w:rsid w:val="0018112D"/>
    <w:rsid w:val="00292721"/>
    <w:rsid w:val="00354C3B"/>
    <w:rsid w:val="003B4566"/>
    <w:rsid w:val="003C1E9A"/>
    <w:rsid w:val="00404A16"/>
    <w:rsid w:val="00476351"/>
    <w:rsid w:val="00565A2F"/>
    <w:rsid w:val="00581D97"/>
    <w:rsid w:val="00A22336"/>
    <w:rsid w:val="00A8369D"/>
    <w:rsid w:val="00C358CA"/>
    <w:rsid w:val="00CC1F6B"/>
    <w:rsid w:val="00CE0BEC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C3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A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A16"/>
    <w:rPr>
      <w:kern w:val="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54C3B"/>
    <w:rPr>
      <w:rFonts w:ascii="Times New Roman" w:eastAsiaTheme="majorEastAsia" w:hAnsi="Times New Roman" w:cstheme="majorBidi"/>
      <w:b/>
      <w:kern w:val="2"/>
      <w:sz w:val="24"/>
      <w:szCs w:val="24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54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table" w:customStyle="1" w:styleId="17">
    <w:name w:val="17"/>
    <w:basedOn w:val="TableNormal"/>
    <w:rsid w:val="00354C3B"/>
    <w:pPr>
      <w:spacing w:after="0" w:line="240" w:lineRule="auto"/>
      <w:jc w:val="both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4C3B"/>
    <w:rPr>
      <w:color w:val="666666"/>
    </w:rPr>
  </w:style>
  <w:style w:type="paragraph" w:styleId="NoSpacing">
    <w:name w:val="No Spacing"/>
    <w:uiPriority w:val="1"/>
    <w:qFormat/>
    <w:rsid w:val="00354C3B"/>
    <w:pPr>
      <w:spacing w:after="0" w:line="240" w:lineRule="auto"/>
    </w:pPr>
    <w:rPr>
      <w:kern w:val="2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354C3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4C3B"/>
    <w:pPr>
      <w:tabs>
        <w:tab w:val="left" w:pos="993"/>
        <w:tab w:val="left" w:pos="1418"/>
        <w:tab w:val="left" w:pos="1985"/>
        <w:tab w:val="left" w:leader="dot" w:pos="7371"/>
        <w:tab w:val="right" w:pos="7655"/>
      </w:tabs>
      <w:spacing w:after="100"/>
      <w:ind w:right="566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54C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4C3B"/>
    <w:pPr>
      <w:tabs>
        <w:tab w:val="left" w:pos="1134"/>
        <w:tab w:val="right" w:leader="dot" w:pos="7927"/>
      </w:tabs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54C3B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354C3B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54C3B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54C3B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54C3B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54C3B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C3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A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A16"/>
    <w:rPr>
      <w:kern w:val="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54C3B"/>
    <w:rPr>
      <w:rFonts w:ascii="Times New Roman" w:eastAsiaTheme="majorEastAsia" w:hAnsi="Times New Roman" w:cstheme="majorBidi"/>
      <w:b/>
      <w:kern w:val="2"/>
      <w:sz w:val="24"/>
      <w:szCs w:val="24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54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table" w:customStyle="1" w:styleId="17">
    <w:name w:val="17"/>
    <w:basedOn w:val="TableNormal"/>
    <w:rsid w:val="00354C3B"/>
    <w:pPr>
      <w:spacing w:after="0" w:line="240" w:lineRule="auto"/>
      <w:jc w:val="both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4C3B"/>
    <w:rPr>
      <w:color w:val="666666"/>
    </w:rPr>
  </w:style>
  <w:style w:type="paragraph" w:styleId="NoSpacing">
    <w:name w:val="No Spacing"/>
    <w:uiPriority w:val="1"/>
    <w:qFormat/>
    <w:rsid w:val="00354C3B"/>
    <w:pPr>
      <w:spacing w:after="0" w:line="240" w:lineRule="auto"/>
    </w:pPr>
    <w:rPr>
      <w:kern w:val="2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354C3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4C3B"/>
    <w:pPr>
      <w:tabs>
        <w:tab w:val="left" w:pos="993"/>
        <w:tab w:val="left" w:pos="1418"/>
        <w:tab w:val="left" w:pos="1985"/>
        <w:tab w:val="left" w:leader="dot" w:pos="7371"/>
        <w:tab w:val="right" w:pos="7655"/>
      </w:tabs>
      <w:spacing w:after="100"/>
      <w:ind w:right="566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54C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4C3B"/>
    <w:pPr>
      <w:tabs>
        <w:tab w:val="left" w:pos="1134"/>
        <w:tab w:val="right" w:leader="dot" w:pos="7927"/>
      </w:tabs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54C3B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354C3B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54C3B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54C3B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54C3B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54C3B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6B60-3BB7-4F7F-8E33-9567992A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2024-09-19T03:08:00Z</dcterms:created>
  <dcterms:modified xsi:type="dcterms:W3CDTF">2024-09-19T03:08:00Z</dcterms:modified>
</cp:coreProperties>
</file>