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DBD1C" w14:textId="77777777" w:rsidR="0069258A" w:rsidRDefault="00A309A2" w:rsidP="008A2963">
      <w:pPr>
        <w:pStyle w:val="Heading1"/>
        <w:ind w:left="1418" w:firstLine="2"/>
      </w:pPr>
      <w:bookmarkStart w:id="0" w:name="_GoBack"/>
      <w:bookmarkEnd w:id="0"/>
      <w:r>
        <w:t xml:space="preserve">BAB </w:t>
      </w:r>
      <w:r>
        <w:rPr>
          <w:spacing w:val="-10"/>
        </w:rPr>
        <w:t>V</w:t>
      </w:r>
    </w:p>
    <w:p w14:paraId="09DCBE88" w14:textId="77777777" w:rsidR="0069258A" w:rsidRDefault="0069258A">
      <w:pPr>
        <w:pStyle w:val="BodyText"/>
        <w:rPr>
          <w:b/>
        </w:rPr>
      </w:pPr>
    </w:p>
    <w:p w14:paraId="74861556" w14:textId="77777777" w:rsidR="0069258A" w:rsidRDefault="00A309A2">
      <w:pPr>
        <w:pStyle w:val="Heading2"/>
        <w:ind w:left="1420" w:firstLine="0"/>
        <w:jc w:val="center"/>
      </w:pPr>
      <w:r>
        <w:t>Kesimpulan</w:t>
      </w:r>
      <w:r>
        <w:rPr>
          <w:spacing w:val="-3"/>
        </w:rPr>
        <w:t xml:space="preserve"> </w:t>
      </w:r>
      <w:r>
        <w:t xml:space="preserve">dan </w:t>
      </w:r>
      <w:r>
        <w:rPr>
          <w:spacing w:val="-2"/>
        </w:rPr>
        <w:t>Saran</w:t>
      </w:r>
    </w:p>
    <w:p w14:paraId="56ED6B58" w14:textId="77777777" w:rsidR="0069258A" w:rsidRDefault="0069258A">
      <w:pPr>
        <w:pStyle w:val="BodyText"/>
        <w:rPr>
          <w:b/>
        </w:rPr>
      </w:pPr>
    </w:p>
    <w:p w14:paraId="6D3BE668" w14:textId="77777777" w:rsidR="0069258A" w:rsidRDefault="00A309A2">
      <w:pPr>
        <w:pStyle w:val="ListParagraph"/>
        <w:numPr>
          <w:ilvl w:val="0"/>
          <w:numId w:val="1"/>
        </w:numPr>
        <w:tabs>
          <w:tab w:val="left" w:pos="1861"/>
        </w:tabs>
        <w:ind w:hanging="293"/>
        <w:rPr>
          <w:b/>
          <w:sz w:val="24"/>
        </w:rPr>
      </w:pPr>
      <w:r>
        <w:rPr>
          <w:b/>
          <w:spacing w:val="-2"/>
          <w:sz w:val="24"/>
        </w:rPr>
        <w:t>Kesimpulan</w:t>
      </w:r>
    </w:p>
    <w:p w14:paraId="2E032303" w14:textId="77777777" w:rsidR="0069258A" w:rsidRDefault="0069258A">
      <w:pPr>
        <w:pStyle w:val="BodyText"/>
        <w:rPr>
          <w:b/>
        </w:rPr>
      </w:pPr>
    </w:p>
    <w:p w14:paraId="4962EE0D" w14:textId="77777777" w:rsidR="0069258A" w:rsidRDefault="00A309A2">
      <w:pPr>
        <w:pStyle w:val="BodyText"/>
        <w:spacing w:line="480" w:lineRule="auto"/>
        <w:ind w:left="1568" w:right="1000" w:firstLine="852"/>
        <w:jc w:val="both"/>
      </w:pPr>
      <w:r>
        <w:t>Berdasarkan hasil penelitian yang dengan judul “Dampak Parfum Refill Menurut Undang-Undang Nomor 8 Tahun 1999 Tentang Perlindungan Konsumen.” maka dapat diambil kesimpulan sebagai berikut:</w:t>
      </w:r>
    </w:p>
    <w:p w14:paraId="735338E5" w14:textId="77777777" w:rsidR="0069258A" w:rsidRDefault="00A309A2">
      <w:pPr>
        <w:pStyle w:val="ListParagraph"/>
        <w:numPr>
          <w:ilvl w:val="1"/>
          <w:numId w:val="1"/>
        </w:numPr>
        <w:tabs>
          <w:tab w:val="left" w:pos="3022"/>
        </w:tabs>
        <w:spacing w:before="1" w:line="480" w:lineRule="auto"/>
        <w:ind w:right="997"/>
        <w:jc w:val="both"/>
        <w:rPr>
          <w:sz w:val="24"/>
        </w:rPr>
      </w:pPr>
      <w:r>
        <w:rPr>
          <w:sz w:val="24"/>
        </w:rPr>
        <w:t>Pelaksanaan pelindungan hukum bagi konsumen parfum isi ulang (refill) berdasarkan Undang-Undang Nomor 8 Tahun 1999 tentang perlindungan</w:t>
      </w:r>
      <w:r>
        <w:rPr>
          <w:spacing w:val="40"/>
          <w:sz w:val="24"/>
        </w:rPr>
        <w:t xml:space="preserve"> </w:t>
      </w:r>
      <w:r>
        <w:rPr>
          <w:sz w:val="24"/>
        </w:rPr>
        <w:t>konsumen</w:t>
      </w:r>
      <w:r>
        <w:rPr>
          <w:spacing w:val="40"/>
          <w:sz w:val="24"/>
        </w:rPr>
        <w:t xml:space="preserve"> </w:t>
      </w:r>
      <w:r>
        <w:rPr>
          <w:sz w:val="24"/>
        </w:rPr>
        <w:t>khususnya</w:t>
      </w:r>
      <w:r>
        <w:rPr>
          <w:spacing w:val="40"/>
          <w:sz w:val="24"/>
        </w:rPr>
        <w:t xml:space="preserve"> </w:t>
      </w:r>
      <w:r>
        <w:rPr>
          <w:sz w:val="24"/>
        </w:rPr>
        <w:t>di</w:t>
      </w:r>
      <w:r>
        <w:rPr>
          <w:spacing w:val="40"/>
          <w:sz w:val="24"/>
        </w:rPr>
        <w:t xml:space="preserve"> </w:t>
      </w:r>
      <w:r>
        <w:rPr>
          <w:sz w:val="24"/>
        </w:rPr>
        <w:t>Kecamatan</w:t>
      </w:r>
      <w:r>
        <w:rPr>
          <w:spacing w:val="40"/>
          <w:sz w:val="24"/>
        </w:rPr>
        <w:t xml:space="preserve"> </w:t>
      </w:r>
      <w:r>
        <w:rPr>
          <w:sz w:val="24"/>
        </w:rPr>
        <w:t>Beringin</w:t>
      </w:r>
      <w:r>
        <w:rPr>
          <w:spacing w:val="40"/>
          <w:sz w:val="24"/>
        </w:rPr>
        <w:t xml:space="preserve"> </w:t>
      </w:r>
      <w:r>
        <w:rPr>
          <w:sz w:val="24"/>
        </w:rPr>
        <w:t>dan</w:t>
      </w:r>
    </w:p>
    <w:p w14:paraId="6B058BE6" w14:textId="77777777" w:rsidR="0069258A" w:rsidRDefault="00A309A2">
      <w:pPr>
        <w:pStyle w:val="BodyText"/>
        <w:spacing w:before="1" w:line="480" w:lineRule="auto"/>
        <w:ind w:left="3022" w:right="1001"/>
        <w:jc w:val="both"/>
      </w:pPr>
      <w:r>
        <w:t>umumnya Kabupaten Deli Serdang belum terlaksana dengan baik, karena</w:t>
      </w:r>
      <w:r>
        <w:rPr>
          <w:spacing w:val="-6"/>
        </w:rPr>
        <w:t xml:space="preserve"> </w:t>
      </w:r>
      <w:r>
        <w:t>hak</w:t>
      </w:r>
      <w:r>
        <w:rPr>
          <w:spacing w:val="-5"/>
        </w:rPr>
        <w:t xml:space="preserve"> </w:t>
      </w:r>
      <w:r>
        <w:t>konsumen</w:t>
      </w:r>
      <w:r>
        <w:rPr>
          <w:spacing w:val="-5"/>
        </w:rPr>
        <w:t xml:space="preserve"> </w:t>
      </w:r>
      <w:r>
        <w:t>masih</w:t>
      </w:r>
      <w:r>
        <w:rPr>
          <w:spacing w:val="-5"/>
        </w:rPr>
        <w:t xml:space="preserve"> </w:t>
      </w:r>
      <w:r>
        <w:t>dirugikan</w:t>
      </w:r>
      <w:r>
        <w:rPr>
          <w:spacing w:val="-5"/>
        </w:rPr>
        <w:t xml:space="preserve"> </w:t>
      </w:r>
      <w:r>
        <w:t>oleh</w:t>
      </w:r>
      <w:r>
        <w:rPr>
          <w:spacing w:val="-5"/>
        </w:rPr>
        <w:t xml:space="preserve"> </w:t>
      </w:r>
      <w:r>
        <w:t>pelaku</w:t>
      </w:r>
      <w:r>
        <w:rPr>
          <w:spacing w:val="-4"/>
        </w:rPr>
        <w:t xml:space="preserve"> </w:t>
      </w:r>
      <w:r>
        <w:t>usaha</w:t>
      </w:r>
      <w:r>
        <w:rPr>
          <w:spacing w:val="-6"/>
        </w:rPr>
        <w:t xml:space="preserve"> </w:t>
      </w:r>
      <w:r>
        <w:t>dalam</w:t>
      </w:r>
      <w:r>
        <w:rPr>
          <w:spacing w:val="-5"/>
        </w:rPr>
        <w:t xml:space="preserve"> </w:t>
      </w:r>
      <w:r>
        <w:t>hal Parfum isi ulang.</w:t>
      </w:r>
    </w:p>
    <w:p w14:paraId="4ED4F2C9" w14:textId="77777777" w:rsidR="0069258A" w:rsidRDefault="00A309A2">
      <w:pPr>
        <w:pStyle w:val="ListParagraph"/>
        <w:numPr>
          <w:ilvl w:val="1"/>
          <w:numId w:val="1"/>
        </w:numPr>
        <w:tabs>
          <w:tab w:val="left" w:pos="3022"/>
        </w:tabs>
        <w:spacing w:line="480" w:lineRule="auto"/>
        <w:ind w:right="999"/>
        <w:jc w:val="both"/>
        <w:rPr>
          <w:sz w:val="24"/>
        </w:rPr>
      </w:pPr>
      <w:r>
        <w:rPr>
          <w:sz w:val="24"/>
        </w:rPr>
        <w:t>Tanggung jawab pelaku usaha terhadap kerugian yang dialami konsumen yang menggunakan produk kosmetik dalam hal ini parfum isi ulang apabila penjualan parfum isi ulang tidak disertai dengan kejelasan label produk bahwa apabila terdapat keluhan dari masyarakat akibat penggunaan parfum isi ulang tanpa kejelasan label</w:t>
      </w:r>
      <w:r>
        <w:rPr>
          <w:spacing w:val="-15"/>
          <w:sz w:val="24"/>
        </w:rPr>
        <w:t xml:space="preserve"> </w:t>
      </w:r>
      <w:r>
        <w:rPr>
          <w:sz w:val="24"/>
        </w:rPr>
        <w:t>maka</w:t>
      </w:r>
      <w:r>
        <w:rPr>
          <w:spacing w:val="-15"/>
          <w:sz w:val="24"/>
        </w:rPr>
        <w:t xml:space="preserve"> </w:t>
      </w:r>
      <w:r>
        <w:rPr>
          <w:sz w:val="24"/>
        </w:rPr>
        <w:t>pelaku</w:t>
      </w:r>
      <w:r>
        <w:rPr>
          <w:spacing w:val="-15"/>
          <w:sz w:val="24"/>
        </w:rPr>
        <w:t xml:space="preserve"> </w:t>
      </w:r>
      <w:r>
        <w:rPr>
          <w:sz w:val="24"/>
        </w:rPr>
        <w:t>usaha</w:t>
      </w:r>
      <w:r>
        <w:rPr>
          <w:spacing w:val="-15"/>
          <w:sz w:val="24"/>
        </w:rPr>
        <w:t xml:space="preserve"> </w:t>
      </w:r>
      <w:r>
        <w:rPr>
          <w:sz w:val="24"/>
        </w:rPr>
        <w:t>sepatutnya</w:t>
      </w:r>
      <w:r>
        <w:rPr>
          <w:spacing w:val="-15"/>
          <w:sz w:val="24"/>
        </w:rPr>
        <w:t xml:space="preserve"> </w:t>
      </w:r>
      <w:r>
        <w:rPr>
          <w:sz w:val="24"/>
        </w:rPr>
        <w:t>bertanggung</w:t>
      </w:r>
      <w:r>
        <w:rPr>
          <w:spacing w:val="-15"/>
          <w:sz w:val="24"/>
        </w:rPr>
        <w:t xml:space="preserve"> </w:t>
      </w:r>
      <w:r>
        <w:rPr>
          <w:sz w:val="24"/>
        </w:rPr>
        <w:t>jawab</w:t>
      </w:r>
      <w:r>
        <w:rPr>
          <w:spacing w:val="-15"/>
          <w:sz w:val="24"/>
        </w:rPr>
        <w:t xml:space="preserve"> </w:t>
      </w:r>
      <w:r>
        <w:rPr>
          <w:sz w:val="24"/>
        </w:rPr>
        <w:t>atas</w:t>
      </w:r>
      <w:r>
        <w:rPr>
          <w:spacing w:val="-15"/>
          <w:sz w:val="24"/>
        </w:rPr>
        <w:t xml:space="preserve"> </w:t>
      </w:r>
      <w:r>
        <w:rPr>
          <w:sz w:val="24"/>
        </w:rPr>
        <w:t>keluhan tersebut. Tanggung jawab pelaku usaha ini dimuat dalam Pasal 19 UUPK. Tanggung jawab daripada pelaku usaha juga di sebutkan dalam Pasal 1365 KUHPerdata yang menyatakan: “tiap perbuatan yang melanggar hukum dan membawa kerugian pada orang lain, mewajibkan orang yang menimbulkan kerugian itu karena kesalahannya untuk menggantikan kerugian tersebut”</w:t>
      </w:r>
    </w:p>
    <w:p w14:paraId="5A72E927" w14:textId="77777777" w:rsidR="0069258A" w:rsidRDefault="00A309A2">
      <w:pPr>
        <w:pStyle w:val="ListParagraph"/>
        <w:numPr>
          <w:ilvl w:val="1"/>
          <w:numId w:val="1"/>
        </w:numPr>
        <w:tabs>
          <w:tab w:val="left" w:pos="3022"/>
        </w:tabs>
        <w:spacing w:before="1" w:line="480" w:lineRule="auto"/>
        <w:ind w:right="997"/>
        <w:jc w:val="both"/>
        <w:rPr>
          <w:sz w:val="24"/>
        </w:rPr>
      </w:pPr>
      <w:r>
        <w:rPr>
          <w:sz w:val="24"/>
        </w:rPr>
        <w:t xml:space="preserve">Upaya penyelesaian yang dapat dilakukan oleh konsumen yang dirugikan akibat menggunakan minyak wangi isi ulang berbahaya bedasarkan Undang-Undang Nomor 8 Tahun 1999 tentang Perlindungan Konsumen ada dua yaitu upaya hukum melalui </w:t>
      </w:r>
      <w:r>
        <w:rPr>
          <w:sz w:val="24"/>
        </w:rPr>
        <w:lastRenderedPageBreak/>
        <w:t>penyelesaian sengketa diluar pengadilan yakni dilaksanakan oleh badan Penyelesaian Sengketa Konsumen yang bertujuan untuk mencapai</w:t>
      </w:r>
      <w:r>
        <w:rPr>
          <w:spacing w:val="-15"/>
          <w:sz w:val="24"/>
        </w:rPr>
        <w:t xml:space="preserve"> </w:t>
      </w:r>
      <w:r>
        <w:rPr>
          <w:sz w:val="24"/>
        </w:rPr>
        <w:t>kesepakatan</w:t>
      </w:r>
      <w:r>
        <w:rPr>
          <w:spacing w:val="-15"/>
          <w:sz w:val="24"/>
        </w:rPr>
        <w:t xml:space="preserve"> </w:t>
      </w:r>
      <w:r>
        <w:rPr>
          <w:sz w:val="24"/>
        </w:rPr>
        <w:t>mengenai</w:t>
      </w:r>
      <w:r>
        <w:rPr>
          <w:spacing w:val="-15"/>
          <w:sz w:val="24"/>
        </w:rPr>
        <w:t xml:space="preserve"> </w:t>
      </w:r>
      <w:r>
        <w:rPr>
          <w:sz w:val="24"/>
        </w:rPr>
        <w:t>bentuk</w:t>
      </w:r>
      <w:r>
        <w:rPr>
          <w:spacing w:val="-15"/>
          <w:sz w:val="24"/>
        </w:rPr>
        <w:t xml:space="preserve"> </w:t>
      </w:r>
      <w:r>
        <w:rPr>
          <w:sz w:val="24"/>
        </w:rPr>
        <w:t>dan</w:t>
      </w:r>
      <w:r>
        <w:rPr>
          <w:spacing w:val="-15"/>
          <w:sz w:val="24"/>
        </w:rPr>
        <w:t xml:space="preserve"> </w:t>
      </w:r>
      <w:r>
        <w:rPr>
          <w:sz w:val="24"/>
        </w:rPr>
        <w:t>besarnya</w:t>
      </w:r>
      <w:r>
        <w:rPr>
          <w:spacing w:val="-15"/>
          <w:sz w:val="24"/>
        </w:rPr>
        <w:t xml:space="preserve"> </w:t>
      </w:r>
      <w:r>
        <w:rPr>
          <w:sz w:val="24"/>
        </w:rPr>
        <w:t>ganti</w:t>
      </w:r>
      <w:r>
        <w:rPr>
          <w:spacing w:val="-15"/>
          <w:sz w:val="24"/>
        </w:rPr>
        <w:t xml:space="preserve"> </w:t>
      </w:r>
      <w:r>
        <w:rPr>
          <w:sz w:val="24"/>
        </w:rPr>
        <w:t>rugi</w:t>
      </w:r>
      <w:r>
        <w:rPr>
          <w:spacing w:val="-15"/>
          <w:sz w:val="24"/>
        </w:rPr>
        <w:t xml:space="preserve"> </w:t>
      </w:r>
      <w:r>
        <w:rPr>
          <w:sz w:val="24"/>
        </w:rPr>
        <w:t>dan upaya</w:t>
      </w:r>
      <w:r>
        <w:rPr>
          <w:spacing w:val="39"/>
          <w:sz w:val="24"/>
        </w:rPr>
        <w:t xml:space="preserve"> </w:t>
      </w:r>
      <w:r>
        <w:rPr>
          <w:sz w:val="24"/>
        </w:rPr>
        <w:t>hukum</w:t>
      </w:r>
      <w:r>
        <w:rPr>
          <w:spacing w:val="40"/>
          <w:sz w:val="24"/>
        </w:rPr>
        <w:t xml:space="preserve"> </w:t>
      </w:r>
      <w:r>
        <w:rPr>
          <w:sz w:val="24"/>
        </w:rPr>
        <w:t>melalui</w:t>
      </w:r>
      <w:r>
        <w:rPr>
          <w:spacing w:val="40"/>
          <w:sz w:val="24"/>
        </w:rPr>
        <w:t xml:space="preserve"> </w:t>
      </w:r>
      <w:r>
        <w:rPr>
          <w:sz w:val="24"/>
        </w:rPr>
        <w:t>penyelesaian</w:t>
      </w:r>
      <w:r>
        <w:rPr>
          <w:spacing w:val="39"/>
          <w:sz w:val="24"/>
        </w:rPr>
        <w:t xml:space="preserve"> </w:t>
      </w:r>
      <w:r>
        <w:rPr>
          <w:sz w:val="24"/>
        </w:rPr>
        <w:t>sengketa</w:t>
      </w:r>
      <w:r>
        <w:rPr>
          <w:spacing w:val="39"/>
          <w:sz w:val="24"/>
        </w:rPr>
        <w:t xml:space="preserve"> </w:t>
      </w:r>
      <w:r>
        <w:rPr>
          <w:sz w:val="24"/>
        </w:rPr>
        <w:t>di</w:t>
      </w:r>
      <w:r>
        <w:rPr>
          <w:spacing w:val="40"/>
          <w:sz w:val="24"/>
        </w:rPr>
        <w:t xml:space="preserve"> </w:t>
      </w:r>
      <w:r>
        <w:rPr>
          <w:sz w:val="24"/>
        </w:rPr>
        <w:t>pengadilan</w:t>
      </w:r>
      <w:r>
        <w:rPr>
          <w:spacing w:val="40"/>
          <w:sz w:val="24"/>
        </w:rPr>
        <w:t xml:space="preserve"> </w:t>
      </w:r>
      <w:r>
        <w:rPr>
          <w:sz w:val="24"/>
        </w:rPr>
        <w:t>yang</w:t>
      </w:r>
    </w:p>
    <w:p w14:paraId="6878FCB4" w14:textId="77777777" w:rsidR="0069258A" w:rsidRDefault="00A309A2">
      <w:pPr>
        <w:pStyle w:val="BodyText"/>
        <w:spacing w:before="1" w:line="480" w:lineRule="auto"/>
        <w:ind w:left="3022" w:right="1001"/>
        <w:jc w:val="both"/>
      </w:pPr>
      <w:r>
        <w:t>dilakukan apabila penyelesaian sengketa diluar pengadilan dinyatakan</w:t>
      </w:r>
      <w:r>
        <w:rPr>
          <w:spacing w:val="-4"/>
        </w:rPr>
        <w:t xml:space="preserve"> </w:t>
      </w:r>
      <w:r>
        <w:t>tidak</w:t>
      </w:r>
      <w:r>
        <w:rPr>
          <w:spacing w:val="-4"/>
        </w:rPr>
        <w:t xml:space="preserve"> </w:t>
      </w:r>
      <w:r>
        <w:t>berhasil</w:t>
      </w:r>
      <w:r>
        <w:rPr>
          <w:spacing w:val="-1"/>
        </w:rPr>
        <w:t xml:space="preserve"> </w:t>
      </w:r>
      <w:r>
        <w:t>oleh</w:t>
      </w:r>
      <w:r>
        <w:rPr>
          <w:spacing w:val="-4"/>
        </w:rPr>
        <w:t xml:space="preserve"> </w:t>
      </w:r>
      <w:r>
        <w:t>salah</w:t>
      </w:r>
      <w:r>
        <w:rPr>
          <w:spacing w:val="-4"/>
        </w:rPr>
        <w:t xml:space="preserve"> </w:t>
      </w:r>
      <w:r>
        <w:t>satu</w:t>
      </w:r>
      <w:r>
        <w:rPr>
          <w:spacing w:val="-4"/>
        </w:rPr>
        <w:t xml:space="preserve"> </w:t>
      </w:r>
      <w:r>
        <w:t>pihak</w:t>
      </w:r>
      <w:r>
        <w:rPr>
          <w:spacing w:val="-4"/>
        </w:rPr>
        <w:t xml:space="preserve"> </w:t>
      </w:r>
      <w:r>
        <w:t>atau</w:t>
      </w:r>
      <w:r>
        <w:rPr>
          <w:spacing w:val="-4"/>
        </w:rPr>
        <w:t xml:space="preserve"> </w:t>
      </w:r>
      <w:r>
        <w:t>oleh</w:t>
      </w:r>
      <w:r>
        <w:rPr>
          <w:spacing w:val="-4"/>
        </w:rPr>
        <w:t xml:space="preserve"> </w:t>
      </w:r>
      <w:r>
        <w:t>para</w:t>
      </w:r>
      <w:r>
        <w:rPr>
          <w:spacing w:val="-5"/>
        </w:rPr>
        <w:t xml:space="preserve"> </w:t>
      </w:r>
      <w:r>
        <w:t>pihak yang</w:t>
      </w:r>
      <w:r>
        <w:rPr>
          <w:spacing w:val="-11"/>
        </w:rPr>
        <w:t xml:space="preserve"> </w:t>
      </w:r>
      <w:r>
        <w:t>bersengketa.</w:t>
      </w:r>
      <w:r>
        <w:rPr>
          <w:spacing w:val="-12"/>
        </w:rPr>
        <w:t xml:space="preserve"> </w:t>
      </w:r>
      <w:r>
        <w:t>Upaya</w:t>
      </w:r>
      <w:r>
        <w:rPr>
          <w:spacing w:val="-10"/>
        </w:rPr>
        <w:t xml:space="preserve"> </w:t>
      </w:r>
      <w:r>
        <w:t>penyelesaian</w:t>
      </w:r>
      <w:r>
        <w:rPr>
          <w:spacing w:val="-11"/>
        </w:rPr>
        <w:t xml:space="preserve"> </w:t>
      </w:r>
      <w:r>
        <w:t>sengketa</w:t>
      </w:r>
      <w:r>
        <w:rPr>
          <w:spacing w:val="-10"/>
        </w:rPr>
        <w:t xml:space="preserve"> </w:t>
      </w:r>
      <w:r>
        <w:t>melalui</w:t>
      </w:r>
      <w:r>
        <w:rPr>
          <w:spacing w:val="-11"/>
        </w:rPr>
        <w:t xml:space="preserve"> </w:t>
      </w:r>
      <w:r>
        <w:t>pengadilan dilaksanakan dengan mengacu pada ketentuan tentang peradilan umum yang berlaku.</w:t>
      </w:r>
    </w:p>
    <w:p w14:paraId="04836AFF" w14:textId="77777777" w:rsidR="0069258A" w:rsidRDefault="00A309A2">
      <w:pPr>
        <w:pStyle w:val="Heading2"/>
        <w:numPr>
          <w:ilvl w:val="0"/>
          <w:numId w:val="1"/>
        </w:numPr>
        <w:tabs>
          <w:tab w:val="left" w:pos="1848"/>
        </w:tabs>
        <w:ind w:left="1848" w:hanging="280"/>
      </w:pPr>
      <w:r>
        <w:rPr>
          <w:spacing w:val="-4"/>
        </w:rPr>
        <w:t>Saran</w:t>
      </w:r>
    </w:p>
    <w:p w14:paraId="40AC77CD" w14:textId="77777777" w:rsidR="0069258A" w:rsidRDefault="0069258A">
      <w:pPr>
        <w:pStyle w:val="BodyText"/>
        <w:rPr>
          <w:b/>
        </w:rPr>
      </w:pPr>
    </w:p>
    <w:p w14:paraId="337CD209" w14:textId="77777777" w:rsidR="0069258A" w:rsidRDefault="00A309A2">
      <w:pPr>
        <w:pStyle w:val="BodyText"/>
        <w:ind w:left="2420"/>
      </w:pPr>
      <w:r>
        <w:t>Adapun</w:t>
      </w:r>
      <w:r>
        <w:rPr>
          <w:spacing w:val="-3"/>
        </w:rPr>
        <w:t xml:space="preserve"> </w:t>
      </w:r>
      <w:r>
        <w:t>saran</w:t>
      </w:r>
      <w:r>
        <w:rPr>
          <w:spacing w:val="-1"/>
        </w:rPr>
        <w:t xml:space="preserve"> </w:t>
      </w:r>
      <w:r>
        <w:t>yang</w:t>
      </w:r>
      <w:r>
        <w:rPr>
          <w:spacing w:val="-1"/>
        </w:rPr>
        <w:t xml:space="preserve"> </w:t>
      </w:r>
      <w:r>
        <w:t>dapat</w:t>
      </w:r>
      <w:r>
        <w:rPr>
          <w:spacing w:val="1"/>
        </w:rPr>
        <w:t xml:space="preserve"> </w:t>
      </w:r>
      <w:r>
        <w:t>penulis</w:t>
      </w:r>
      <w:r>
        <w:rPr>
          <w:spacing w:val="-1"/>
        </w:rPr>
        <w:t xml:space="preserve"> </w:t>
      </w:r>
      <w:r>
        <w:t>berikan</w:t>
      </w:r>
      <w:r>
        <w:rPr>
          <w:spacing w:val="-1"/>
        </w:rPr>
        <w:t xml:space="preserve"> </w:t>
      </w:r>
      <w:r>
        <w:t>pada</w:t>
      </w:r>
      <w:r>
        <w:rPr>
          <w:spacing w:val="-2"/>
        </w:rPr>
        <w:t xml:space="preserve"> </w:t>
      </w:r>
      <w:r>
        <w:t>penelitian</w:t>
      </w:r>
      <w:r>
        <w:rPr>
          <w:spacing w:val="-1"/>
        </w:rPr>
        <w:t xml:space="preserve"> </w:t>
      </w:r>
      <w:r>
        <w:t xml:space="preserve">ini </w:t>
      </w:r>
      <w:r>
        <w:rPr>
          <w:spacing w:val="-2"/>
        </w:rPr>
        <w:t>adalah:</w:t>
      </w:r>
    </w:p>
    <w:p w14:paraId="56925F96" w14:textId="77777777" w:rsidR="0069258A" w:rsidRDefault="0069258A">
      <w:pPr>
        <w:pStyle w:val="BodyText"/>
      </w:pPr>
    </w:p>
    <w:p w14:paraId="4869DFCC" w14:textId="77777777" w:rsidR="0069258A" w:rsidRDefault="00A309A2">
      <w:pPr>
        <w:pStyle w:val="ListParagraph"/>
        <w:numPr>
          <w:ilvl w:val="1"/>
          <w:numId w:val="1"/>
        </w:numPr>
        <w:tabs>
          <w:tab w:val="left" w:pos="2986"/>
        </w:tabs>
        <w:spacing w:line="480" w:lineRule="auto"/>
        <w:ind w:left="2986" w:right="999" w:hanging="360"/>
        <w:jc w:val="both"/>
        <w:rPr>
          <w:sz w:val="24"/>
        </w:rPr>
      </w:pPr>
      <w:r>
        <w:rPr>
          <w:sz w:val="24"/>
        </w:rPr>
        <w:t>Konsumen harus tetap berperan aktif dalam memberantas kecurangan dalam dunia usaha, dan pelaku usaha harus meningkatkan pelayanan kepada konsumen dengan memenuhi standar kesehatan, keamanan dan kenyamanan bagi konsumen, sebab kepercayaan konsumen merupakan hal terpenting dalam menjalankan usaha.</w:t>
      </w:r>
    </w:p>
    <w:p w14:paraId="20BB7AF0" w14:textId="77777777" w:rsidR="0069258A" w:rsidRDefault="00A309A2">
      <w:pPr>
        <w:pStyle w:val="ListParagraph"/>
        <w:numPr>
          <w:ilvl w:val="1"/>
          <w:numId w:val="1"/>
        </w:numPr>
        <w:tabs>
          <w:tab w:val="left" w:pos="2986"/>
        </w:tabs>
        <w:spacing w:before="1" w:line="480" w:lineRule="auto"/>
        <w:ind w:left="2986" w:right="1002" w:hanging="360"/>
        <w:jc w:val="both"/>
        <w:rPr>
          <w:sz w:val="24"/>
        </w:rPr>
      </w:pPr>
      <w:r>
        <w:rPr>
          <w:sz w:val="24"/>
        </w:rPr>
        <w:t>Perlu adanya peran dari pemerintah dengan menindak tegas setiap pelaku usaha Parfum isi ulang yang tidak memenuhi standar kesehatan dan memperketat pendaftaran usaha tersebut jika tidak memenuhi standar kesehatan konsumen.</w:t>
      </w:r>
    </w:p>
    <w:p w14:paraId="53681D42" w14:textId="77777777" w:rsidR="0069258A" w:rsidRDefault="00A309A2">
      <w:pPr>
        <w:pStyle w:val="ListParagraph"/>
        <w:numPr>
          <w:ilvl w:val="1"/>
          <w:numId w:val="1"/>
        </w:numPr>
        <w:tabs>
          <w:tab w:val="left" w:pos="2986"/>
        </w:tabs>
        <w:spacing w:line="480" w:lineRule="auto"/>
        <w:ind w:left="2986" w:right="999" w:hanging="360"/>
        <w:jc w:val="both"/>
        <w:rPr>
          <w:sz w:val="24"/>
        </w:rPr>
      </w:pPr>
      <w:r>
        <w:rPr>
          <w:sz w:val="24"/>
        </w:rPr>
        <w:t>Pelaku usaha dalam menjual produk kosmetik di fokuskan parfum isi ulang harus memperhatikan hak-hak konsumen dan kewajibannya sebagai pelaku usaha sebagaimana yang telah ditetapkan</w:t>
      </w:r>
      <w:r>
        <w:rPr>
          <w:spacing w:val="-13"/>
          <w:sz w:val="24"/>
        </w:rPr>
        <w:t xml:space="preserve"> </w:t>
      </w:r>
      <w:r>
        <w:rPr>
          <w:sz w:val="24"/>
        </w:rPr>
        <w:t>UUPK</w:t>
      </w:r>
      <w:r>
        <w:rPr>
          <w:spacing w:val="-11"/>
          <w:sz w:val="24"/>
        </w:rPr>
        <w:t xml:space="preserve"> </w:t>
      </w:r>
      <w:r>
        <w:rPr>
          <w:sz w:val="24"/>
        </w:rPr>
        <w:t>dan</w:t>
      </w:r>
      <w:r>
        <w:rPr>
          <w:spacing w:val="-13"/>
          <w:sz w:val="24"/>
        </w:rPr>
        <w:t xml:space="preserve"> </w:t>
      </w:r>
      <w:r>
        <w:rPr>
          <w:sz w:val="24"/>
        </w:rPr>
        <w:t>menerapkan</w:t>
      </w:r>
      <w:r>
        <w:rPr>
          <w:spacing w:val="-11"/>
          <w:sz w:val="24"/>
        </w:rPr>
        <w:t xml:space="preserve"> </w:t>
      </w:r>
      <w:r>
        <w:rPr>
          <w:sz w:val="24"/>
        </w:rPr>
        <w:t>iktikad</w:t>
      </w:r>
      <w:r>
        <w:rPr>
          <w:spacing w:val="-13"/>
          <w:sz w:val="24"/>
        </w:rPr>
        <w:t xml:space="preserve"> </w:t>
      </w:r>
      <w:r>
        <w:rPr>
          <w:sz w:val="24"/>
        </w:rPr>
        <w:t>baik</w:t>
      </w:r>
      <w:r>
        <w:rPr>
          <w:spacing w:val="-12"/>
          <w:sz w:val="24"/>
        </w:rPr>
        <w:t xml:space="preserve"> </w:t>
      </w:r>
      <w:r>
        <w:rPr>
          <w:sz w:val="24"/>
        </w:rPr>
        <w:t>dengan</w:t>
      </w:r>
      <w:r>
        <w:rPr>
          <w:spacing w:val="-13"/>
          <w:sz w:val="24"/>
        </w:rPr>
        <w:t xml:space="preserve"> </w:t>
      </w:r>
      <w:r>
        <w:rPr>
          <w:sz w:val="24"/>
        </w:rPr>
        <w:t>memberikan informasi yang jelas dan jujur mengenai barang yang dijualnya.</w:t>
      </w:r>
    </w:p>
    <w:sectPr w:rsidR="0069258A">
      <w:headerReference w:type="even" r:id="rId7"/>
      <w:headerReference w:type="default" r:id="rId8"/>
      <w:footerReference w:type="even" r:id="rId9"/>
      <w:footerReference w:type="default" r:id="rId10"/>
      <w:headerReference w:type="first" r:id="rId11"/>
      <w:footerReference w:type="first" r:id="rId12"/>
      <w:pgSz w:w="11910" w:h="16850"/>
      <w:pgMar w:top="960" w:right="700" w:bottom="280" w:left="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2366" w14:textId="77777777" w:rsidR="003F3B89" w:rsidRDefault="003F3B89">
      <w:r>
        <w:separator/>
      </w:r>
    </w:p>
  </w:endnote>
  <w:endnote w:type="continuationSeparator" w:id="0">
    <w:p w14:paraId="788C6DEB" w14:textId="77777777" w:rsidR="003F3B89" w:rsidRDefault="003F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AA94" w14:textId="77777777" w:rsidR="008A2963" w:rsidRDefault="008A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C880" w14:textId="77777777" w:rsidR="008A2963" w:rsidRDefault="008A2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F54F" w14:textId="77777777" w:rsidR="008A2963" w:rsidRDefault="008A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56D0" w14:textId="77777777" w:rsidR="003F3B89" w:rsidRDefault="003F3B89">
      <w:r>
        <w:separator/>
      </w:r>
    </w:p>
  </w:footnote>
  <w:footnote w:type="continuationSeparator" w:id="0">
    <w:p w14:paraId="680B58DD" w14:textId="77777777" w:rsidR="003F3B89" w:rsidRDefault="003F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E028" w14:textId="7B938220" w:rsidR="008A2963" w:rsidRDefault="008A2963">
    <w:pPr>
      <w:pStyle w:val="Header"/>
    </w:pPr>
    <w:r>
      <w:rPr>
        <w:noProof/>
      </w:rPr>
      <w:pict w14:anchorId="64F40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5211" o:spid="_x0000_s2050" type="#_x0000_t75" style="position:absolute;margin-left:0;margin-top:0;width:525.1pt;height:517.8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A54B" w14:textId="009EC70C" w:rsidR="008A2963" w:rsidRDefault="008A2963">
    <w:pPr>
      <w:pStyle w:val="Header"/>
    </w:pPr>
    <w:r>
      <w:rPr>
        <w:noProof/>
      </w:rPr>
      <w:pict w14:anchorId="6646B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5212" o:spid="_x0000_s2051" type="#_x0000_t75" style="position:absolute;margin-left:0;margin-top:0;width:525.1pt;height:517.8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330B" w14:textId="6C0250AF" w:rsidR="008A2963" w:rsidRDefault="008A2963">
    <w:pPr>
      <w:pStyle w:val="Header"/>
    </w:pPr>
    <w:r>
      <w:rPr>
        <w:noProof/>
      </w:rPr>
      <w:pict w14:anchorId="2FDE3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5210" o:spid="_x0000_s2049" type="#_x0000_t75" style="position:absolute;margin-left:0;margin-top:0;width:525.1pt;height:517.8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86D95"/>
    <w:multiLevelType w:val="hybridMultilevel"/>
    <w:tmpl w:val="7FAC8DBA"/>
    <w:lvl w:ilvl="0" w:tplc="A736486E">
      <w:start w:val="1"/>
      <w:numFmt w:val="upperLetter"/>
      <w:lvlText w:val="%1."/>
      <w:lvlJc w:val="left"/>
      <w:pPr>
        <w:ind w:left="186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392CA13C">
      <w:start w:val="1"/>
      <w:numFmt w:val="decimal"/>
      <w:lvlText w:val="%2."/>
      <w:lvlJc w:val="left"/>
      <w:pPr>
        <w:ind w:left="3022" w:hanging="37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73EC54C">
      <w:numFmt w:val="bullet"/>
      <w:lvlText w:val="•"/>
      <w:lvlJc w:val="left"/>
      <w:pPr>
        <w:ind w:left="3020" w:hanging="375"/>
      </w:pPr>
      <w:rPr>
        <w:rFonts w:hint="default"/>
        <w:lang w:val="id" w:eastAsia="en-US" w:bidi="ar-SA"/>
      </w:rPr>
    </w:lvl>
    <w:lvl w:ilvl="3" w:tplc="8D26961C">
      <w:numFmt w:val="bullet"/>
      <w:lvlText w:val="•"/>
      <w:lvlJc w:val="left"/>
      <w:pPr>
        <w:ind w:left="3955" w:hanging="375"/>
      </w:pPr>
      <w:rPr>
        <w:rFonts w:hint="default"/>
        <w:lang w:val="id" w:eastAsia="en-US" w:bidi="ar-SA"/>
      </w:rPr>
    </w:lvl>
    <w:lvl w:ilvl="4" w:tplc="24702C50">
      <w:numFmt w:val="bullet"/>
      <w:lvlText w:val="•"/>
      <w:lvlJc w:val="left"/>
      <w:pPr>
        <w:ind w:left="4891" w:hanging="375"/>
      </w:pPr>
      <w:rPr>
        <w:rFonts w:hint="default"/>
        <w:lang w:val="id" w:eastAsia="en-US" w:bidi="ar-SA"/>
      </w:rPr>
    </w:lvl>
    <w:lvl w:ilvl="5" w:tplc="4F4EB174">
      <w:numFmt w:val="bullet"/>
      <w:lvlText w:val="•"/>
      <w:lvlJc w:val="left"/>
      <w:pPr>
        <w:ind w:left="5827" w:hanging="375"/>
      </w:pPr>
      <w:rPr>
        <w:rFonts w:hint="default"/>
        <w:lang w:val="id" w:eastAsia="en-US" w:bidi="ar-SA"/>
      </w:rPr>
    </w:lvl>
    <w:lvl w:ilvl="6" w:tplc="4184DA88">
      <w:numFmt w:val="bullet"/>
      <w:lvlText w:val="•"/>
      <w:lvlJc w:val="left"/>
      <w:pPr>
        <w:ind w:left="6763" w:hanging="375"/>
      </w:pPr>
      <w:rPr>
        <w:rFonts w:hint="default"/>
        <w:lang w:val="id" w:eastAsia="en-US" w:bidi="ar-SA"/>
      </w:rPr>
    </w:lvl>
    <w:lvl w:ilvl="7" w:tplc="1C4C0234">
      <w:numFmt w:val="bullet"/>
      <w:lvlText w:val="•"/>
      <w:lvlJc w:val="left"/>
      <w:pPr>
        <w:ind w:left="7699" w:hanging="375"/>
      </w:pPr>
      <w:rPr>
        <w:rFonts w:hint="default"/>
        <w:lang w:val="id" w:eastAsia="en-US" w:bidi="ar-SA"/>
      </w:rPr>
    </w:lvl>
    <w:lvl w:ilvl="8" w:tplc="CE8683E0">
      <w:numFmt w:val="bullet"/>
      <w:lvlText w:val="•"/>
      <w:lvlJc w:val="left"/>
      <w:pPr>
        <w:ind w:left="8634" w:hanging="375"/>
      </w:pPr>
      <w:rPr>
        <w:rFonts w:hint="default"/>
        <w:lang w:val="id"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vxu+KebBLCTvuao4cXJCgovRshmwAEbVrejwlj3RLg7pDmp+pXlXrhYjC0V+sd3svy2hDaU4WaN5LnGR/W/aQ==" w:salt="q++gjFjR0+VHdHEQA1JrS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258A"/>
    <w:rsid w:val="0013014E"/>
    <w:rsid w:val="003F3B89"/>
    <w:rsid w:val="004F3063"/>
    <w:rsid w:val="00501106"/>
    <w:rsid w:val="00555272"/>
    <w:rsid w:val="0069258A"/>
    <w:rsid w:val="006C0C6E"/>
    <w:rsid w:val="007E4990"/>
    <w:rsid w:val="007F1498"/>
    <w:rsid w:val="008835A8"/>
    <w:rsid w:val="008A2963"/>
    <w:rsid w:val="00A309A2"/>
    <w:rsid w:val="00A92A18"/>
    <w:rsid w:val="00AB21F7"/>
    <w:rsid w:val="00AD45FE"/>
    <w:rsid w:val="00C06830"/>
    <w:rsid w:val="00EC6CD2"/>
    <w:rsid w:val="00F720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AE5884"/>
  <w15:docId w15:val="{E70FF407-CA83-4B98-8243-088D2B8C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2024-09-25T07:39:00Z</dcterms:created>
  <dcterms:modified xsi:type="dcterms:W3CDTF">2024-11-25T01:39:00Z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