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1" w:rsidRPr="00244A4D" w:rsidRDefault="00A10221" w:rsidP="00A10221">
      <w:pPr>
        <w:pStyle w:val="Heading2"/>
        <w:spacing w:before="254"/>
        <w:ind w:left="1314" w:firstLine="0"/>
        <w:jc w:val="center"/>
      </w:pPr>
      <w:r w:rsidRPr="00244A4D">
        <w:t>Daftar Pustaka</w:t>
      </w:r>
    </w:p>
    <w:p w:rsidR="00A10221" w:rsidRPr="00244A4D" w:rsidRDefault="00A10221" w:rsidP="00A10221">
      <w:pPr>
        <w:pStyle w:val="BodyText"/>
        <w:jc w:val="left"/>
        <w:rPr>
          <w:b/>
        </w:rPr>
      </w:pPr>
    </w:p>
    <w:p w:rsidR="00A10221" w:rsidRPr="00244A4D" w:rsidRDefault="00A10221" w:rsidP="00A10221">
      <w:pPr>
        <w:ind w:left="588"/>
        <w:rPr>
          <w:b/>
          <w:sz w:val="24"/>
          <w:szCs w:val="24"/>
        </w:rPr>
      </w:pPr>
      <w:r w:rsidRPr="00244A4D">
        <w:rPr>
          <w:b/>
          <w:sz w:val="24"/>
          <w:szCs w:val="24"/>
        </w:rPr>
        <w:t>Buku</w:t>
      </w:r>
    </w:p>
    <w:p w:rsidR="00A10221" w:rsidRPr="00244A4D" w:rsidRDefault="00A10221" w:rsidP="00A10221">
      <w:pPr>
        <w:pStyle w:val="BodyText"/>
        <w:spacing w:before="271"/>
        <w:ind w:left="588"/>
        <w:jc w:val="left"/>
      </w:pPr>
      <w:r w:rsidRPr="00244A4D">
        <w:t xml:space="preserve">Andi Zainal Abidin Farid,2014, </w:t>
      </w:r>
      <w:r w:rsidRPr="00244A4D">
        <w:rPr>
          <w:i/>
        </w:rPr>
        <w:t>Hukum Pidana 1</w:t>
      </w:r>
      <w:r w:rsidRPr="00244A4D">
        <w:t>, Sinar Grafika, Jakarta,</w:t>
      </w:r>
    </w:p>
    <w:p w:rsidR="00A10221" w:rsidRPr="00244A4D" w:rsidRDefault="00A10221" w:rsidP="00A10221">
      <w:pPr>
        <w:pStyle w:val="BodyText"/>
        <w:jc w:val="left"/>
      </w:pPr>
    </w:p>
    <w:p w:rsidR="00A10221" w:rsidRPr="00244A4D" w:rsidRDefault="00A10221" w:rsidP="00A10221">
      <w:pPr>
        <w:spacing w:line="480" w:lineRule="auto"/>
        <w:ind w:left="1440" w:right="118" w:hanging="852"/>
        <w:jc w:val="both"/>
        <w:rPr>
          <w:sz w:val="24"/>
          <w:szCs w:val="24"/>
        </w:rPr>
      </w:pPr>
      <w:r w:rsidRPr="00244A4D">
        <w:rPr>
          <w:sz w:val="24"/>
          <w:szCs w:val="24"/>
        </w:rPr>
        <w:t xml:space="preserve">Agus Rusianto. 2016. </w:t>
      </w:r>
      <w:r w:rsidRPr="00244A4D">
        <w:rPr>
          <w:i/>
          <w:sz w:val="24"/>
          <w:szCs w:val="24"/>
        </w:rPr>
        <w:t>Tindak Pidana Dan Pertanggungjawaban Pidana</w:t>
      </w:r>
      <w:r w:rsidRPr="00244A4D">
        <w:rPr>
          <w:sz w:val="24"/>
          <w:szCs w:val="24"/>
        </w:rPr>
        <w:t>. Jakarta: Prenadamedia Group</w:t>
      </w:r>
    </w:p>
    <w:p w:rsidR="00A10221" w:rsidRPr="00244A4D" w:rsidRDefault="00A10221" w:rsidP="00A10221">
      <w:pPr>
        <w:ind w:left="588"/>
        <w:rPr>
          <w:sz w:val="24"/>
          <w:szCs w:val="24"/>
        </w:rPr>
      </w:pPr>
      <w:r w:rsidRPr="00244A4D">
        <w:rPr>
          <w:sz w:val="24"/>
          <w:szCs w:val="24"/>
        </w:rPr>
        <w:t xml:space="preserve">Andi Hamzah, 2014, </w:t>
      </w:r>
      <w:r w:rsidRPr="00244A4D">
        <w:rPr>
          <w:i/>
          <w:sz w:val="24"/>
          <w:szCs w:val="24"/>
        </w:rPr>
        <w:t>Asas-Asas Hukum Pidana</w:t>
      </w:r>
      <w:r w:rsidRPr="00244A4D">
        <w:rPr>
          <w:sz w:val="24"/>
          <w:szCs w:val="24"/>
        </w:rPr>
        <w:t>, Rineka Cipta, Jakarta,</w:t>
      </w:r>
    </w:p>
    <w:p w:rsidR="00A10221" w:rsidRPr="00244A4D" w:rsidRDefault="00A10221" w:rsidP="00A10221">
      <w:pPr>
        <w:pStyle w:val="BodyText"/>
        <w:spacing w:before="1"/>
        <w:jc w:val="left"/>
      </w:pPr>
    </w:p>
    <w:p w:rsidR="00A10221" w:rsidRPr="00244A4D" w:rsidRDefault="00A10221" w:rsidP="00A10221">
      <w:pPr>
        <w:spacing w:line="480" w:lineRule="auto"/>
        <w:ind w:left="1440" w:right="116" w:hanging="852"/>
        <w:jc w:val="both"/>
        <w:rPr>
          <w:sz w:val="24"/>
          <w:szCs w:val="24"/>
        </w:rPr>
      </w:pPr>
      <w:r w:rsidRPr="00244A4D">
        <w:rPr>
          <w:sz w:val="24"/>
          <w:szCs w:val="24"/>
        </w:rPr>
        <w:t xml:space="preserve">Amir Ilyas, 2012, </w:t>
      </w:r>
      <w:r w:rsidRPr="00244A4D">
        <w:rPr>
          <w:i/>
          <w:sz w:val="24"/>
          <w:szCs w:val="24"/>
        </w:rPr>
        <w:t>Asas-Asas Hukum Pidana Memahami Tindak Pidana Dan Pertanggungjawaban Pidana Sebagai Syarat Pemidanaan</w:t>
      </w:r>
      <w:r w:rsidRPr="00244A4D">
        <w:rPr>
          <w:sz w:val="24"/>
          <w:szCs w:val="24"/>
        </w:rPr>
        <w:t>, Rangkang Education Yogyakarta &amp; Pukap-Indonesia, Yogyakarta,</w:t>
      </w:r>
    </w:p>
    <w:p w:rsidR="00A10221" w:rsidRPr="00244A4D" w:rsidRDefault="00A10221" w:rsidP="00A10221">
      <w:pPr>
        <w:spacing w:line="480" w:lineRule="auto"/>
        <w:ind w:left="1440" w:right="120" w:hanging="852"/>
        <w:jc w:val="both"/>
        <w:rPr>
          <w:sz w:val="24"/>
          <w:szCs w:val="24"/>
        </w:rPr>
      </w:pPr>
      <w:r w:rsidRPr="00244A4D">
        <w:rPr>
          <w:sz w:val="24"/>
          <w:szCs w:val="24"/>
        </w:rPr>
        <w:t>Azmi Syahputra,</w:t>
      </w:r>
      <w:r w:rsidRPr="00244A4D">
        <w:rPr>
          <w:i/>
          <w:sz w:val="24"/>
          <w:szCs w:val="24"/>
        </w:rPr>
        <w:t>”PertanggungJawaban Pidana Terhadap Tindak Pidana Penyelundupan”</w:t>
      </w:r>
      <w:r w:rsidRPr="00244A4D">
        <w:rPr>
          <w:sz w:val="24"/>
          <w:szCs w:val="24"/>
        </w:rPr>
        <w:t>, Jurnal Ilmu Hukum, Vol.3, No.3, 2012</w:t>
      </w:r>
    </w:p>
    <w:p w:rsidR="00A10221" w:rsidRPr="00244A4D" w:rsidRDefault="00A10221" w:rsidP="00A10221">
      <w:pPr>
        <w:spacing w:line="480" w:lineRule="auto"/>
        <w:ind w:left="1440" w:right="116" w:hanging="852"/>
        <w:jc w:val="both"/>
        <w:rPr>
          <w:sz w:val="24"/>
          <w:szCs w:val="24"/>
        </w:rPr>
      </w:pPr>
      <w:r w:rsidRPr="00244A4D">
        <w:rPr>
          <w:sz w:val="24"/>
          <w:szCs w:val="24"/>
        </w:rPr>
        <w:t xml:space="preserve">Adami Chazawi, 2019, </w:t>
      </w:r>
      <w:r w:rsidRPr="00244A4D">
        <w:rPr>
          <w:i/>
          <w:sz w:val="24"/>
          <w:szCs w:val="24"/>
        </w:rPr>
        <w:t>Pelajaran Hukum Pidana Bagian I</w:t>
      </w:r>
      <w:r w:rsidRPr="00244A4D">
        <w:rPr>
          <w:sz w:val="24"/>
          <w:szCs w:val="24"/>
        </w:rPr>
        <w:t>, Rajawali Perss, Jakarta, Cet. ke-9</w:t>
      </w:r>
    </w:p>
    <w:p w:rsidR="00A10221" w:rsidRPr="00244A4D" w:rsidRDefault="00A10221" w:rsidP="00A10221">
      <w:pPr>
        <w:spacing w:before="1" w:line="480" w:lineRule="auto"/>
        <w:ind w:left="588"/>
        <w:rPr>
          <w:i/>
          <w:sz w:val="24"/>
          <w:szCs w:val="24"/>
        </w:rPr>
      </w:pPr>
      <w:r w:rsidRPr="00244A4D">
        <w:rPr>
          <w:sz w:val="24"/>
          <w:szCs w:val="24"/>
        </w:rPr>
        <w:t xml:space="preserve">Andi Sofyan dan Nur Azisa, 2016, </w:t>
      </w:r>
      <w:r w:rsidRPr="00244A4D">
        <w:rPr>
          <w:i/>
          <w:sz w:val="24"/>
          <w:szCs w:val="24"/>
        </w:rPr>
        <w:t>Hukum Pidana</w:t>
      </w:r>
      <w:r w:rsidRPr="00244A4D">
        <w:rPr>
          <w:sz w:val="24"/>
          <w:szCs w:val="24"/>
        </w:rPr>
        <w:t xml:space="preserve">, Pustaka Pena Press, Makassar Adrian Sutedi, 2012, </w:t>
      </w:r>
      <w:r w:rsidRPr="00244A4D">
        <w:rPr>
          <w:i/>
          <w:sz w:val="24"/>
          <w:szCs w:val="24"/>
        </w:rPr>
        <w:t>Aspek Hukum Pidana Kepabeanan</w:t>
      </w:r>
      <w:r w:rsidRPr="00244A4D">
        <w:rPr>
          <w:sz w:val="24"/>
          <w:szCs w:val="24"/>
        </w:rPr>
        <w:t>, Sinar Grafika, Jakarta, Baharuddin Lopa, 1990,</w:t>
      </w:r>
      <w:r w:rsidRPr="00244A4D">
        <w:rPr>
          <w:i/>
          <w:sz w:val="24"/>
          <w:szCs w:val="24"/>
        </w:rPr>
        <w:t>Tindak Pidana Ekonomi Pembahasan Tindak Pidana</w:t>
      </w:r>
    </w:p>
    <w:p w:rsidR="00A10221" w:rsidRPr="00244A4D" w:rsidRDefault="00A10221" w:rsidP="00A10221">
      <w:pPr>
        <w:ind w:left="1440"/>
        <w:rPr>
          <w:sz w:val="24"/>
          <w:szCs w:val="24"/>
        </w:rPr>
      </w:pPr>
      <w:r w:rsidRPr="00244A4D">
        <w:rPr>
          <w:i/>
          <w:sz w:val="24"/>
          <w:szCs w:val="24"/>
        </w:rPr>
        <w:t>Penyelundupan</w:t>
      </w:r>
      <w:r w:rsidRPr="00244A4D">
        <w:rPr>
          <w:sz w:val="24"/>
          <w:szCs w:val="24"/>
        </w:rPr>
        <w:t>, Cetakan III, Jakarta : PT. Pradnya Paramita</w:t>
      </w:r>
    </w:p>
    <w:p w:rsidR="00A10221" w:rsidRPr="00244A4D" w:rsidRDefault="00A10221" w:rsidP="00A10221">
      <w:pPr>
        <w:pStyle w:val="BodyText"/>
        <w:jc w:val="left"/>
      </w:pPr>
    </w:p>
    <w:p w:rsidR="00A10221" w:rsidRPr="00244A4D" w:rsidRDefault="00A10221" w:rsidP="00A10221">
      <w:pPr>
        <w:spacing w:line="480" w:lineRule="auto"/>
        <w:ind w:left="1440" w:hanging="852"/>
        <w:rPr>
          <w:sz w:val="24"/>
          <w:szCs w:val="24"/>
        </w:rPr>
      </w:pPr>
      <w:r w:rsidRPr="00244A4D">
        <w:rPr>
          <w:sz w:val="24"/>
          <w:szCs w:val="24"/>
        </w:rPr>
        <w:t xml:space="preserve">Eddy O.S Hiariej, 2009, </w:t>
      </w:r>
      <w:r w:rsidRPr="00244A4D">
        <w:rPr>
          <w:i/>
          <w:sz w:val="24"/>
          <w:szCs w:val="24"/>
        </w:rPr>
        <w:t>Asas Legalitas Dan Penemuan Hukum Dalam Hukum Pidana</w:t>
      </w:r>
      <w:r w:rsidRPr="00244A4D">
        <w:rPr>
          <w:sz w:val="24"/>
          <w:szCs w:val="24"/>
        </w:rPr>
        <w:t>, Erlangga, Jakarta</w:t>
      </w:r>
    </w:p>
    <w:p w:rsidR="00A10221" w:rsidRPr="00244A4D" w:rsidRDefault="00A10221" w:rsidP="00A10221">
      <w:pPr>
        <w:pStyle w:val="BodyText"/>
        <w:spacing w:before="1" w:line="480" w:lineRule="auto"/>
        <w:ind w:left="1440" w:hanging="852"/>
        <w:jc w:val="left"/>
      </w:pPr>
      <w:r w:rsidRPr="00244A4D">
        <w:t xml:space="preserve">H.M. Rasyid Ariman &amp; Fahmi Raghib. 2015. </w:t>
      </w:r>
      <w:r w:rsidRPr="00244A4D">
        <w:rPr>
          <w:i/>
        </w:rPr>
        <w:t>Hukum Pidana</w:t>
      </w:r>
      <w:r w:rsidRPr="00244A4D">
        <w:t>. Malang: Setara Press</w:t>
      </w:r>
    </w:p>
    <w:p w:rsidR="00A10221" w:rsidRPr="00244A4D" w:rsidRDefault="00A10221" w:rsidP="00A10221">
      <w:pPr>
        <w:ind w:left="588"/>
        <w:rPr>
          <w:sz w:val="24"/>
          <w:szCs w:val="24"/>
        </w:rPr>
      </w:pPr>
      <w:r w:rsidRPr="00244A4D">
        <w:rPr>
          <w:sz w:val="24"/>
          <w:szCs w:val="24"/>
        </w:rPr>
        <w:t xml:space="preserve">Ishaq, 2018, </w:t>
      </w:r>
      <w:r w:rsidRPr="00244A4D">
        <w:rPr>
          <w:i/>
          <w:sz w:val="24"/>
          <w:szCs w:val="24"/>
        </w:rPr>
        <w:t>Pengantar Hukum Indonesia (PHI)</w:t>
      </w:r>
      <w:r w:rsidRPr="00244A4D">
        <w:rPr>
          <w:sz w:val="24"/>
          <w:szCs w:val="24"/>
        </w:rPr>
        <w:t>, Rajawali Pers, Depok, Ed.1, Cet.</w:t>
      </w:r>
    </w:p>
    <w:p w:rsidR="00A10221" w:rsidRPr="00244A4D" w:rsidRDefault="00A10221" w:rsidP="00A10221">
      <w:pPr>
        <w:pStyle w:val="BodyText"/>
        <w:jc w:val="left"/>
      </w:pPr>
    </w:p>
    <w:p w:rsidR="00A10221" w:rsidRPr="00244A4D" w:rsidRDefault="00A10221" w:rsidP="00A10221">
      <w:pPr>
        <w:pStyle w:val="BodyText"/>
        <w:ind w:left="1440"/>
        <w:jc w:val="left"/>
      </w:pPr>
      <w:r w:rsidRPr="00244A4D">
        <w:t>Ke-5</w:t>
      </w:r>
    </w:p>
    <w:p w:rsidR="00A10221" w:rsidRPr="00244A4D" w:rsidRDefault="00A10221" w:rsidP="00A10221">
      <w:pPr>
        <w:rPr>
          <w:sz w:val="24"/>
          <w:szCs w:val="24"/>
        </w:rPr>
        <w:sectPr w:rsidR="00A10221" w:rsidRPr="00244A4D" w:rsidSect="00A10221">
          <w:pgSz w:w="11907" w:h="16840" w:code="9"/>
          <w:pgMar w:top="2000" w:right="1580" w:bottom="280" w:left="1680" w:header="761" w:footer="0" w:gutter="0"/>
          <w:cols w:space="720"/>
        </w:sectPr>
      </w:pPr>
    </w:p>
    <w:p w:rsidR="00A10221" w:rsidRPr="00244A4D" w:rsidRDefault="00A10221" w:rsidP="00A10221">
      <w:pPr>
        <w:spacing w:before="249" w:line="480" w:lineRule="auto"/>
        <w:ind w:left="588"/>
        <w:rPr>
          <w:i/>
          <w:sz w:val="24"/>
          <w:szCs w:val="24"/>
        </w:rPr>
      </w:pPr>
      <w:r w:rsidRPr="00244A4D">
        <w:rPr>
          <w:sz w:val="24"/>
          <w:szCs w:val="24"/>
        </w:rPr>
        <w:lastRenderedPageBreak/>
        <w:t xml:space="preserve">Leden Marpaung, 2012, </w:t>
      </w:r>
      <w:r w:rsidRPr="00244A4D">
        <w:rPr>
          <w:i/>
          <w:sz w:val="24"/>
          <w:szCs w:val="24"/>
        </w:rPr>
        <w:t>Asas Teori Praktik Hukum Pidana</w:t>
      </w:r>
      <w:r w:rsidRPr="00244A4D">
        <w:rPr>
          <w:sz w:val="24"/>
          <w:szCs w:val="24"/>
        </w:rPr>
        <w:t xml:space="preserve">, Sinar Grafika, Jakarta Marwan Effendy. 2014. </w:t>
      </w:r>
      <w:r w:rsidRPr="00244A4D">
        <w:rPr>
          <w:i/>
          <w:sz w:val="24"/>
          <w:szCs w:val="24"/>
        </w:rPr>
        <w:t>Teori Hukum Dari Perspektif Kebijakan, Perbandingan</w:t>
      </w:r>
    </w:p>
    <w:p w:rsidR="00A10221" w:rsidRPr="00244A4D" w:rsidRDefault="00A10221" w:rsidP="00A10221">
      <w:pPr>
        <w:tabs>
          <w:tab w:val="left" w:pos="1605"/>
          <w:tab w:val="left" w:pos="2265"/>
          <w:tab w:val="left" w:pos="3231"/>
          <w:tab w:val="left" w:pos="3809"/>
          <w:tab w:val="left" w:pos="5062"/>
          <w:tab w:val="left" w:pos="6937"/>
          <w:tab w:val="left" w:pos="7834"/>
        </w:tabs>
        <w:spacing w:line="480" w:lineRule="auto"/>
        <w:ind w:left="588" w:right="116" w:firstLine="852"/>
        <w:rPr>
          <w:i/>
          <w:sz w:val="24"/>
          <w:szCs w:val="24"/>
        </w:rPr>
      </w:pPr>
      <w:r w:rsidRPr="00244A4D">
        <w:rPr>
          <w:i/>
          <w:sz w:val="24"/>
          <w:szCs w:val="24"/>
        </w:rPr>
        <w:t>Dan Harmonisasi Hukum Pidana</w:t>
      </w:r>
      <w:r w:rsidRPr="00244A4D">
        <w:rPr>
          <w:sz w:val="24"/>
          <w:szCs w:val="24"/>
        </w:rPr>
        <w:t>. Jakarta: Gaung Persada Press Group Noverdi</w:t>
      </w:r>
      <w:r w:rsidRPr="00244A4D">
        <w:rPr>
          <w:sz w:val="24"/>
          <w:szCs w:val="24"/>
        </w:rPr>
        <w:tab/>
        <w:t>Puja</w:t>
      </w:r>
      <w:r w:rsidRPr="00244A4D">
        <w:rPr>
          <w:sz w:val="24"/>
          <w:szCs w:val="24"/>
        </w:rPr>
        <w:tab/>
        <w:t>Saputra</w:t>
      </w:r>
      <w:r w:rsidRPr="00244A4D">
        <w:rPr>
          <w:sz w:val="24"/>
          <w:szCs w:val="24"/>
        </w:rPr>
        <w:tab/>
        <w:t>dan</w:t>
      </w:r>
      <w:r w:rsidRPr="00244A4D">
        <w:rPr>
          <w:sz w:val="24"/>
          <w:szCs w:val="24"/>
        </w:rPr>
        <w:tab/>
        <w:t>Marfuatul,</w:t>
      </w:r>
      <w:r w:rsidRPr="00244A4D">
        <w:rPr>
          <w:sz w:val="24"/>
          <w:szCs w:val="24"/>
        </w:rPr>
        <w:tab/>
      </w:r>
      <w:r w:rsidRPr="00244A4D">
        <w:rPr>
          <w:i/>
          <w:sz w:val="24"/>
          <w:szCs w:val="24"/>
        </w:rPr>
        <w:t>Penanggulangan</w:t>
      </w:r>
      <w:r w:rsidRPr="00244A4D">
        <w:rPr>
          <w:i/>
          <w:sz w:val="24"/>
          <w:szCs w:val="24"/>
        </w:rPr>
        <w:tab/>
        <w:t>Tindak</w:t>
      </w:r>
      <w:r w:rsidRPr="00244A4D">
        <w:rPr>
          <w:i/>
          <w:sz w:val="24"/>
          <w:szCs w:val="24"/>
        </w:rPr>
        <w:tab/>
        <w:t>Pidana</w:t>
      </w:r>
    </w:p>
    <w:p w:rsidR="00A10221" w:rsidRPr="00244A4D" w:rsidRDefault="00A10221" w:rsidP="00A10221">
      <w:pPr>
        <w:pStyle w:val="BodyText"/>
        <w:spacing w:line="480" w:lineRule="auto"/>
        <w:ind w:left="1440"/>
        <w:jc w:val="left"/>
      </w:pPr>
      <w:r w:rsidRPr="00244A4D">
        <w:rPr>
          <w:i/>
        </w:rPr>
        <w:t>Kepabeanan</w:t>
      </w:r>
      <w:r w:rsidRPr="00244A4D">
        <w:t>, Bidan Hukum, Info Singkat, Kajian Singkat Terhadap Isu Aktual Dan Stragis, Vol.XII,No.15/1/Puslit/agustus/2020</w:t>
      </w:r>
    </w:p>
    <w:p w:rsidR="00A10221" w:rsidRPr="00244A4D" w:rsidRDefault="00A10221" w:rsidP="00A10221">
      <w:pPr>
        <w:spacing w:before="1" w:line="480" w:lineRule="auto"/>
        <w:ind w:left="1440" w:hanging="852"/>
        <w:rPr>
          <w:sz w:val="24"/>
          <w:szCs w:val="24"/>
        </w:rPr>
      </w:pPr>
      <w:r w:rsidRPr="00244A4D">
        <w:rPr>
          <w:sz w:val="24"/>
          <w:szCs w:val="24"/>
        </w:rPr>
        <w:t xml:space="preserve">Yudi Wibowo Sukinto, 2015, </w:t>
      </w:r>
      <w:r w:rsidRPr="00244A4D">
        <w:rPr>
          <w:i/>
          <w:sz w:val="24"/>
          <w:szCs w:val="24"/>
        </w:rPr>
        <w:t>Tindak Pidana Penyelundupan di Indonesia</w:t>
      </w:r>
      <w:r w:rsidRPr="00244A4D">
        <w:rPr>
          <w:sz w:val="24"/>
          <w:szCs w:val="24"/>
        </w:rPr>
        <w:t>: Kebijakan Formulasi Sanksi Pidana, Sinar Grafika, Jakarta</w:t>
      </w:r>
    </w:p>
    <w:p w:rsidR="00A10221" w:rsidRPr="00244A4D" w:rsidRDefault="00A10221" w:rsidP="00A10221">
      <w:pPr>
        <w:pStyle w:val="Heading2"/>
        <w:spacing w:before="5"/>
        <w:ind w:left="588" w:firstLine="0"/>
        <w:jc w:val="left"/>
      </w:pPr>
      <w:r w:rsidRPr="00244A4D">
        <w:t>Undang-Undang</w:t>
      </w:r>
    </w:p>
    <w:p w:rsidR="00A10221" w:rsidRPr="00244A4D" w:rsidRDefault="00A10221" w:rsidP="00A10221">
      <w:pPr>
        <w:pStyle w:val="BodyText"/>
        <w:spacing w:before="271"/>
        <w:ind w:left="588"/>
        <w:jc w:val="left"/>
      </w:pPr>
      <w:r w:rsidRPr="00244A4D">
        <w:t>Undang-Undang Nomor 18 Tahun 2012 tentang Pangan</w:t>
      </w:r>
    </w:p>
    <w:p w:rsidR="00A10221" w:rsidRPr="00244A4D" w:rsidRDefault="00A10221" w:rsidP="00A10221">
      <w:pPr>
        <w:pStyle w:val="BodyText"/>
        <w:jc w:val="left"/>
      </w:pPr>
    </w:p>
    <w:p w:rsidR="00A10221" w:rsidRPr="00244A4D" w:rsidRDefault="00A10221" w:rsidP="00A10221">
      <w:pPr>
        <w:pStyle w:val="BodyText"/>
        <w:ind w:left="588"/>
        <w:jc w:val="left"/>
      </w:pPr>
      <w:r w:rsidRPr="00244A4D">
        <w:t>Undang-Undang Nomor 1 Tahun 1946 tentang Peraturan Hukum Pidana .</w:t>
      </w:r>
    </w:p>
    <w:p w:rsidR="00A10221" w:rsidRPr="00244A4D" w:rsidRDefault="00A10221" w:rsidP="00A10221">
      <w:pPr>
        <w:pStyle w:val="BodyText"/>
        <w:jc w:val="left"/>
      </w:pPr>
    </w:p>
    <w:p w:rsidR="00A10221" w:rsidRPr="00244A4D" w:rsidRDefault="00A10221" w:rsidP="00A10221">
      <w:pPr>
        <w:pStyle w:val="BodyText"/>
        <w:spacing w:line="480" w:lineRule="auto"/>
        <w:ind w:left="1440" w:right="122" w:hanging="852"/>
      </w:pPr>
      <w:r w:rsidRPr="00244A4D">
        <w:t>Undang-Undang Nomor 18 Tahun 2012 tentang Pangan (Lembaran Negara Republik Indonesia Tahun 2012 Nomor 227, Tambahan Lembaran Negara Republik Indonesia Nomor 5360).</w:t>
      </w:r>
    </w:p>
    <w:p w:rsidR="00A10221" w:rsidRPr="00244A4D" w:rsidRDefault="00A10221" w:rsidP="00A10221">
      <w:pPr>
        <w:pStyle w:val="BodyText"/>
        <w:spacing w:before="1" w:line="480" w:lineRule="auto"/>
        <w:ind w:left="1440" w:right="122" w:hanging="852"/>
      </w:pPr>
      <w:r w:rsidRPr="00244A4D">
        <w:t>Undang-Undang Nomor 7 Tahun 2014 tentang Perdagangan (Lembran Negara Republik Indonesia Tahun 2014 Nomor 45, Tambahan Lembaran Negara Republik Indoensia Nomor 5512).</w:t>
      </w:r>
    </w:p>
    <w:p w:rsidR="00A10221" w:rsidRPr="00244A4D" w:rsidRDefault="00A10221" w:rsidP="00A10221">
      <w:pPr>
        <w:pStyle w:val="BodyText"/>
        <w:spacing w:line="480" w:lineRule="auto"/>
        <w:ind w:left="1440" w:right="120" w:hanging="852"/>
      </w:pPr>
      <w:r w:rsidRPr="00244A4D">
        <w:t>Peraturan Pemerintah Nomor 17 Tahun 2015 tentang Ketahanan Pangan dan Gizi (Lembaran Negara Republik Indonesia Tahun 2015 Nomor 60, Tambahan Lembaran Negara Republik Indonesia Nomor 5680).</w:t>
      </w:r>
    </w:p>
    <w:p w:rsidR="00A10221" w:rsidRDefault="00A10221" w:rsidP="00A10221">
      <w:pPr>
        <w:pStyle w:val="BodyText"/>
        <w:spacing w:before="1" w:line="480" w:lineRule="auto"/>
        <w:ind w:left="1440" w:right="122" w:hanging="852"/>
      </w:pPr>
      <w:r w:rsidRPr="00244A4D">
        <w:t>Peraturan Presiden Nomor 71 Tahun 2015 tentang Penetapan dan Penyimpanan Barang Kebutuhan Pokok dan Barang Penting (Lembaran Negara Republik Indonesia Tahun 2015 Nomor 138).</w:t>
      </w:r>
    </w:p>
    <w:p w:rsidR="0063331B" w:rsidRPr="00A10221" w:rsidRDefault="00A10221" w:rsidP="00A10221">
      <w:pPr>
        <w:pStyle w:val="BodyText"/>
        <w:spacing w:before="1" w:line="480" w:lineRule="auto"/>
        <w:ind w:left="1440" w:right="122" w:hanging="852"/>
      </w:pPr>
      <w:bookmarkStart w:id="0" w:name="_GoBack"/>
      <w:bookmarkEnd w:id="0"/>
      <w:r w:rsidRPr="00244A4D">
        <w:t>Kamus Besar Bahasa Indonesia, Edisi 3.Cet 2, Departemen Pendidikan Dan Kebudayaan, 2002,</w:t>
      </w:r>
    </w:p>
    <w:sectPr w:rsidR="0063331B" w:rsidRPr="00A10221" w:rsidSect="00A10221">
      <w:pgSz w:w="11907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1BB"/>
    <w:multiLevelType w:val="hybridMultilevel"/>
    <w:tmpl w:val="BCA6D848"/>
    <w:lvl w:ilvl="0" w:tplc="DD966DE6">
      <w:start w:val="1"/>
      <w:numFmt w:val="upperLetter"/>
      <w:lvlText w:val="%1."/>
      <w:lvlJc w:val="left"/>
      <w:pPr>
        <w:ind w:left="881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A2A23BE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834C586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 w:tplc="47CA6402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 w:tplc="020E1AC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 w:tplc="305E0EB0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 w:tplc="F698B51E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 w:tplc="D4820882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 w:tplc="DC8C9424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CD"/>
    <w:rsid w:val="0063331B"/>
    <w:rsid w:val="00A10221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3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A35CD"/>
    <w:pPr>
      <w:spacing w:before="254"/>
      <w:ind w:left="3063" w:right="1741" w:firstLin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35CD"/>
    <w:pPr>
      <w:ind w:left="828" w:hanging="24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35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A35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A35CD"/>
    <w:pPr>
      <w:ind w:left="1308" w:hanging="360"/>
      <w:jc w:val="both"/>
    </w:pPr>
  </w:style>
  <w:style w:type="paragraph" w:styleId="BodyText">
    <w:name w:val="Body Text"/>
    <w:basedOn w:val="Normal"/>
    <w:link w:val="BodyTextChar"/>
    <w:uiPriority w:val="1"/>
    <w:qFormat/>
    <w:rsid w:val="00A10221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022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35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A35CD"/>
    <w:pPr>
      <w:spacing w:before="254"/>
      <w:ind w:left="3063" w:right="1741" w:firstLin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35CD"/>
    <w:pPr>
      <w:ind w:left="828" w:hanging="24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35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A35C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A35CD"/>
    <w:pPr>
      <w:ind w:left="1308" w:hanging="360"/>
      <w:jc w:val="both"/>
    </w:pPr>
  </w:style>
  <w:style w:type="paragraph" w:styleId="BodyText">
    <w:name w:val="Body Text"/>
    <w:basedOn w:val="Normal"/>
    <w:link w:val="BodyTextChar"/>
    <w:uiPriority w:val="1"/>
    <w:qFormat/>
    <w:rsid w:val="00A10221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022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2024-10-21T06:58:00Z</dcterms:created>
  <dcterms:modified xsi:type="dcterms:W3CDTF">2024-10-21T06:58:00Z</dcterms:modified>
</cp:coreProperties>
</file>