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8" w:rsidRPr="002F5C84" w:rsidRDefault="00EE1B88" w:rsidP="00EE1B88">
      <w:pPr>
        <w:pStyle w:val="Heading1"/>
      </w:pPr>
      <w:bookmarkStart w:id="0" w:name="_Toc172130937"/>
      <w:r w:rsidRPr="002F5C84">
        <w:t>DAFTAR PUSTAKA</w:t>
      </w:r>
      <w:bookmarkEnd w:id="0"/>
    </w:p>
    <w:p w:rsidR="00EE1B88" w:rsidRDefault="00EE1B88" w:rsidP="00EE1B88">
      <w:pPr>
        <w:pStyle w:val="BodyText"/>
        <w:rPr>
          <w:b/>
          <w:sz w:val="23"/>
        </w:rPr>
      </w:pPr>
    </w:p>
    <w:p w:rsidR="00EE1B88" w:rsidRDefault="00EE1B88" w:rsidP="00EE1B88">
      <w:pPr>
        <w:spacing w:line="480" w:lineRule="auto"/>
        <w:ind w:left="720" w:hanging="720"/>
        <w:jc w:val="both"/>
        <w:rPr>
          <w:sz w:val="24"/>
        </w:rPr>
      </w:pPr>
      <w:r>
        <w:rPr>
          <w:sz w:val="24"/>
        </w:rPr>
        <w:t>Ahda, H. (2018). Pengaruh Strategi Pemecahan Masalah Polya Terhadap Hasil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Belajar Matematika Siswa. </w:t>
      </w:r>
      <w:r>
        <w:rPr>
          <w:i/>
          <w:sz w:val="24"/>
        </w:rPr>
        <w:t>Jurnal Penelitian Pendidikan MIPA</w:t>
      </w:r>
      <w:r>
        <w:rPr>
          <w:sz w:val="24"/>
        </w:rPr>
        <w:t xml:space="preserve">, </w:t>
      </w:r>
      <w:r>
        <w:rPr>
          <w:i/>
          <w:sz w:val="24"/>
        </w:rPr>
        <w:t>197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197–201.</w:t>
      </w:r>
    </w:p>
    <w:p w:rsidR="00EE1B88" w:rsidRPr="00D579FE" w:rsidRDefault="00EE1B88" w:rsidP="00EE1B88">
      <w:pPr>
        <w:pStyle w:val="BodyText"/>
        <w:spacing w:line="480" w:lineRule="auto"/>
        <w:ind w:left="720" w:hanging="720"/>
        <w:jc w:val="both"/>
      </w:pPr>
      <w:r>
        <w:rPr>
          <w:color w:val="212121"/>
        </w:rPr>
        <w:t>Arimurti,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I.,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Praja,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S.,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Muhtarulloh,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F.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(2019).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Desain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Modul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Berbasis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Model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Discovery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Learning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Kemampuan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Pemahaman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Matematis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Siswa.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Mosharafa:Jurnal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Pendidikan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Matematika,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8(3),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459–470.</w:t>
      </w:r>
      <w:r>
        <w:rPr>
          <w:color w:val="212121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https://doi.org/10.31980/mosharafa.v8i3.459</w:t>
        </w:r>
      </w:hyperlink>
    </w:p>
    <w:p w:rsidR="00EE1B88" w:rsidRDefault="00EE1B88" w:rsidP="00EE1B88">
      <w:pPr>
        <w:pStyle w:val="BodyText"/>
        <w:spacing w:line="480" w:lineRule="auto"/>
        <w:ind w:left="720" w:hanging="720"/>
        <w:jc w:val="both"/>
      </w:pPr>
      <w:r>
        <w:rPr>
          <w:color w:val="212121"/>
        </w:rPr>
        <w:t>As’ari,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R.,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Tohir,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Valentino,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E.,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Imron,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Z.,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Taufiq,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(2017).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Matematika: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buku guru SMP/MTs kelas VIII. Jakarta: Kementerian Pendidikan 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Kebudayaan.</w:t>
      </w:r>
    </w:p>
    <w:p w:rsidR="00EE1B88" w:rsidRPr="00D579FE" w:rsidRDefault="00EE1B88" w:rsidP="00EE1B88">
      <w:pPr>
        <w:pStyle w:val="BodyText"/>
        <w:spacing w:line="480" w:lineRule="auto"/>
        <w:ind w:left="720" w:hanging="720"/>
        <w:jc w:val="both"/>
      </w:pPr>
      <w:r>
        <w:rPr>
          <w:color w:val="212121"/>
        </w:rPr>
        <w:t>Azzahra, R. H., Pujiastuti, H., Sultan, U., dan Tirtayasa, A. (2020). Pada Materi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Sistem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Persamaan Linear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Tiga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Variabel. 4(1),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153–162</w:t>
      </w:r>
    </w:p>
    <w:p w:rsidR="00EE1B88" w:rsidRDefault="00EE1B88" w:rsidP="00EE1B88">
      <w:pPr>
        <w:pStyle w:val="BodyText"/>
        <w:spacing w:line="480" w:lineRule="auto"/>
        <w:ind w:left="720" w:hanging="720"/>
        <w:jc w:val="both"/>
        <w:rPr>
          <w:color w:val="0000FF"/>
          <w:u w:val="single" w:color="0000FF"/>
        </w:rPr>
      </w:pPr>
      <w:r>
        <w:rPr>
          <w:color w:val="212121"/>
        </w:rPr>
        <w:t>Gunawan, A. (2018). Analisis Kesalahan dalam Menyelesaikan Soal Cerita 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Mata Pelajaran Matematika Siswa Kelas V SDN 59 Kota Bengkulu. Jurnal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PGSD,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9(2), 216–225. </w:t>
      </w:r>
      <w:hyperlink r:id="rId7">
        <w:r>
          <w:rPr>
            <w:color w:val="0000FF"/>
            <w:u w:val="single" w:color="0000FF"/>
          </w:rPr>
          <w:t>https://doi.org/10.33369/pgsd.9.2.216-225</w:t>
        </w:r>
      </w:hyperlink>
    </w:p>
    <w:p w:rsidR="00EE1B88" w:rsidRDefault="00EE1B88" w:rsidP="00EE1B88">
      <w:pPr>
        <w:pStyle w:val="BodyText"/>
        <w:spacing w:line="480" w:lineRule="auto"/>
        <w:ind w:left="720" w:hanging="720"/>
        <w:jc w:val="both"/>
      </w:pPr>
      <w:r>
        <w:t>Harahap, A. N., &amp; Nurdalilah, N. (2020). Upaya Peningkatan Kemampuan</w:t>
      </w:r>
      <w:r>
        <w:rPr>
          <w:spacing w:val="1"/>
        </w:rPr>
        <w:t xml:space="preserve"> </w:t>
      </w:r>
      <w:r>
        <w:t>Pemecahan Masalah Matematika Siswa melalui Penerapan Metode Inquiry.</w:t>
      </w:r>
      <w:r>
        <w:rPr>
          <w:spacing w:val="-57"/>
        </w:rPr>
        <w:t xml:space="preserve"> </w:t>
      </w:r>
      <w:r>
        <w:rPr>
          <w:i/>
        </w:rPr>
        <w:t>Logaritma : Jurnal Ilmu-Ilmu Pendidikan Dan Sains</w:t>
      </w:r>
      <w:r>
        <w:t xml:space="preserve">, </w:t>
      </w:r>
      <w:r>
        <w:rPr>
          <w:i/>
        </w:rPr>
        <w:t>8</w:t>
      </w:r>
      <w:r>
        <w:t>(01), 67–78.</w:t>
      </w:r>
      <w:r>
        <w:rPr>
          <w:spacing w:val="1"/>
        </w:rPr>
        <w:t xml:space="preserve"> </w:t>
      </w:r>
      <w:hyperlink r:id="rId8" w:history="1">
        <w:r w:rsidRPr="00BA39F1">
          <w:rPr>
            <w:rStyle w:val="Hyperlink"/>
          </w:rPr>
          <w:t>https://doi.org/10.24952/logaritma.v8i01.2409</w:t>
        </w:r>
      </w:hyperlink>
    </w:p>
    <w:p w:rsidR="00EE1B88" w:rsidRDefault="00EE1B88" w:rsidP="00EE1B88">
      <w:pPr>
        <w:pStyle w:val="BodyText"/>
        <w:spacing w:line="480" w:lineRule="auto"/>
        <w:ind w:left="720" w:hanging="720"/>
        <w:jc w:val="both"/>
        <w:sectPr w:rsidR="00EE1B88" w:rsidSect="00204FFC">
          <w:headerReference w:type="default" r:id="rId9"/>
          <w:footerReference w:type="default" r:id="rId10"/>
          <w:pgSz w:w="11907" w:h="16840" w:code="9"/>
          <w:pgMar w:top="2268" w:right="1701" w:bottom="1701" w:left="2268" w:header="1134" w:footer="604" w:gutter="0"/>
          <w:cols w:space="720"/>
        </w:sectPr>
      </w:pPr>
      <w:r>
        <w:t>Hasanah, N., Mardiyana, &amp; Sutrima. (2013). Analisis proses berpikir siswa dalam</w:t>
      </w:r>
      <w:r>
        <w:rPr>
          <w:spacing w:val="-57"/>
        </w:rPr>
        <w:t xml:space="preserve"> </w:t>
      </w:r>
      <w:r>
        <w:t>memecahkan masalah matematika ditinjau dari tipe kepribadian extrovert-</w:t>
      </w:r>
    </w:p>
    <w:p w:rsidR="00EE1B88" w:rsidRDefault="00EE1B88" w:rsidP="00EE1B88">
      <w:pPr>
        <w:pStyle w:val="BodyText"/>
        <w:spacing w:line="480" w:lineRule="auto"/>
        <w:ind w:firstLine="720"/>
        <w:jc w:val="both"/>
      </w:pPr>
      <w:r>
        <w:lastRenderedPageBreak/>
        <w:t>introvert</w:t>
      </w:r>
      <w:r>
        <w:rPr>
          <w:spacing w:val="-1"/>
        </w:rPr>
        <w:t xml:space="preserve"> </w:t>
      </w:r>
      <w:r>
        <w:t>di mts.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Pembelajaran Matematika</w:t>
      </w:r>
      <w:r>
        <w:t xml:space="preserve">, </w:t>
      </w:r>
      <w:r>
        <w:rPr>
          <w:i/>
        </w:rPr>
        <w:t>1</w:t>
      </w:r>
      <w:r>
        <w:t>(4),</w:t>
      </w:r>
      <w:r>
        <w:rPr>
          <w:spacing w:val="-1"/>
        </w:rPr>
        <w:t xml:space="preserve"> </w:t>
      </w:r>
      <w:r>
        <w:t>422–434.</w:t>
      </w:r>
    </w:p>
    <w:p w:rsidR="00EE1B88" w:rsidRPr="001148AB" w:rsidRDefault="00EE1B88" w:rsidP="00EE1B88">
      <w:pPr>
        <w:pStyle w:val="BodyText"/>
        <w:spacing w:line="480" w:lineRule="auto"/>
        <w:ind w:left="720" w:hanging="720"/>
        <w:jc w:val="both"/>
      </w:pPr>
      <w:r>
        <w:rPr>
          <w:color w:val="212121"/>
        </w:rPr>
        <w:t>Hendriana,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H.,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Rohaeti,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E.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E.,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Sumarmo,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U.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(2017).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Hard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Soft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Matematik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Siswa. Bandung: Refika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Aditama.</w:t>
      </w:r>
    </w:p>
    <w:p w:rsidR="00EE1B88" w:rsidRDefault="00EE1B88" w:rsidP="00EE1B88">
      <w:pPr>
        <w:spacing w:line="480" w:lineRule="auto"/>
        <w:ind w:left="720" w:hanging="720"/>
        <w:jc w:val="both"/>
        <w:rPr>
          <w:sz w:val="24"/>
        </w:rPr>
      </w:pPr>
      <w:r>
        <w:rPr>
          <w:sz w:val="24"/>
        </w:rPr>
        <w:t xml:space="preserve">Kadir. (n.d.). </w:t>
      </w:r>
      <w:r>
        <w:rPr>
          <w:i/>
          <w:sz w:val="24"/>
        </w:rPr>
        <w:t>Kisi-kisi dan Tes Pemecahan Masalah Mat, Komunikasi Mat,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skala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Keterampilan Sosial</w:t>
      </w:r>
      <w:r>
        <w:rPr>
          <w:sz w:val="24"/>
        </w:rPr>
        <w:t>. 1–30.</w:t>
      </w:r>
    </w:p>
    <w:p w:rsidR="00EE1B88" w:rsidRPr="00B51AF8" w:rsidRDefault="00EE1B88" w:rsidP="00EE1B88">
      <w:pPr>
        <w:spacing w:line="480" w:lineRule="auto"/>
        <w:ind w:left="720" w:hanging="720"/>
        <w:jc w:val="both"/>
        <w:rPr>
          <w:sz w:val="24"/>
        </w:rPr>
      </w:pPr>
      <w:r>
        <w:t>Lia,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matematika</w:t>
      </w:r>
      <w:r>
        <w:rPr>
          <w:spacing w:val="-2"/>
        </w:rPr>
        <w:t xml:space="preserve"> </w:t>
      </w:r>
      <w:r>
        <w:t>ditinjau dari tipe kepribadian ekstrovert dan introvert pada siswa kelas VII SMP</w:t>
      </w:r>
      <w:r>
        <w:rPr>
          <w:spacing w:val="-57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Satap 15 Bulu Kumba.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 xml:space="preserve">, </w:t>
      </w:r>
      <w:r>
        <w:rPr>
          <w:i/>
        </w:rPr>
        <w:t>8.5.2017</w:t>
      </w:r>
      <w:r>
        <w:t>, 2003–2005.</w:t>
      </w:r>
    </w:p>
    <w:p w:rsidR="00EE1B88" w:rsidRPr="001148AB" w:rsidRDefault="00EE1B88" w:rsidP="00EE1B88">
      <w:pPr>
        <w:pStyle w:val="BodyText"/>
        <w:spacing w:line="480" w:lineRule="auto"/>
        <w:ind w:left="720" w:hanging="720"/>
        <w:jc w:val="both"/>
      </w:pPr>
      <w:r>
        <w:t>Majiid,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(2020).</w:t>
      </w:r>
      <w:r>
        <w:rPr>
          <w:spacing w:val="-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Pemecahan</w:t>
      </w:r>
      <w:r>
        <w:rPr>
          <w:spacing w:val="-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 xml:space="preserve">Siswa.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Pendidikan</w:t>
      </w:r>
      <w:r>
        <w:rPr>
          <w:i/>
          <w:spacing w:val="-1"/>
        </w:rPr>
        <w:t xml:space="preserve"> </w:t>
      </w:r>
      <w:r>
        <w:rPr>
          <w:i/>
        </w:rPr>
        <w:t>Dasar</w:t>
      </w:r>
      <w:r>
        <w:t xml:space="preserve">, </w:t>
      </w:r>
      <w:r>
        <w:rPr>
          <w:i/>
        </w:rPr>
        <w:t>9</w:t>
      </w:r>
      <w:r>
        <w:t>(1),</w:t>
      </w:r>
      <w:r>
        <w:rPr>
          <w:spacing w:val="-1"/>
        </w:rPr>
        <w:t xml:space="preserve"> </w:t>
      </w:r>
      <w:r>
        <w:t>35–46.</w:t>
      </w:r>
    </w:p>
    <w:p w:rsidR="00EE1B88" w:rsidRPr="001148AB" w:rsidRDefault="00EE1B88" w:rsidP="00EE1B88">
      <w:pPr>
        <w:pStyle w:val="BodyText"/>
        <w:spacing w:line="480" w:lineRule="auto"/>
        <w:ind w:left="720" w:hanging="720"/>
        <w:jc w:val="both"/>
      </w:pPr>
      <w:r>
        <w:rPr>
          <w:color w:val="212121"/>
        </w:rPr>
        <w:t>Polya,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G.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(1973).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How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solve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it: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aspect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mathematical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method,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2nd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ed.</w:t>
      </w:r>
      <w:r>
        <w:t xml:space="preserve"> </w:t>
      </w:r>
      <w:r>
        <w:rPr>
          <w:color w:val="212121"/>
        </w:rPr>
        <w:t>Pricenton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Press.</w:t>
      </w:r>
    </w:p>
    <w:p w:rsidR="00EE1B88" w:rsidRDefault="00EE1B88" w:rsidP="00EE1B88">
      <w:pPr>
        <w:spacing w:line="480" w:lineRule="auto"/>
        <w:ind w:left="720" w:hanging="720"/>
        <w:jc w:val="both"/>
        <w:rPr>
          <w:sz w:val="24"/>
        </w:rPr>
      </w:pPr>
      <w:r>
        <w:rPr>
          <w:sz w:val="24"/>
        </w:rPr>
        <w:t>Purnamasari, I., &amp; Setiawan, W. (2019). Analisis Kemampuan Pemecahan</w:t>
      </w:r>
      <w:r>
        <w:rPr>
          <w:spacing w:val="-57"/>
          <w:sz w:val="24"/>
        </w:rPr>
        <w:t xml:space="preserve"> </w:t>
      </w:r>
      <w:r>
        <w:rPr>
          <w:sz w:val="24"/>
        </w:rPr>
        <w:t>Masalah Matematis Siswa SMP pada Materi SPLDV Ditinjau dari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Kemampuan Awal Matematika. </w:t>
      </w:r>
      <w:r>
        <w:rPr>
          <w:i/>
          <w:sz w:val="24"/>
        </w:rPr>
        <w:t>Journal of Medives :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Mathematics Education IKIP Veteran Semarang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(2), 207.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https://doi.org/10.31331/medivesveteran.v3i2.771</w:t>
      </w:r>
    </w:p>
    <w:p w:rsidR="00EE1B88" w:rsidRDefault="00EE1B88" w:rsidP="00EE1B88">
      <w:pPr>
        <w:pStyle w:val="BodyText"/>
        <w:spacing w:line="480" w:lineRule="auto"/>
        <w:ind w:left="720" w:hanging="720"/>
        <w:jc w:val="both"/>
      </w:pPr>
      <w:r>
        <w:t>Rozalina, S., &amp; Nurdalilah, N. (2022). Analisis kemampuan pemecahan masalah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menerapkan</w:t>
      </w:r>
      <w:r>
        <w:rPr>
          <w:spacing w:val="-1"/>
        </w:rPr>
        <w:t xml:space="preserve"> </w:t>
      </w:r>
      <w:r>
        <w:t>blended learning</w:t>
      </w:r>
      <w:r>
        <w:rPr>
          <w:spacing w:val="-1"/>
        </w:rPr>
        <w:t xml:space="preserve"> </w:t>
      </w:r>
      <w:r>
        <w:t>berbantuan</w:t>
      </w:r>
      <w:r>
        <w:rPr>
          <w:spacing w:val="1"/>
        </w:rPr>
        <w:t xml:space="preserve"> </w:t>
      </w:r>
      <w:r>
        <w:t>edmodo.</w:t>
      </w:r>
      <w:r>
        <w:rPr>
          <w:spacing w:val="2"/>
        </w:rPr>
        <w:t xml:space="preserve">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Didactic Mathematics</w:t>
      </w:r>
      <w:r>
        <w:t xml:space="preserve">, </w:t>
      </w:r>
      <w:r>
        <w:rPr>
          <w:i/>
        </w:rPr>
        <w:t>3</w:t>
      </w:r>
      <w:r>
        <w:t>(3), 143–150.</w:t>
      </w:r>
      <w:r>
        <w:rPr>
          <w:spacing w:val="1"/>
        </w:rPr>
        <w:t xml:space="preserve"> </w:t>
      </w:r>
      <w:r>
        <w:t>https://doi.org/10.34007/jdm.v3i3.1577</w:t>
      </w:r>
    </w:p>
    <w:p w:rsidR="00EE1B88" w:rsidRDefault="00EE1B88" w:rsidP="00EE1B88">
      <w:pPr>
        <w:spacing w:line="480" w:lineRule="auto"/>
        <w:ind w:left="720" w:hanging="720"/>
        <w:jc w:val="both"/>
        <w:rPr>
          <w:sz w:val="24"/>
        </w:rPr>
      </w:pPr>
      <w:r>
        <w:rPr>
          <w:sz w:val="24"/>
        </w:rPr>
        <w:t xml:space="preserve">Subehana. (2022). </w:t>
      </w:r>
      <w:r>
        <w:rPr>
          <w:i/>
          <w:sz w:val="24"/>
        </w:rPr>
        <w:t>Kemampuan Pemecahan Masalah Soal Cerita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Materi Sistem Persamaan Linear Dua Variabel Kelas Viii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Tahapan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Polya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Smp Negeri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 Parepare</w:t>
      </w:r>
      <w:r>
        <w:rPr>
          <w:sz w:val="24"/>
        </w:rPr>
        <w:t>.</w:t>
      </w:r>
    </w:p>
    <w:p w:rsidR="00EE1B88" w:rsidRDefault="00EE1B88" w:rsidP="00EE1B88">
      <w:pPr>
        <w:pStyle w:val="BodyText"/>
        <w:spacing w:line="480" w:lineRule="auto"/>
        <w:ind w:left="720" w:hanging="720"/>
        <w:jc w:val="both"/>
      </w:pPr>
      <w:r>
        <w:lastRenderedPageBreak/>
        <w:t>Sugiono 2019, (Rizki, H). Analisis Kemampuan Pemecahan Masalah Matematis</w:t>
      </w:r>
      <w:r>
        <w:rPr>
          <w:spacing w:val="1"/>
        </w:rPr>
        <w:t xml:space="preserve"> </w:t>
      </w:r>
      <w:r>
        <w:t>Siswa</w:t>
      </w:r>
      <w:r>
        <w:rPr>
          <w:spacing w:val="-5"/>
        </w:rPr>
        <w:t xml:space="preserve"> </w:t>
      </w:r>
      <w:r>
        <w:t>Kelas VII</w:t>
      </w:r>
      <w:r>
        <w:rPr>
          <w:spacing w:val="-7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Bangun</w:t>
      </w:r>
      <w:r>
        <w:rPr>
          <w:spacing w:val="-3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Segiempat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MTS</w:t>
      </w:r>
      <w:r>
        <w:rPr>
          <w:spacing w:val="-2"/>
        </w:rPr>
        <w:t xml:space="preserve"> </w:t>
      </w:r>
      <w:r>
        <w:t>Nurul</w:t>
      </w:r>
      <w:r>
        <w:rPr>
          <w:spacing w:val="-3"/>
        </w:rPr>
        <w:t xml:space="preserve"> </w:t>
      </w:r>
      <w:r>
        <w:t>Huda,</w:t>
      </w:r>
      <w:r>
        <w:rPr>
          <w:spacing w:val="-58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Pendidikan Matematika</w:t>
      </w:r>
      <w:r>
        <w:rPr>
          <w:spacing w:val="-1"/>
        </w:rPr>
        <w:t xml:space="preserve"> </w:t>
      </w:r>
      <w:r>
        <w:t>(2022), Hal 1-37</w:t>
      </w:r>
    </w:p>
    <w:p w:rsidR="00EE1B88" w:rsidRDefault="00EE1B88" w:rsidP="00EE1B88">
      <w:pPr>
        <w:pStyle w:val="BodyText"/>
        <w:spacing w:line="480" w:lineRule="auto"/>
        <w:ind w:left="720" w:hanging="720"/>
        <w:jc w:val="both"/>
      </w:pPr>
      <w:r>
        <w:t>Suwarno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(Rizki,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Matematis</w:t>
      </w:r>
      <w:r>
        <w:rPr>
          <w:spacing w:val="15"/>
        </w:rPr>
        <w:t xml:space="preserve"> </w:t>
      </w:r>
      <w:r>
        <w:t>Siswa</w:t>
      </w:r>
      <w:r>
        <w:rPr>
          <w:spacing w:val="14"/>
        </w:rPr>
        <w:t xml:space="preserve"> </w:t>
      </w:r>
      <w:r>
        <w:t>Kelas</w:t>
      </w:r>
      <w:r>
        <w:rPr>
          <w:spacing w:val="17"/>
        </w:rPr>
        <w:t xml:space="preserve"> </w:t>
      </w:r>
      <w:r>
        <w:t>VII</w:t>
      </w:r>
      <w:r>
        <w:rPr>
          <w:spacing w:val="11"/>
        </w:rPr>
        <w:t xml:space="preserve"> </w:t>
      </w:r>
      <w:r>
        <w:t>Pada</w:t>
      </w:r>
      <w:r>
        <w:rPr>
          <w:spacing w:val="14"/>
        </w:rPr>
        <w:t xml:space="preserve"> </w:t>
      </w:r>
      <w:r>
        <w:t>Materi</w:t>
      </w:r>
      <w:r>
        <w:rPr>
          <w:spacing w:val="16"/>
        </w:rPr>
        <w:t xml:space="preserve"> </w:t>
      </w:r>
      <w:r>
        <w:t>Bangun</w:t>
      </w:r>
      <w:r>
        <w:rPr>
          <w:spacing w:val="17"/>
        </w:rPr>
        <w:t xml:space="preserve"> </w:t>
      </w:r>
      <w:r>
        <w:t>Ruang</w:t>
      </w:r>
      <w:r>
        <w:rPr>
          <w:spacing w:val="15"/>
        </w:rPr>
        <w:t xml:space="preserve"> </w:t>
      </w:r>
      <w:r>
        <w:t>Segiempat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MTS Nurul</w:t>
      </w:r>
      <w:r>
        <w:rPr>
          <w:spacing w:val="-1"/>
        </w:rPr>
        <w:t xml:space="preserve"> </w:t>
      </w:r>
      <w:r>
        <w:t>Huda,</w:t>
      </w:r>
      <w:r>
        <w:rPr>
          <w:spacing w:val="-1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Pendidikan Matematika</w:t>
      </w:r>
      <w:r>
        <w:rPr>
          <w:spacing w:val="-2"/>
        </w:rPr>
        <w:t xml:space="preserve"> </w:t>
      </w:r>
      <w:r>
        <w:t>(2022),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1-37</w:t>
      </w:r>
    </w:p>
    <w:p w:rsidR="00EE1B88" w:rsidRDefault="00EE1B88" w:rsidP="00EE1B88">
      <w:pPr>
        <w:spacing w:line="480" w:lineRule="auto"/>
        <w:ind w:left="720" w:hanging="720"/>
        <w:jc w:val="both"/>
        <w:rPr>
          <w:sz w:val="24"/>
        </w:rPr>
      </w:pPr>
      <w:r>
        <w:rPr>
          <w:sz w:val="24"/>
        </w:rPr>
        <w:t xml:space="preserve">Vina Haliyanti. F. (2022). </w:t>
      </w:r>
      <w:r>
        <w:rPr>
          <w:i/>
          <w:sz w:val="24"/>
        </w:rPr>
        <w:t>Analisis Kemampuan Pemecahan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Masalah Matematika Siswa Mtsn 2 Banda Aceh Ditinjau Dari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Gender</w:t>
      </w:r>
      <w:r>
        <w:rPr>
          <w:sz w:val="24"/>
        </w:rPr>
        <w:t xml:space="preserve">. </w:t>
      </w:r>
      <w:r>
        <w:rPr>
          <w:i/>
          <w:sz w:val="24"/>
        </w:rPr>
        <w:t>8.5.2017</w:t>
      </w:r>
      <w:r>
        <w:rPr>
          <w:sz w:val="24"/>
        </w:rPr>
        <w:t xml:space="preserve">, 2003–2005. </w:t>
      </w:r>
      <w:hyperlink r:id="rId11">
        <w:r>
          <w:rPr>
            <w:sz w:val="24"/>
          </w:rPr>
          <w:t>www.aging-us.com</w:t>
        </w:r>
      </w:hyperlink>
    </w:p>
    <w:p w:rsidR="00EE1B88" w:rsidRDefault="00EE1B88" w:rsidP="00EE1B88">
      <w:pPr>
        <w:pStyle w:val="BodyText"/>
        <w:spacing w:line="480" w:lineRule="auto"/>
        <w:ind w:left="720" w:hanging="720"/>
        <w:jc w:val="both"/>
      </w:pPr>
      <w:r>
        <w:t>Wahyuni, G., Mujib, A., &amp; Zahari, C. L. (2022). Analisis Kemampuan Berpikir</w:t>
      </w:r>
      <w:r>
        <w:rPr>
          <w:spacing w:val="-57"/>
        </w:rPr>
        <w:t xml:space="preserve"> </w:t>
      </w:r>
      <w:r>
        <w:t xml:space="preserve">Visual Siswa Ditinjau Dari Adversity Quotient. </w:t>
      </w:r>
      <w:r>
        <w:rPr>
          <w:i/>
        </w:rPr>
        <w:t>JUPE : Jurnal Pendidikan</w:t>
      </w:r>
      <w:r>
        <w:rPr>
          <w:i/>
          <w:spacing w:val="-57"/>
        </w:rPr>
        <w:t xml:space="preserve"> </w:t>
      </w:r>
      <w:r>
        <w:rPr>
          <w:i/>
        </w:rPr>
        <w:t>Mandala</w:t>
      </w:r>
      <w:r>
        <w:t>,</w:t>
      </w:r>
      <w:r>
        <w:rPr>
          <w:spacing w:val="-1"/>
        </w:rPr>
        <w:t xml:space="preserve"> </w:t>
      </w:r>
      <w:r>
        <w:rPr>
          <w:i/>
        </w:rPr>
        <w:t>7</w:t>
      </w:r>
      <w:r>
        <w:t>(2), 289–295.</w:t>
      </w:r>
      <w:r>
        <w:rPr>
          <w:spacing w:val="2"/>
        </w:rPr>
        <w:t xml:space="preserve"> </w:t>
      </w:r>
      <w:r>
        <w:t>https://doi.org/10.58258/jupe.v7i2.3335</w:t>
      </w:r>
    </w:p>
    <w:p w:rsidR="00EE1B88" w:rsidRDefault="00EE1B88" w:rsidP="00EE1B88">
      <w:pPr>
        <w:pStyle w:val="BodyText"/>
        <w:spacing w:line="480" w:lineRule="auto"/>
        <w:ind w:left="720" w:hanging="720"/>
        <w:jc w:val="both"/>
      </w:pPr>
      <w:r>
        <w:rPr>
          <w:color w:val="212121"/>
        </w:rPr>
        <w:t>Wilujeng, H., dan Novitasari. (2018). Analisis Kemampuan Pemecahan Masalah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Matematika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Science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TIMSS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Prima: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Jurnal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Pendidikan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Matematika,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2(2), 137–147.</w:t>
      </w:r>
    </w:p>
    <w:p w:rsidR="00EE1B88" w:rsidRDefault="00EE1B88" w:rsidP="00EE1B88">
      <w:pPr>
        <w:spacing w:line="480" w:lineRule="auto"/>
        <w:ind w:left="720" w:hanging="720"/>
        <w:jc w:val="both"/>
        <w:rPr>
          <w:i/>
          <w:sz w:val="24"/>
        </w:rPr>
      </w:pPr>
      <w:r>
        <w:rPr>
          <w:color w:val="212121"/>
          <w:sz w:val="24"/>
        </w:rPr>
        <w:t xml:space="preserve">Y. Ismawati . (2016). </w:t>
      </w:r>
      <w:r>
        <w:rPr>
          <w:i/>
          <w:sz w:val="24"/>
        </w:rPr>
        <w:t>Analisis Kemampuan Pemecahan Masalah SPLDV Siswa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Berkemampuan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Kristen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Wacana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Tahapan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Polya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Ditinjau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Kesukaran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Soal,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23-</w:t>
      </w:r>
    </w:p>
    <w:p w:rsidR="00EE1B88" w:rsidRPr="002E189C" w:rsidRDefault="00EE1B88" w:rsidP="00EE1B88">
      <w:pPr>
        <w:spacing w:line="480" w:lineRule="auto"/>
        <w:ind w:left="720" w:hanging="720"/>
        <w:jc w:val="both"/>
        <w:rPr>
          <w:i/>
          <w:sz w:val="24"/>
        </w:rPr>
        <w:sectPr w:rsidR="00EE1B88" w:rsidRPr="002E189C" w:rsidSect="00204FFC">
          <w:headerReference w:type="default" r:id="rId12"/>
          <w:footerReference w:type="default" r:id="rId13"/>
          <w:type w:val="nextColumn"/>
          <w:pgSz w:w="11907" w:h="16840" w:code="9"/>
          <w:pgMar w:top="2268" w:right="1701" w:bottom="1701" w:left="2268" w:header="1135" w:footer="604" w:gutter="0"/>
          <w:cols w:space="720"/>
        </w:sectPr>
      </w:pPr>
      <w:r>
        <w:rPr>
          <w:i/>
          <w:color w:val="0000FF"/>
          <w:spacing w:val="-2"/>
          <w:sz w:val="24"/>
        </w:rPr>
        <w:t xml:space="preserve"> </w:t>
      </w:r>
      <w:hyperlink r:id="rId14">
        <w:r>
          <w:rPr>
            <w:i/>
            <w:color w:val="0000FF"/>
            <w:sz w:val="24"/>
            <w:u w:val="single" w:color="0000FF"/>
          </w:rPr>
          <w:t>http://repository.uksw.edu/handle/123456789/9805</w:t>
        </w:r>
      </w:hyperlink>
    </w:p>
    <w:p w:rsidR="009827F4" w:rsidRPr="00EE1B88" w:rsidRDefault="009827F4" w:rsidP="00EE1B88">
      <w:bookmarkStart w:id="1" w:name="_GoBack"/>
      <w:bookmarkEnd w:id="1"/>
    </w:p>
    <w:sectPr w:rsidR="009827F4" w:rsidRPr="00EE1B88" w:rsidSect="009827F4">
      <w:headerReference w:type="default" r:id="rId15"/>
      <w:footerReference w:type="default" r:id="rId16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1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B88" w:rsidRDefault="00EE1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B88" w:rsidRDefault="00EE1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88" w:rsidRDefault="00EE1B88">
    <w:pPr>
      <w:pStyle w:val="Footer"/>
      <w:jc w:val="center"/>
    </w:pPr>
  </w:p>
  <w:p w:rsidR="00EE1B88" w:rsidRDefault="00EE1B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833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3CC" w:rsidRDefault="00EE1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23CC" w:rsidRDefault="00EE1B88">
    <w:pPr>
      <w:pStyle w:val="Footer"/>
    </w:pPr>
  </w:p>
  <w:p w:rsidR="005323CC" w:rsidRDefault="00EE1B8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88" w:rsidRDefault="00EE1B88">
    <w:pPr>
      <w:pStyle w:val="Header"/>
      <w:jc w:val="right"/>
    </w:pPr>
  </w:p>
  <w:p w:rsidR="00EE1B88" w:rsidRDefault="00EE1B8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2152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1B88" w:rsidRDefault="00EE1B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1B88" w:rsidRDefault="00EE1B88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3CC" w:rsidRDefault="00EE1B88">
    <w:pPr>
      <w:pStyle w:val="Header"/>
    </w:pPr>
  </w:p>
  <w:p w:rsidR="005323CC" w:rsidRDefault="00EE1B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4"/>
    <w:rsid w:val="0027356B"/>
    <w:rsid w:val="002A7D48"/>
    <w:rsid w:val="00461949"/>
    <w:rsid w:val="005C142E"/>
    <w:rsid w:val="00604FCB"/>
    <w:rsid w:val="00623445"/>
    <w:rsid w:val="00786626"/>
    <w:rsid w:val="009827F4"/>
    <w:rsid w:val="00B92543"/>
    <w:rsid w:val="00CD3943"/>
    <w:rsid w:val="00E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  <w:style w:type="paragraph" w:styleId="TOC1">
    <w:name w:val="toc 1"/>
    <w:basedOn w:val="Normal"/>
    <w:uiPriority w:val="39"/>
    <w:qFormat/>
    <w:rsid w:val="00B92543"/>
    <w:pPr>
      <w:spacing w:before="276"/>
      <w:ind w:left="152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B92543"/>
    <w:pPr>
      <w:spacing w:before="276"/>
      <w:ind w:left="2813" w:hanging="57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B92543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9254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92543"/>
  </w:style>
  <w:style w:type="paragraph" w:styleId="BalloonText">
    <w:name w:val="Balloon Text"/>
    <w:basedOn w:val="Normal"/>
    <w:link w:val="BalloonTextChar"/>
    <w:uiPriority w:val="99"/>
    <w:semiHidden/>
    <w:unhideWhenUsed/>
    <w:rsid w:val="00B9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43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273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3">
    <w:name w:val="toc 3"/>
    <w:basedOn w:val="Normal"/>
    <w:uiPriority w:val="39"/>
    <w:qFormat/>
    <w:rsid w:val="0027356B"/>
    <w:pPr>
      <w:spacing w:before="276"/>
      <w:ind w:left="2805" w:hanging="46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356B"/>
  </w:style>
  <w:style w:type="table" w:styleId="TableGrid">
    <w:name w:val="Table Grid"/>
    <w:basedOn w:val="TableNormal"/>
    <w:uiPriority w:val="39"/>
    <w:rsid w:val="0027356B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56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356B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27356B"/>
  </w:style>
  <w:style w:type="paragraph" w:styleId="NormalWeb">
    <w:name w:val="Normal (Web)"/>
    <w:basedOn w:val="Normal"/>
    <w:uiPriority w:val="99"/>
    <w:unhideWhenUsed/>
    <w:rsid w:val="0027356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customStyle="1" w:styleId="Default">
    <w:name w:val="Default"/>
    <w:rsid w:val="00273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27356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  <w:style w:type="paragraph" w:styleId="TOC1">
    <w:name w:val="toc 1"/>
    <w:basedOn w:val="Normal"/>
    <w:uiPriority w:val="39"/>
    <w:qFormat/>
    <w:rsid w:val="00B92543"/>
    <w:pPr>
      <w:spacing w:before="276"/>
      <w:ind w:left="152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B92543"/>
    <w:pPr>
      <w:spacing w:before="276"/>
      <w:ind w:left="2813" w:hanging="57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2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43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B92543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9254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92543"/>
  </w:style>
  <w:style w:type="paragraph" w:styleId="BalloonText">
    <w:name w:val="Balloon Text"/>
    <w:basedOn w:val="Normal"/>
    <w:link w:val="BalloonTextChar"/>
    <w:uiPriority w:val="99"/>
    <w:semiHidden/>
    <w:unhideWhenUsed/>
    <w:rsid w:val="00B9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43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273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3">
    <w:name w:val="toc 3"/>
    <w:basedOn w:val="Normal"/>
    <w:uiPriority w:val="39"/>
    <w:qFormat/>
    <w:rsid w:val="0027356B"/>
    <w:pPr>
      <w:spacing w:before="276"/>
      <w:ind w:left="2805" w:hanging="46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356B"/>
  </w:style>
  <w:style w:type="table" w:styleId="TableGrid">
    <w:name w:val="Table Grid"/>
    <w:basedOn w:val="TableNormal"/>
    <w:uiPriority w:val="39"/>
    <w:rsid w:val="0027356B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56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356B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27356B"/>
  </w:style>
  <w:style w:type="paragraph" w:styleId="NormalWeb">
    <w:name w:val="Normal (Web)"/>
    <w:basedOn w:val="Normal"/>
    <w:uiPriority w:val="99"/>
    <w:unhideWhenUsed/>
    <w:rsid w:val="0027356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customStyle="1" w:styleId="Default">
    <w:name w:val="Default"/>
    <w:rsid w:val="00273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27356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952/logaritma.v8i01.2409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3369/pgsd.9.2.216-22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s://doi.org/10.31980/mosharafa.v8i3.459" TargetMode="External"/><Relationship Id="rId11" Type="http://schemas.openxmlformats.org/officeDocument/2006/relationships/hyperlink" Target="http://www.aging-u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epository.uksw.edu/handle/123456789/9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2024-11-18T07:28:00Z</dcterms:created>
  <dcterms:modified xsi:type="dcterms:W3CDTF">2024-11-18T07:28:00Z</dcterms:modified>
</cp:coreProperties>
</file>