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C9E7">
      <w:pPr>
        <w:spacing w:line="480" w:lineRule="auto"/>
        <w:jc w:val="center"/>
        <w:rPr>
          <w:rFonts w:ascii="Times New Roman" w:hAnsi="Times New Roman"/>
          <w:b/>
          <w:sz w:val="24"/>
          <w:szCs w:val="24"/>
        </w:rPr>
      </w:pPr>
      <w:bookmarkStart w:id="0" w:name="_GoBack"/>
      <w:bookmarkEnd w:id="0"/>
      <w:r>
        <w:rPr>
          <w:rFonts w:ascii="Times New Roman" w:hAnsi="Times New Roman"/>
          <w:b/>
          <w:sz w:val="24"/>
          <w:szCs w:val="24"/>
        </w:rPr>
        <w:t>BAB V</w:t>
      </w:r>
    </w:p>
    <w:p w14:paraId="3337BDC1">
      <w:pPr>
        <w:spacing w:line="480" w:lineRule="auto"/>
        <w:jc w:val="center"/>
        <w:rPr>
          <w:rFonts w:ascii="Times New Roman" w:hAnsi="Times New Roman"/>
          <w:b/>
          <w:sz w:val="24"/>
          <w:szCs w:val="24"/>
        </w:rPr>
      </w:pPr>
      <w:r>
        <w:rPr>
          <w:rFonts w:ascii="Times New Roman" w:hAnsi="Times New Roman"/>
          <w:b/>
          <w:sz w:val="24"/>
          <w:szCs w:val="24"/>
        </w:rPr>
        <w:t>KESIMPULAN DAN SARAN</w:t>
      </w:r>
    </w:p>
    <w:p w14:paraId="70A3DB07">
      <w:pPr>
        <w:spacing w:line="480" w:lineRule="auto"/>
        <w:jc w:val="center"/>
        <w:rPr>
          <w:rFonts w:ascii="Times New Roman" w:hAnsi="Times New Roman"/>
          <w:b/>
          <w:sz w:val="24"/>
          <w:szCs w:val="24"/>
        </w:rPr>
      </w:pPr>
    </w:p>
    <w:p w14:paraId="6940A6D5">
      <w:pPr>
        <w:spacing w:line="480" w:lineRule="auto"/>
        <w:rPr>
          <w:rFonts w:ascii="Times New Roman" w:hAnsi="Times New Roman"/>
          <w:b/>
          <w:sz w:val="24"/>
          <w:szCs w:val="24"/>
        </w:rPr>
      </w:pPr>
      <w:r>
        <w:rPr>
          <w:rFonts w:ascii="Times New Roman" w:hAnsi="Times New Roman"/>
          <w:b/>
          <w:sz w:val="24"/>
          <w:szCs w:val="24"/>
        </w:rPr>
        <w:t xml:space="preserve">5.1. Kesimpulan </w:t>
      </w:r>
    </w:p>
    <w:p w14:paraId="32F2A4BB">
      <w:pPr>
        <w:pStyle w:val="9"/>
        <w:numPr>
          <w:ilvl w:val="0"/>
          <w:numId w:val="1"/>
        </w:numPr>
        <w:spacing w:after="0" w:line="480" w:lineRule="auto"/>
        <w:ind w:left="567" w:hanging="567"/>
        <w:jc w:val="both"/>
        <w:rPr>
          <w:rFonts w:ascii="Times New Roman" w:hAnsi="Times New Roman"/>
          <w:b/>
          <w:sz w:val="24"/>
          <w:szCs w:val="24"/>
        </w:rPr>
      </w:pPr>
      <w:r>
        <w:rPr>
          <w:rFonts w:ascii="Times New Roman" w:hAnsi="Times New Roman"/>
          <w:b/>
          <w:sz w:val="24"/>
          <w:szCs w:val="24"/>
        </w:rPr>
        <w:t>Penjatuhan sanksi pelaku pemerkosaan dalam putusan PN Sei Rampah Nomor 511 /Pid.Sus/ 2022 Pn Srh.</w:t>
      </w:r>
    </w:p>
    <w:p w14:paraId="7166921F">
      <w:pPr>
        <w:pStyle w:val="9"/>
        <w:spacing w:after="0" w:line="480" w:lineRule="auto"/>
        <w:ind w:left="567"/>
        <w:jc w:val="both"/>
        <w:rPr>
          <w:rFonts w:ascii="Times New Roman" w:hAnsi="Times New Roman"/>
          <w:sz w:val="24"/>
          <w:szCs w:val="24"/>
        </w:rPr>
      </w:pPr>
      <w:r>
        <w:rPr>
          <w:rFonts w:ascii="Times New Roman" w:hAnsi="Times New Roman"/>
          <w:sz w:val="24"/>
          <w:szCs w:val="24"/>
        </w:rPr>
        <w:t>Adapun hal-hal yang menjadi dasar pertimbangan hakim dalam menjatuhkan pidana terhadap pelaku pelanggar Pasal 81 Ayat (3) Undang-Undang Nomor 35 Tahun 2014 Perubahan Atas Undang-Undang Nomor 23 Tahun 2002 Tentang Perlindungan Anak di Pengadilan Negeri Sei Rampah Nomor 511 /Pid.Sus/ 2022 Pn Srh. Adalah sebagai berikut :</w:t>
      </w:r>
    </w:p>
    <w:p w14:paraId="7FFD5961">
      <w:pPr>
        <w:pStyle w:val="9"/>
        <w:spacing w:after="0" w:line="48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Pertimbangan Yuridis, perbuatan kedua terdakwa telah memenuhi unsur-unsur Pasal 81 Ayat (3) Undang-Undang Nomor 35 Tahun 2014 Perubahan Atas Undang-Undang Nomor 23 Tahun 2002 Tentang Perlindungan Anak.</w:t>
      </w:r>
    </w:p>
    <w:p w14:paraId="3FB5FC74">
      <w:pPr>
        <w:pStyle w:val="9"/>
        <w:spacing w:after="0" w:line="48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 xml:space="preserve">Pertimbangan fakta yang terbukti di persidangan, bahwa Terdakwa Irwansyah  Sitorus  alias  Iwan pada Putusan  merupakan ayah kandung korban </w:t>
      </w:r>
    </w:p>
    <w:p w14:paraId="4AB9828E">
      <w:pPr>
        <w:pStyle w:val="9"/>
        <w:spacing w:after="0" w:line="480" w:lineRule="auto"/>
        <w:ind w:left="0"/>
        <w:jc w:val="both"/>
        <w:rPr>
          <w:rFonts w:ascii="Times New Roman" w:hAnsi="Times New Roman"/>
          <w:sz w:val="24"/>
          <w:szCs w:val="24"/>
        </w:rPr>
      </w:pPr>
      <w:r>
        <w:rPr>
          <w:rFonts w:ascii="Times New Roman" w:hAnsi="Times New Roman"/>
          <w:sz w:val="24"/>
          <w:szCs w:val="24"/>
        </w:rPr>
        <w:t xml:space="preserve">Dari hasil putusan PN Sei Rampah maka di dapat : </w:t>
      </w:r>
    </w:p>
    <w:p w14:paraId="20DE0926">
      <w:pPr>
        <w:pStyle w:val="9"/>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MENGADILI:</w:t>
      </w:r>
      <w:r>
        <w:rPr>
          <w:rFonts w:ascii="Times New Roman" w:hAnsi="Times New Roman"/>
          <w:sz w:val="24"/>
          <w:szCs w:val="24"/>
        </w:rPr>
        <w:tab/>
      </w:r>
      <w:r>
        <w:rPr>
          <w:rFonts w:ascii="Times New Roman" w:hAnsi="Times New Roman"/>
          <w:sz w:val="24"/>
          <w:szCs w:val="24"/>
        </w:rPr>
        <w:tab/>
      </w:r>
    </w:p>
    <w:p w14:paraId="0AA4CD1B">
      <w:pPr>
        <w:pStyle w:val="9"/>
        <w:spacing w:after="0" w:line="480" w:lineRule="auto"/>
        <w:ind w:left="0"/>
        <w:jc w:val="both"/>
        <w:rPr>
          <w:rFonts w:ascii="Times New Roman" w:hAnsi="Times New Roman"/>
          <w:sz w:val="24"/>
          <w:szCs w:val="24"/>
        </w:rPr>
      </w:pPr>
      <w:r>
        <w:rPr>
          <w:rFonts w:ascii="Times New Roman" w:hAnsi="Times New Roman"/>
          <w:sz w:val="24"/>
          <w:szCs w:val="24"/>
        </w:rPr>
        <w:t>Menyatakan  Terdakwa  Irwansyah  Sitorus  alias  Iwan</w:t>
      </w:r>
      <w:r>
        <w:rPr>
          <w:rFonts w:ascii="Times New Roman" w:hAnsi="Times New Roman"/>
          <w:sz w:val="24"/>
          <w:szCs w:val="24"/>
        </w:rPr>
        <w:tab/>
      </w:r>
      <w:r>
        <w:rPr>
          <w:rFonts w:ascii="Times New Roman" w:hAnsi="Times New Roman"/>
          <w:sz w:val="24"/>
          <w:szCs w:val="24"/>
        </w:rPr>
        <w:t>tersebut  diatas, terbukti  secara  sah  dan  meyakinkan  bersalah  melakukan  tindak pidana “Dengan ancaman kekerasan memaksa Anak melakukan Persetubuhan yang dilakukan oleh orang tua” sebagaimana dakwaan alternatif kesatu;</w:t>
      </w:r>
    </w:p>
    <w:p w14:paraId="0763827D">
      <w:pPr>
        <w:pStyle w:val="9"/>
        <w:spacing w:after="0" w:line="480" w:lineRule="auto"/>
        <w:ind w:left="0"/>
        <w:jc w:val="both"/>
        <w:rPr>
          <w:rFonts w:ascii="Times New Roman" w:hAnsi="Times New Roman"/>
          <w:sz w:val="24"/>
          <w:szCs w:val="24"/>
        </w:rPr>
      </w:pPr>
      <w:r>
        <w:rPr>
          <w:rFonts w:ascii="Times New Roman" w:hAnsi="Times New Roman"/>
          <w:sz w:val="24"/>
          <w:szCs w:val="24"/>
        </w:rPr>
        <w:t>Menjatuhkan  pidana  kepada  Terdakwa  oleh  karena  itu  dengan  pidana penjara  selama  14  (empat  belas)  tahun  tahun  dan</w:t>
      </w:r>
      <w:r>
        <w:rPr>
          <w:rFonts w:ascii="Times New Roman" w:hAnsi="Times New Roman"/>
          <w:sz w:val="24"/>
          <w:szCs w:val="24"/>
        </w:rPr>
        <w:tab/>
      </w:r>
      <w:r>
        <w:rPr>
          <w:rFonts w:ascii="Times New Roman" w:hAnsi="Times New Roman"/>
          <w:sz w:val="24"/>
          <w:szCs w:val="24"/>
        </w:rPr>
        <w:t xml:space="preserve"> denda sebesar Rp1.000.000.000,00 (satu milyar rupiah) dengan ketentuan apabila denda tersebut tidak  dibayar diganti  dengan  pidana kurungan  selama  2 (dua) bulan;</w:t>
      </w:r>
      <w:r>
        <w:rPr>
          <w:rFonts w:ascii="Times New Roman" w:hAnsi="Times New Roman"/>
          <w:sz w:val="24"/>
          <w:szCs w:val="24"/>
        </w:rPr>
        <w:tab/>
      </w:r>
    </w:p>
    <w:p w14:paraId="0B01A369">
      <w:pPr>
        <w:pStyle w:val="9"/>
        <w:spacing w:after="0" w:line="480" w:lineRule="auto"/>
        <w:ind w:left="0"/>
        <w:jc w:val="both"/>
        <w:rPr>
          <w:rFonts w:ascii="Times New Roman" w:hAnsi="Times New Roman"/>
          <w:sz w:val="24"/>
          <w:szCs w:val="24"/>
        </w:rPr>
      </w:pPr>
      <w:r>
        <w:rPr>
          <w:rFonts w:ascii="Times New Roman" w:hAnsi="Times New Roman"/>
          <w:sz w:val="24"/>
          <w:szCs w:val="24"/>
        </w:rPr>
        <w:t>Menetapkan  masa  penangkapan  dan  penahanan  yang  telah  dijalani</w:t>
      </w:r>
    </w:p>
    <w:p w14:paraId="78E40238">
      <w:pPr>
        <w:pStyle w:val="9"/>
        <w:spacing w:after="0" w:line="480" w:lineRule="auto"/>
        <w:jc w:val="both"/>
        <w:rPr>
          <w:rFonts w:ascii="Times New Roman" w:hAnsi="Times New Roman"/>
          <w:sz w:val="24"/>
          <w:szCs w:val="24"/>
        </w:rPr>
      </w:pPr>
      <w:r>
        <w:rPr>
          <w:rFonts w:ascii="Times New Roman" w:hAnsi="Times New Roman"/>
          <w:sz w:val="24"/>
          <w:szCs w:val="24"/>
        </w:rPr>
        <w:t>Terdakwa dikurangkan seluruhnya dari pidana yang dijatuhkan;</w:t>
      </w:r>
    </w:p>
    <w:p w14:paraId="152B2A64">
      <w:pPr>
        <w:pStyle w:val="9"/>
        <w:spacing w:after="0" w:line="480" w:lineRule="auto"/>
        <w:ind w:left="0"/>
        <w:jc w:val="both"/>
        <w:rPr>
          <w:rFonts w:ascii="Times New Roman" w:hAnsi="Times New Roman"/>
          <w:sz w:val="24"/>
          <w:szCs w:val="24"/>
        </w:rPr>
      </w:pPr>
      <w:r>
        <w:rPr>
          <w:rFonts w:ascii="Times New Roman" w:hAnsi="Times New Roman"/>
          <w:sz w:val="24"/>
          <w:szCs w:val="24"/>
        </w:rPr>
        <w:t xml:space="preserve">     Menetapkan Terdakwa tetap ditahan;</w:t>
      </w:r>
    </w:p>
    <w:p w14:paraId="195E6BFF">
      <w:pPr>
        <w:pStyle w:val="9"/>
        <w:spacing w:after="0" w:line="480" w:lineRule="auto"/>
        <w:ind w:left="0"/>
        <w:jc w:val="both"/>
        <w:rPr>
          <w:rFonts w:ascii="Times New Roman" w:hAnsi="Times New Roman"/>
          <w:sz w:val="24"/>
          <w:szCs w:val="24"/>
        </w:rPr>
      </w:pPr>
      <w:r>
        <w:rPr>
          <w:rFonts w:ascii="Times New Roman" w:hAnsi="Times New Roman"/>
          <w:sz w:val="24"/>
          <w:szCs w:val="24"/>
        </w:rPr>
        <w:t xml:space="preserve">    Menetapkan barang bukti berupa:</w:t>
      </w:r>
    </w:p>
    <w:p w14:paraId="47DCEFC4">
      <w:pPr>
        <w:pStyle w:val="9"/>
        <w:spacing w:after="0" w:line="480" w:lineRule="auto"/>
        <w:jc w:val="both"/>
        <w:rPr>
          <w:rFonts w:ascii="Times New Roman" w:hAnsi="Times New Roman"/>
          <w:sz w:val="24"/>
          <w:szCs w:val="24"/>
        </w:rPr>
      </w:pPr>
      <w:r>
        <w:rPr>
          <w:rFonts w:ascii="Times New Roman" w:hAnsi="Times New Roman"/>
          <w:sz w:val="24"/>
          <w:szCs w:val="24"/>
        </w:rPr>
        <w:t>•  1 (satu) Potong baju tidur motif kucing warna hitam dan merah muda;</w:t>
      </w:r>
    </w:p>
    <w:p w14:paraId="44D1612B">
      <w:pPr>
        <w:pStyle w:val="9"/>
        <w:spacing w:after="0" w:line="480" w:lineRule="auto"/>
        <w:jc w:val="both"/>
        <w:rPr>
          <w:rFonts w:ascii="Times New Roman" w:hAnsi="Times New Roman"/>
          <w:sz w:val="24"/>
          <w:szCs w:val="24"/>
        </w:rPr>
      </w:pPr>
      <w:r>
        <w:rPr>
          <w:rFonts w:ascii="Times New Roman" w:hAnsi="Times New Roman"/>
          <w:sz w:val="24"/>
          <w:szCs w:val="24"/>
        </w:rPr>
        <w:t>•  1 (satu) potong celana tidur motif kucing warna hitam dan merah muda;</w:t>
      </w:r>
    </w:p>
    <w:p w14:paraId="0C3CDEE2">
      <w:pPr>
        <w:pStyle w:val="9"/>
        <w:spacing w:after="0" w:line="480" w:lineRule="auto"/>
        <w:jc w:val="both"/>
        <w:rPr>
          <w:rFonts w:ascii="Times New Roman" w:hAnsi="Times New Roman"/>
          <w:sz w:val="24"/>
          <w:szCs w:val="24"/>
        </w:rPr>
      </w:pPr>
      <w:r>
        <w:rPr>
          <w:rFonts w:ascii="Times New Roman" w:hAnsi="Times New Roman"/>
          <w:sz w:val="24"/>
          <w:szCs w:val="24"/>
        </w:rPr>
        <w:t>Dirampas Untuk Dimusnahkan;</w:t>
      </w:r>
    </w:p>
    <w:p w14:paraId="135B20EB">
      <w:pPr>
        <w:pStyle w:val="9"/>
        <w:spacing w:after="0" w:line="480" w:lineRule="auto"/>
        <w:jc w:val="both"/>
        <w:rPr>
          <w:rFonts w:ascii="Times New Roman" w:hAnsi="Times New Roman"/>
          <w:sz w:val="24"/>
          <w:szCs w:val="24"/>
        </w:rPr>
      </w:pPr>
      <w:r>
        <w:rPr>
          <w:rFonts w:ascii="Times New Roman" w:hAnsi="Times New Roman"/>
          <w:sz w:val="24"/>
          <w:szCs w:val="24"/>
        </w:rPr>
        <w:t>Membebankan  kepada  Terdakwa  membayar  biaya  perkara  sejumlah Rp5.000,00 (lima ribu rupiah);</w:t>
      </w:r>
    </w:p>
    <w:p w14:paraId="061F9B0F">
      <w:pPr>
        <w:pStyle w:val="9"/>
        <w:spacing w:after="0" w:line="480" w:lineRule="auto"/>
        <w:ind w:left="0"/>
        <w:jc w:val="both"/>
        <w:rPr>
          <w:rFonts w:ascii="Times New Roman" w:hAnsi="Times New Roman"/>
          <w:sz w:val="24"/>
          <w:szCs w:val="24"/>
        </w:rPr>
      </w:pPr>
      <w:r>
        <w:rPr>
          <w:rFonts w:ascii="Times New Roman" w:hAnsi="Times New Roman"/>
          <w:sz w:val="24"/>
          <w:szCs w:val="24"/>
        </w:rPr>
        <w:t>Demikianlah diputuskan dalam sidang permusyawaratan Majelis Hakim Pengadilan Negeri Sei Rampah, pada hari Kamis, tanggal 17 November 2022</w:t>
      </w:r>
    </w:p>
    <w:p w14:paraId="329B82DD">
      <w:pPr>
        <w:pStyle w:val="9"/>
        <w:spacing w:after="0" w:line="480" w:lineRule="auto"/>
        <w:ind w:left="0"/>
        <w:jc w:val="both"/>
        <w:rPr>
          <w:rFonts w:ascii="Times New Roman" w:hAnsi="Times New Roman"/>
          <w:sz w:val="24"/>
          <w:szCs w:val="24"/>
        </w:rPr>
      </w:pPr>
      <w:r>
        <w:rPr>
          <w:rFonts w:ascii="Times New Roman" w:hAnsi="Times New Roman"/>
          <w:sz w:val="24"/>
          <w:szCs w:val="24"/>
        </w:rPr>
        <w:t>oleh kami, Irwanto, S.H., sebagai Hakim Ketua, Sisilia Dian Jiwa Yustisia, S.H. dan Iskandar Dzulqornain, S.H., M.H. masing-masing sebagai Hakim Anggota, yang diucapkan dalam sidang terbuka untuk umum pada hari Selasa, tanggal 22 November 2022 oleh Hakim Ketua dengan didampingi para Hakim Anggota tersebut,  dibantu  oleh  Nursita  Melbania  Sinuraya,  S.H.,  M.H.,  Panitera</w:t>
      </w:r>
    </w:p>
    <w:p w14:paraId="53700606">
      <w:pPr>
        <w:pStyle w:val="9"/>
        <w:spacing w:after="0" w:line="480" w:lineRule="auto"/>
        <w:ind w:left="0"/>
        <w:jc w:val="both"/>
        <w:rPr>
          <w:rFonts w:ascii="Times New Roman" w:hAnsi="Times New Roman"/>
          <w:sz w:val="24"/>
          <w:szCs w:val="24"/>
        </w:rPr>
      </w:pPr>
      <w:r>
        <w:rPr>
          <w:rFonts w:ascii="Times New Roman" w:hAnsi="Times New Roman"/>
          <w:sz w:val="24"/>
          <w:szCs w:val="24"/>
        </w:rPr>
        <w:t>SISILIA DIAN JIWA YUSTISIA, S.H.</w:t>
      </w:r>
      <w:r>
        <w:rPr>
          <w:rFonts w:ascii="Times New Roman" w:hAnsi="Times New Roman"/>
          <w:sz w:val="24"/>
          <w:szCs w:val="24"/>
        </w:rPr>
        <w:tab/>
      </w:r>
      <w:r>
        <w:rPr>
          <w:rFonts w:ascii="Times New Roman" w:hAnsi="Times New Roman"/>
          <w:sz w:val="24"/>
          <w:szCs w:val="24"/>
        </w:rPr>
        <w:t xml:space="preserve">               IRWANTO, S.H. Pengganti pada Pengadilan Negeri Sei Rampah, serta dihadiri oleh Juita Citra</w:t>
      </w:r>
    </w:p>
    <w:p w14:paraId="503F669D">
      <w:pPr>
        <w:pStyle w:val="9"/>
        <w:spacing w:after="0" w:line="480" w:lineRule="auto"/>
        <w:ind w:left="0"/>
        <w:jc w:val="both"/>
        <w:rPr>
          <w:rFonts w:ascii="Times New Roman" w:hAnsi="Times New Roman"/>
          <w:sz w:val="24"/>
          <w:szCs w:val="24"/>
        </w:rPr>
      </w:pPr>
      <w:r>
        <w:rPr>
          <w:rFonts w:ascii="Times New Roman" w:hAnsi="Times New Roman"/>
          <w:sz w:val="24"/>
          <w:szCs w:val="24"/>
        </w:rPr>
        <w:t>Wiratama,  S.H.,</w:t>
      </w:r>
      <w:r>
        <w:rPr>
          <w:rFonts w:ascii="Times New Roman" w:hAnsi="Times New Roman"/>
          <w:sz w:val="24"/>
          <w:szCs w:val="24"/>
        </w:rPr>
        <w:tab/>
      </w:r>
      <w:r>
        <w:rPr>
          <w:rFonts w:ascii="Times New Roman" w:hAnsi="Times New Roman"/>
          <w:sz w:val="24"/>
          <w:szCs w:val="24"/>
        </w:rPr>
        <w:t>Penuntut  Umum    dan  Terdakwa</w:t>
      </w:r>
      <w:r>
        <w:rPr>
          <w:rFonts w:ascii="Times New Roman" w:hAnsi="Times New Roman"/>
          <w:sz w:val="24"/>
          <w:szCs w:val="24"/>
        </w:rPr>
        <w:tab/>
      </w:r>
      <w:r>
        <w:rPr>
          <w:rFonts w:ascii="Times New Roman" w:hAnsi="Times New Roman"/>
          <w:sz w:val="24"/>
          <w:szCs w:val="24"/>
        </w:rPr>
        <w:t>didampingi  Penasihat Hukumnya;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042CF6F">
      <w:pPr>
        <w:pStyle w:val="9"/>
        <w:spacing w:after="0" w:line="480" w:lineRule="auto"/>
        <w:ind w:left="0"/>
        <w:jc w:val="both"/>
        <w:rPr>
          <w:rFonts w:ascii="Times New Roman" w:hAnsi="Times New Roman"/>
          <w:sz w:val="24"/>
          <w:szCs w:val="24"/>
        </w:rPr>
      </w:pPr>
      <w:r>
        <w:rPr>
          <w:rFonts w:ascii="Times New Roman" w:hAnsi="Times New Roman"/>
          <w:sz w:val="24"/>
          <w:szCs w:val="24"/>
        </w:rPr>
        <w:t xml:space="preserve">HAKIM ANGGOTA,     </w:t>
      </w:r>
      <w:r>
        <w:rPr>
          <w:rFonts w:ascii="Times New Roman" w:hAnsi="Times New Roman"/>
          <w:sz w:val="24"/>
          <w:szCs w:val="24"/>
        </w:rPr>
        <w:tab/>
      </w:r>
      <w:r>
        <w:rPr>
          <w:rFonts w:ascii="Times New Roman" w:hAnsi="Times New Roman"/>
          <w:sz w:val="24"/>
          <w:szCs w:val="24"/>
        </w:rPr>
        <w:t xml:space="preserve">                                            HAKIM KETUA,</w:t>
      </w:r>
    </w:p>
    <w:p w14:paraId="4FEC2A26">
      <w:pPr>
        <w:pStyle w:val="9"/>
        <w:spacing w:after="0" w:line="480" w:lineRule="auto"/>
        <w:ind w:left="0"/>
        <w:jc w:val="both"/>
        <w:rPr>
          <w:rFonts w:ascii="Times New Roman" w:hAnsi="Times New Roman"/>
          <w:sz w:val="24"/>
          <w:szCs w:val="24"/>
        </w:rPr>
      </w:pPr>
    </w:p>
    <w:p w14:paraId="61FD0654">
      <w:pPr>
        <w:pStyle w:val="9"/>
        <w:spacing w:after="0" w:line="480" w:lineRule="auto"/>
        <w:ind w:left="0"/>
        <w:jc w:val="both"/>
        <w:rPr>
          <w:rFonts w:ascii="Times New Roman" w:hAnsi="Times New Roman"/>
          <w:b/>
          <w:sz w:val="24"/>
          <w:szCs w:val="24"/>
        </w:rPr>
      </w:pPr>
      <w:r>
        <w:rPr>
          <w:rFonts w:ascii="Times New Roman" w:hAnsi="Times New Roman"/>
          <w:b/>
          <w:sz w:val="24"/>
          <w:szCs w:val="24"/>
        </w:rPr>
        <w:t>2. Pengaturan tindak pidana kesusilaan dalam peraturan perundang-undangan .</w:t>
      </w:r>
      <w:r>
        <w:rPr>
          <w:rFonts w:ascii="Times New Roman" w:hAnsi="Times New Roman"/>
          <w:sz w:val="24"/>
          <w:szCs w:val="24"/>
        </w:rPr>
        <w:t>Pasal 281 KUHP</w:t>
      </w:r>
      <w:r>
        <w:rPr>
          <w:rFonts w:ascii="Times New Roman" w:hAnsi="Times New Roman"/>
          <w:b/>
          <w:sz w:val="24"/>
          <w:szCs w:val="24"/>
        </w:rPr>
        <w:t xml:space="preserve"> </w:t>
      </w:r>
      <w:r>
        <w:rPr>
          <w:rFonts w:ascii="Times New Roman" w:hAnsi="Times New Roman"/>
          <w:sz w:val="24"/>
          <w:szCs w:val="24"/>
        </w:rPr>
        <w:t>Diancam dengan pidana penjara paling lama 2 tahun 8 bulan atau pidana denda paling banyak Rp4,5 juta:</w:t>
      </w:r>
      <w:r>
        <w:rPr>
          <w:rFonts w:ascii="Times New Roman" w:hAnsi="Times New Roman"/>
          <w:b/>
          <w:sz w:val="24"/>
          <w:szCs w:val="24"/>
        </w:rPr>
        <w:t xml:space="preserve"> </w:t>
      </w:r>
    </w:p>
    <w:p w14:paraId="693391E1">
      <w:pPr>
        <w:pStyle w:val="9"/>
        <w:spacing w:after="0" w:line="480" w:lineRule="auto"/>
        <w:ind w:left="0"/>
        <w:jc w:val="both"/>
        <w:rPr>
          <w:rFonts w:ascii="Times New Roman" w:hAnsi="Times New Roman"/>
          <w:b/>
          <w:sz w:val="24"/>
          <w:szCs w:val="24"/>
        </w:rPr>
      </w:pPr>
      <w:r>
        <w:rPr>
          <w:rFonts w:ascii="Times New Roman" w:hAnsi="Times New Roman"/>
          <w:sz w:val="24"/>
          <w:szCs w:val="24"/>
        </w:rPr>
        <w:t>Pasal 406 UU 1/2023</w:t>
      </w:r>
    </w:p>
    <w:p w14:paraId="0A3E5DFF">
      <w:pPr>
        <w:pStyle w:val="9"/>
        <w:spacing w:after="0" w:line="480" w:lineRule="auto"/>
        <w:ind w:left="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barang siapa dengan sengaja dan terbuka melanggar kesusilaan;</w:t>
      </w:r>
    </w:p>
    <w:p w14:paraId="1333B657">
      <w:pPr>
        <w:pStyle w:val="9"/>
        <w:spacing w:after="0" w:line="48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barang siapa dengan sengaja dan di depan orang lain yang ada di situ bertentangan dengan kehendaknya, melanggar kesusilaan.</w:t>
      </w:r>
    </w:p>
    <w:p w14:paraId="376133EE">
      <w:pPr>
        <w:pStyle w:val="9"/>
        <w:spacing w:after="0" w:line="480" w:lineRule="auto"/>
        <w:ind w:left="0"/>
        <w:jc w:val="both"/>
        <w:rPr>
          <w:rFonts w:ascii="Times New Roman" w:hAnsi="Times New Roman"/>
          <w:sz w:val="24"/>
          <w:szCs w:val="24"/>
        </w:rPr>
      </w:pPr>
      <w:r>
        <w:rPr>
          <w:rFonts w:ascii="Times New Roman" w:hAnsi="Times New Roman"/>
          <w:sz w:val="24"/>
          <w:szCs w:val="24"/>
        </w:rPr>
        <w:t>Dipidana dengan pidana penjara paling lama 1 tahun atau pidana denda paling banyak kategori II, yaitu Rp10 juta, setiap orang yang:</w:t>
      </w:r>
    </w:p>
    <w:p w14:paraId="63A0E2AE">
      <w:pPr>
        <w:pStyle w:val="9"/>
        <w:spacing w:after="0" w:line="480" w:lineRule="auto"/>
        <w:ind w:left="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Melanggar kesusilaan di muka umum; atau</w:t>
      </w:r>
    </w:p>
    <w:p w14:paraId="5DFF2E26">
      <w:pPr>
        <w:pStyle w:val="9"/>
        <w:spacing w:after="0" w:line="480" w:lineRule="auto"/>
        <w:ind w:left="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Melanggar kesusilaan di muka orang lain yang hadir tanpa kemauan orang yang hadir tersebut.</w:t>
      </w:r>
    </w:p>
    <w:p w14:paraId="5D10640C">
      <w:pPr>
        <w:pStyle w:val="9"/>
        <w:spacing w:after="0" w:line="480" w:lineRule="auto"/>
        <w:ind w:left="0"/>
        <w:jc w:val="both"/>
        <w:rPr>
          <w:rFonts w:ascii="Times New Roman" w:hAnsi="Times New Roman"/>
          <w:sz w:val="24"/>
          <w:szCs w:val="24"/>
        </w:rPr>
      </w:pPr>
      <w:r>
        <w:rPr>
          <w:rFonts w:ascii="Times New Roman" w:hAnsi="Times New Roman"/>
          <w:sz w:val="24"/>
          <w:szCs w:val="24"/>
        </w:rPr>
        <w:t>Penjelasan Pasal 406 huruf a</w:t>
      </w:r>
    </w:p>
    <w:p w14:paraId="68CFFEE0">
      <w:pPr>
        <w:pStyle w:val="9"/>
        <w:spacing w:after="0" w:line="480" w:lineRule="auto"/>
        <w:ind w:left="0"/>
        <w:jc w:val="both"/>
        <w:rPr>
          <w:rFonts w:ascii="Times New Roman" w:hAnsi="Times New Roman"/>
          <w:sz w:val="24"/>
          <w:szCs w:val="24"/>
        </w:rPr>
      </w:pPr>
      <w:r>
        <w:rPr>
          <w:rFonts w:ascii="Times New Roman" w:hAnsi="Times New Roman"/>
          <w:sz w:val="24"/>
          <w:szCs w:val="24"/>
        </w:rPr>
        <w:t>Yang dimaksud dengan “melanggar kesusilaan” adalah melakukan perbuatan mempertunjukkan ketelanjangan, alat kelamin, dan aktivitas seksual yang bertentangan dengan nilai-nilai yang hidup dalam masyarakat di tempat dan waktu perbuatan tersebut dilakukan.</w:t>
      </w:r>
    </w:p>
    <w:p w14:paraId="34B32A57">
      <w:pPr>
        <w:pStyle w:val="9"/>
        <w:spacing w:after="0" w:line="480" w:lineRule="auto"/>
        <w:ind w:left="0"/>
        <w:jc w:val="both"/>
        <w:rPr>
          <w:rFonts w:ascii="Times New Roman" w:hAnsi="Times New Roman"/>
          <w:b/>
          <w:sz w:val="24"/>
          <w:szCs w:val="24"/>
        </w:rPr>
      </w:pPr>
      <w:r>
        <w:rPr>
          <w:rFonts w:ascii="Times New Roman" w:hAnsi="Times New Roman"/>
          <w:b/>
          <w:sz w:val="24"/>
          <w:szCs w:val="24"/>
        </w:rPr>
        <w:t>3. Kendala-kendala yang dihadapi dalam melindungi korban kesusilaan terhadap perempuan dan langkah-langkah.</w:t>
      </w:r>
    </w:p>
    <w:p w14:paraId="63BE1388">
      <w:pPr>
        <w:pStyle w:val="9"/>
        <w:spacing w:after="0" w:line="480" w:lineRule="auto"/>
        <w:ind w:left="0" w:firstLine="720"/>
        <w:jc w:val="both"/>
        <w:rPr>
          <w:rFonts w:ascii="Times New Roman" w:hAnsi="Times New Roman"/>
          <w:sz w:val="24"/>
          <w:szCs w:val="24"/>
        </w:rPr>
      </w:pPr>
      <w:r>
        <w:rPr>
          <w:rFonts w:ascii="Times New Roman" w:hAnsi="Times New Roman"/>
          <w:sz w:val="24"/>
          <w:szCs w:val="24"/>
        </w:rPr>
        <w:t>Hambatan yang dialami berupa proses hukum yang berlarut-larut (undue delay), pembuktian, tidak adanya pasal yang mengatur kejahatan seksual tertentu, intimidasi dari pelaku, dan kurangnya dukungan dari lingkungan terdekat korban.</w:t>
      </w:r>
    </w:p>
    <w:p w14:paraId="78DBE113">
      <w:pPr>
        <w:spacing w:line="480" w:lineRule="auto"/>
        <w:rPr>
          <w:rFonts w:ascii="Times New Roman" w:hAnsi="Times New Roman"/>
          <w:b/>
          <w:sz w:val="24"/>
          <w:szCs w:val="24"/>
        </w:rPr>
      </w:pPr>
      <w:r>
        <w:rPr>
          <w:rFonts w:ascii="Times New Roman" w:hAnsi="Times New Roman"/>
          <w:b/>
          <w:sz w:val="24"/>
          <w:szCs w:val="24"/>
        </w:rPr>
        <w:t>5.2. Saran</w:t>
      </w:r>
    </w:p>
    <w:p w14:paraId="16F76C48">
      <w:pPr>
        <w:spacing w:line="480" w:lineRule="auto"/>
        <w:ind w:firstLine="720"/>
        <w:jc w:val="both"/>
        <w:rPr>
          <w:rFonts w:ascii="Times New Roman" w:hAnsi="Times New Roman"/>
          <w:sz w:val="24"/>
          <w:szCs w:val="24"/>
        </w:rPr>
      </w:pPr>
      <w:r>
        <w:rPr>
          <w:rFonts w:ascii="Times New Roman" w:hAnsi="Times New Roman"/>
          <w:sz w:val="24"/>
          <w:szCs w:val="24"/>
        </w:rPr>
        <w:t>Adapun saran yang dapat diberikan oleh penulis yang berhubungan dengan penelitian ini sebagai berikut:</w:t>
      </w:r>
    </w:p>
    <w:p w14:paraId="52A3F315">
      <w:pPr>
        <w:numPr>
          <w:ilvl w:val="0"/>
          <w:numId w:val="2"/>
        </w:numPr>
        <w:spacing w:line="480" w:lineRule="auto"/>
        <w:jc w:val="both"/>
        <w:rPr>
          <w:rFonts w:ascii="Times New Roman" w:hAnsi="Times New Roman"/>
          <w:sz w:val="24"/>
          <w:szCs w:val="24"/>
        </w:rPr>
      </w:pPr>
      <w:r>
        <w:rPr>
          <w:rFonts w:ascii="Times New Roman" w:hAnsi="Times New Roman"/>
          <w:sz w:val="24"/>
          <w:szCs w:val="24"/>
        </w:rPr>
        <w:t>Penulis berharap para hakim lebih jelih dalam mempertimbangkan hal-hal yang memberatkan dan meringankan terdakwa, ini berkaitan dengan nilai keadilan suatu putusan bagi semua pihak dan efek jerah putusan tersebut.</w:t>
      </w:r>
    </w:p>
    <w:p w14:paraId="54489BF1">
      <w:pPr>
        <w:numPr>
          <w:ilvl w:val="0"/>
          <w:numId w:val="2"/>
        </w:numPr>
        <w:spacing w:line="480" w:lineRule="auto"/>
        <w:jc w:val="both"/>
        <w:rPr>
          <w:rFonts w:ascii="Times New Roman" w:hAnsi="Times New Roman"/>
          <w:sz w:val="24"/>
          <w:szCs w:val="24"/>
        </w:rPr>
      </w:pPr>
      <w:r>
        <w:rPr>
          <w:rFonts w:ascii="Times New Roman" w:hAnsi="Times New Roman"/>
          <w:sz w:val="24"/>
          <w:szCs w:val="24"/>
        </w:rPr>
        <w:t>Penulis berharap orang tua lebih memberikan perhatian dan pemahaman terhadap anak supaya anak tidak terjebak apalagi menjadi korban tindak pidana pencabulan yang merusak masa depan, Penulis berharap para hakim lebih jelih dalam mempertimbangkan hal-hal yang memberatkan dan meringankan terdakwa, ini berkaitan dengan nilai keadilan suatu putusan bagi semua pihak dan efek jerah putusan tersebut.</w:t>
      </w:r>
    </w:p>
    <w:p w14:paraId="1278ABC8">
      <w:pPr>
        <w:spacing w:line="480" w:lineRule="auto"/>
      </w:pPr>
      <w:r>
        <w:rPr>
          <w:rFonts w:ascii="Times New Roman" w:hAnsi="Times New Roman"/>
          <w:sz w:val="24"/>
          <w:szCs w:val="24"/>
        </w:rPr>
        <w:t>Penulis berharap orang tua lebih memberikan perhatian dan pemahamaan terhadap anak supaya anak tidak terjebak apalagi menjadi korban tindak pidana pencabulan yang merusak masa</w:t>
      </w:r>
    </w:p>
    <w:sectPr>
      <w:headerReference r:id="rId7" w:type="first"/>
      <w:headerReference r:id="rId5" w:type="default"/>
      <w:footerReference r:id="rId8" w:type="default"/>
      <w:headerReference r:id="rId6" w:type="even"/>
      <w:pgSz w:w="11907" w:h="16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50E0">
    <w:pPr>
      <w:pStyle w:val="5"/>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94FBC">
    <w:pPr>
      <w:pStyle w:val="8"/>
    </w:pPr>
    <w:r>
      <w:rPr>
        <w:lang w:val="en-US" w:eastAsia="en-US"/>
      </w:rPr>
      <w:pict>
        <v:shape id="WordPictureWatermark15051546" o:spid="_x0000_s2057" o:spt="75" type="#_x0000_t75" style="position:absolute;left:0pt;height:390.9pt;width:396.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552C">
    <w:pPr>
      <w:pStyle w:val="8"/>
    </w:pPr>
    <w:r>
      <w:rPr>
        <w:lang w:val="en-US" w:eastAsia="en-US"/>
      </w:rPr>
      <w:pict>
        <v:shape id="WordPictureWatermark15051545" o:spid="_x0000_s2056" o:spt="75" type="#_x0000_t75" style="position:absolute;left:0pt;height:390.9pt;width:39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6BB0">
    <w:pPr>
      <w:pStyle w:val="8"/>
    </w:pPr>
    <w:r>
      <w:rPr>
        <w:lang w:val="en-US" w:eastAsia="en-US"/>
      </w:rPr>
      <w:pict>
        <v:shape id="WordPictureWatermark15051544" o:spid="_x0000_s2055" o:spt="75" type="#_x0000_t75" style="position:absolute;left:0pt;height:390.9pt;width:39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53ACD"/>
    <w:multiLevelType w:val="multilevel"/>
    <w:tmpl w:val="2D653A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6B0F81"/>
    <w:multiLevelType w:val="multilevel"/>
    <w:tmpl w:val="446B0F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vhBXNUrzj4ZZYpqroFd/kC3YTUo=" w:salt="8GP6APcP5ZX4lm8Ib+vxrQ=="/>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D0"/>
    <w:rsid w:val="00430615"/>
    <w:rsid w:val="00457790"/>
    <w:rsid w:val="0057308F"/>
    <w:rsid w:val="006848D0"/>
    <w:rsid w:val="009C0CDA"/>
    <w:rsid w:val="00A84B9C"/>
    <w:rsid w:val="00AF7800"/>
    <w:rsid w:val="00B75207"/>
    <w:rsid w:val="00D44276"/>
    <w:rsid w:val="00E4219F"/>
    <w:rsid w:val="00F221A0"/>
    <w:rsid w:val="00FA3C53"/>
    <w:rsid w:val="63CE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pPr>
    <w:rPr>
      <w:lang w:val="zh-CN" w:eastAsia="zh-CN"/>
    </w:rPr>
  </w:style>
  <w:style w:type="character" w:styleId="6">
    <w:name w:val="footnote reference"/>
    <w:semiHidden/>
    <w:unhideWhenUsed/>
    <w:uiPriority w:val="99"/>
    <w:rPr>
      <w:vertAlign w:val="superscript"/>
    </w:rPr>
  </w:style>
  <w:style w:type="paragraph" w:styleId="7">
    <w:name w:val="footnote text"/>
    <w:basedOn w:val="1"/>
    <w:link w:val="15"/>
    <w:semiHidden/>
    <w:unhideWhenUsed/>
    <w:uiPriority w:val="99"/>
    <w:pPr>
      <w:spacing w:after="0" w:line="240" w:lineRule="auto"/>
    </w:pPr>
    <w:rPr>
      <w:sz w:val="20"/>
      <w:szCs w:val="20"/>
      <w:lang w:val="zh-CN" w:eastAsia="zh-CN"/>
    </w:rPr>
  </w:style>
  <w:style w:type="paragraph" w:styleId="8">
    <w:name w:val="header"/>
    <w:basedOn w:val="1"/>
    <w:link w:val="11"/>
    <w:unhideWhenUsed/>
    <w:uiPriority w:val="99"/>
    <w:pPr>
      <w:tabs>
        <w:tab w:val="center" w:pos="4680"/>
        <w:tab w:val="right" w:pos="9360"/>
      </w:tabs>
    </w:pPr>
    <w:rPr>
      <w:lang w:val="zh-CN" w:eastAsia="zh-CN"/>
    </w:r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rFonts w:ascii="Calibri" w:hAnsi="Calibri" w:eastAsia="Calibri" w:cs="Times New Roman"/>
    </w:rPr>
  </w:style>
  <w:style w:type="character" w:customStyle="1" w:styleId="11">
    <w:name w:val="Header Char"/>
    <w:basedOn w:val="2"/>
    <w:link w:val="8"/>
    <w:uiPriority w:val="99"/>
    <w:rPr>
      <w:rFonts w:ascii="Calibri" w:hAnsi="Calibri" w:eastAsia="Calibri" w:cs="Times New Roman"/>
      <w:lang w:val="zh-CN" w:eastAsia="zh-CN"/>
    </w:rPr>
  </w:style>
  <w:style w:type="character" w:customStyle="1" w:styleId="12">
    <w:name w:val="Footer Char"/>
    <w:basedOn w:val="2"/>
    <w:link w:val="5"/>
    <w:uiPriority w:val="99"/>
    <w:rPr>
      <w:rFonts w:ascii="Calibri" w:hAnsi="Calibri" w:eastAsia="Calibri" w:cs="Times New Roman"/>
      <w:lang w:val="zh-CN" w:eastAsia="zh-CN"/>
    </w:rPr>
  </w:style>
  <w:style w:type="paragraph" w:styleId="13">
    <w:name w:val="No Spacing"/>
    <w:qFormat/>
    <w:uiPriority w:val="1"/>
    <w:pPr>
      <w:spacing w:after="0" w:line="240" w:lineRule="auto"/>
    </w:pPr>
    <w:rPr>
      <w:rFonts w:ascii="Calibri" w:hAnsi="Calibri" w:eastAsia="Times New Roman" w:cs="Times New Roman"/>
      <w:sz w:val="22"/>
      <w:szCs w:val="22"/>
      <w:lang w:val="id-ID" w:eastAsia="id-ID" w:bidi="ar-SA"/>
    </w:rPr>
  </w:style>
  <w:style w:type="character" w:customStyle="1" w:styleId="14">
    <w:name w:val="Balloon Text Char"/>
    <w:basedOn w:val="2"/>
    <w:link w:val="4"/>
    <w:semiHidden/>
    <w:uiPriority w:val="99"/>
    <w:rPr>
      <w:rFonts w:ascii="Tahoma" w:hAnsi="Tahoma" w:eastAsia="Calibri" w:cs="Tahoma"/>
      <w:sz w:val="16"/>
      <w:szCs w:val="16"/>
    </w:rPr>
  </w:style>
  <w:style w:type="character" w:customStyle="1" w:styleId="15">
    <w:name w:val="Footnote Text Char"/>
    <w:basedOn w:val="2"/>
    <w:link w:val="7"/>
    <w:semiHidden/>
    <w:uiPriority w:val="99"/>
    <w:rPr>
      <w:rFonts w:ascii="Calibri" w:hAnsi="Calibri" w:eastAsia="Calibri" w:cs="Times New Roman"/>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6B444-3A01-4CD0-97AC-0FFA0E786401}">
  <ds:schemaRefs/>
</ds:datastoreItem>
</file>

<file path=docProps/app.xml><?xml version="1.0" encoding="utf-8"?>
<Properties xmlns="http://schemas.openxmlformats.org/officeDocument/2006/extended-properties" xmlns:vt="http://schemas.openxmlformats.org/officeDocument/2006/docPropsVTypes">
  <Template>Normal</Template>
  <Pages>4</Pages>
  <Words>737</Words>
  <Characters>4204</Characters>
  <Lines>35</Lines>
  <Paragraphs>9</Paragraphs>
  <TotalTime>1</TotalTime>
  <ScaleCrop>false</ScaleCrop>
  <LinksUpToDate>false</LinksUpToDate>
  <CharactersWithSpaces>4932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2025-07-25T07:11:00Z</dcterms:created>
  <dc:creator>OPERATOR</dc:creator>
  <cp:lastModifiedBy>Win7</cp:lastModifiedBy>
  <dcterms:modified xsi:type="dcterms:W3CDTF">2025-08-04T02:26:59Z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9D9A75CBB4274CA38C6F506AD1F69622_12</vt:lpwstr>
  </property>
</Properties>
</file>