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564" w:rsidRPr="00B20564" w:rsidRDefault="00B20564" w:rsidP="00B20564">
      <w:pPr>
        <w:pStyle w:val="Heading1"/>
        <w:jc w:val="center"/>
        <w:rPr>
          <w:color w:val="auto"/>
        </w:rPr>
      </w:pPr>
      <w:bookmarkStart w:id="0" w:name="_Toc177133654"/>
      <w:bookmarkStart w:id="1" w:name="_GoBack"/>
      <w:bookmarkEnd w:id="1"/>
      <w:r w:rsidRPr="00B20564">
        <w:rPr>
          <w:color w:val="auto"/>
        </w:rPr>
        <w:t>BAB I</w:t>
      </w:r>
      <w:bookmarkEnd w:id="0"/>
    </w:p>
    <w:p w:rsidR="00B20564" w:rsidRPr="00B20564" w:rsidRDefault="00B20564" w:rsidP="00B20564">
      <w:pPr>
        <w:pStyle w:val="Heading1"/>
        <w:jc w:val="center"/>
        <w:rPr>
          <w:color w:val="auto"/>
        </w:rPr>
      </w:pPr>
      <w:bookmarkStart w:id="2" w:name="_Toc177133655"/>
      <w:r w:rsidRPr="00B20564">
        <w:rPr>
          <w:color w:val="auto"/>
        </w:rPr>
        <w:t>PENDAHULUAN</w:t>
      </w:r>
      <w:bookmarkEnd w:id="2"/>
    </w:p>
    <w:p w:rsidR="00B20564" w:rsidRPr="00B20564" w:rsidRDefault="00B20564" w:rsidP="00B20564">
      <w:pPr>
        <w:spacing w:after="0" w:line="240" w:lineRule="auto"/>
        <w:jc w:val="center"/>
        <w:rPr>
          <w:rFonts w:ascii="Times New Roman" w:hAnsi="Times New Roman"/>
          <w:b/>
          <w:sz w:val="24"/>
          <w:szCs w:val="24"/>
        </w:rPr>
      </w:pPr>
    </w:p>
    <w:p w:rsidR="00B20564" w:rsidRPr="00B20564" w:rsidRDefault="00B20564" w:rsidP="00B20564">
      <w:pPr>
        <w:pStyle w:val="ListParagraph"/>
        <w:numPr>
          <w:ilvl w:val="0"/>
          <w:numId w:val="17"/>
        </w:numPr>
        <w:spacing w:after="0" w:line="480" w:lineRule="auto"/>
        <w:ind w:left="709" w:hanging="709"/>
        <w:jc w:val="both"/>
        <w:outlineLvl w:val="1"/>
        <w:rPr>
          <w:rFonts w:ascii="Times New Roman" w:hAnsi="Times New Roman"/>
          <w:b/>
          <w:sz w:val="24"/>
          <w:szCs w:val="24"/>
        </w:rPr>
      </w:pPr>
      <w:bookmarkStart w:id="3" w:name="_Toc177133656"/>
      <w:r w:rsidRPr="00B20564">
        <w:rPr>
          <w:rFonts w:ascii="Times New Roman" w:hAnsi="Times New Roman"/>
          <w:b/>
          <w:sz w:val="24"/>
          <w:szCs w:val="24"/>
        </w:rPr>
        <w:t>Latar Belakang</w:t>
      </w:r>
      <w:bookmarkEnd w:id="3"/>
      <w:r w:rsidRPr="00B20564">
        <w:rPr>
          <w:rFonts w:ascii="Times New Roman" w:hAnsi="Times New Roman"/>
          <w:b/>
          <w:sz w:val="24"/>
          <w:szCs w:val="24"/>
        </w:rPr>
        <w:t xml:space="preserve"> </w:t>
      </w:r>
    </w:p>
    <w:p w:rsidR="00B20564" w:rsidRPr="00B20564" w:rsidRDefault="00B20564" w:rsidP="00B20564">
      <w:pPr>
        <w:pStyle w:val="BodyText"/>
        <w:spacing w:line="480" w:lineRule="auto"/>
        <w:ind w:firstLine="709"/>
        <w:jc w:val="both"/>
      </w:pPr>
      <w:r w:rsidRPr="00B20564">
        <w:t>Meningkatkan mobilitas sosial masyarakat merupakan hal yang penting, sehingga negara wajib</w:t>
      </w:r>
      <w:r w:rsidRPr="00B20564">
        <w:tab/>
        <w:t>mengaturnya sesuai dengan perkembangan zaman agar terjaganya hak-hak warga negara dalam kegiatan lalu lintas dan angkutan jalan. Lalu Lintas dan Angkutan Jalan (LLAJ) merupakan hal yang sangat dekat dengan masyarakat, setiap waktu masyarakat terus bergulat dengan angkutan jalan dengan bermacam-macam kepentingan. Oleh karena itu di sini warga negara butuh agar hak-hak mereka dalam berlalu lintas dijamin dan dilindungi oleh negara. Negara sebagai sebuah organisasi tertinggi dari masyarakat berkewajiban menjamin dan melindungi hak-hak warga negaranya di jalan</w:t>
      </w:r>
      <w:r w:rsidRPr="00B20564">
        <w:rPr>
          <w:vertAlign w:val="superscript"/>
        </w:rPr>
        <w:footnoteReference w:id="1"/>
      </w:r>
      <w:r w:rsidRPr="00B20564">
        <w:t>.</w:t>
      </w:r>
    </w:p>
    <w:p w:rsidR="00B20564" w:rsidRPr="00B20564" w:rsidRDefault="00B20564" w:rsidP="00B20564">
      <w:pPr>
        <w:pStyle w:val="BodyText"/>
        <w:spacing w:line="480" w:lineRule="auto"/>
        <w:ind w:firstLine="709"/>
        <w:jc w:val="both"/>
      </w:pPr>
      <w:r w:rsidRPr="00B20564">
        <w:t>Lalu lintas dan angkutan jalan memiliki peranan yang penting dalam mendukung pembangunan dan integrasi nasional sebagai bagian dari upaya memajukan kesejahteraan umum sebagaimana diamanatkan oleh Undang-Undang Dasar Negara Republik Indonesia Tahun 1945. Secara harafiah, istilah lalu lintas dapat diartikan sebagai gerak (bolak-balik) manusia atau barang dari suatu tempat ke tempat yang lain dengan menggunakan sarana jalan umum</w:t>
      </w:r>
      <w:r w:rsidRPr="00B20564">
        <w:rPr>
          <w:vertAlign w:val="superscript"/>
        </w:rPr>
        <w:footnoteReference w:id="2"/>
      </w:r>
      <w:r w:rsidRPr="00B20564">
        <w:t>.</w:t>
      </w:r>
    </w:p>
    <w:p w:rsidR="00B20564" w:rsidRPr="00B20564" w:rsidRDefault="00B20564" w:rsidP="00B20564">
      <w:pPr>
        <w:spacing w:after="0"/>
        <w:ind w:firstLine="709"/>
        <w:rPr>
          <w:rFonts w:ascii="Times New Roman" w:hAnsi="Times New Roman"/>
          <w:sz w:val="24"/>
          <w:szCs w:val="24"/>
        </w:rPr>
        <w:sectPr w:rsidR="00B20564" w:rsidRPr="00B20564" w:rsidSect="00141AE5">
          <w:footerReference w:type="first" r:id="rId7"/>
          <w:pgSz w:w="11907" w:h="16839" w:code="9"/>
          <w:pgMar w:top="1701" w:right="1701" w:bottom="1701" w:left="2268" w:header="720" w:footer="720" w:gutter="0"/>
          <w:pgNumType w:start="1"/>
          <w:cols w:space="720"/>
          <w:titlePg/>
          <w:docGrid w:linePitch="360"/>
        </w:sectPr>
      </w:pPr>
      <w:r w:rsidRPr="00B20564">
        <w:rPr>
          <w:rFonts w:ascii="Times New Roman" w:hAnsi="Times New Roman"/>
          <w:sz w:val="24"/>
          <w:szCs w:val="24"/>
        </w:rPr>
        <w:t xml:space="preserve">Perlu ditanamkan kesadaran berlalu lintas sejak dini kepada seluruh warga negara dengan </w:t>
      </w:r>
      <w:proofErr w:type="gramStart"/>
      <w:r w:rsidRPr="00B20564">
        <w:rPr>
          <w:rFonts w:ascii="Times New Roman" w:hAnsi="Times New Roman"/>
          <w:sz w:val="24"/>
          <w:szCs w:val="24"/>
        </w:rPr>
        <w:t>cara</w:t>
      </w:r>
      <w:proofErr w:type="gramEnd"/>
      <w:r w:rsidRPr="00B20564">
        <w:rPr>
          <w:rFonts w:ascii="Times New Roman" w:hAnsi="Times New Roman"/>
          <w:sz w:val="24"/>
          <w:szCs w:val="24"/>
        </w:rPr>
        <w:t xml:space="preserve"> memperkenalkan makna rambu lalu lintas yang ada biasa </w:t>
      </w:r>
    </w:p>
    <w:p w:rsidR="00B20564" w:rsidRPr="00B20564" w:rsidRDefault="00B20564" w:rsidP="00B20564">
      <w:pPr>
        <w:spacing w:after="0"/>
        <w:rPr>
          <w:rFonts w:ascii="Times New Roman" w:hAnsi="Times New Roman"/>
          <w:sz w:val="24"/>
          <w:szCs w:val="24"/>
        </w:rPr>
      </w:pPr>
      <w:proofErr w:type="gramStart"/>
      <w:r w:rsidRPr="00B20564">
        <w:rPr>
          <w:rFonts w:ascii="Times New Roman" w:hAnsi="Times New Roman"/>
          <w:sz w:val="24"/>
          <w:szCs w:val="24"/>
        </w:rPr>
        <w:lastRenderedPageBreak/>
        <w:t>ditemukan</w:t>
      </w:r>
      <w:proofErr w:type="gramEnd"/>
      <w:r w:rsidRPr="00B20564">
        <w:rPr>
          <w:rFonts w:ascii="Times New Roman" w:hAnsi="Times New Roman"/>
          <w:sz w:val="24"/>
          <w:szCs w:val="24"/>
        </w:rPr>
        <w:t xml:space="preserve"> di jalan raya kepada anak-anak. Mengingat zaman sudah berubah, belakangan semakin banyak saja kendaraan yang melintas di jalan - jalan. Banyak yang menggunakan kendaraannya dengan semaunya saja, tanpa memikirkan keadaan dan lingkungan serta peraturan lalu lintas yang ada. Pengguna kendaraan pun banyak juga ragamnya, dari anak - anak sekolah sampai yang bekerja. Dan para pengguna kendaraan harus mengikuti peraturan yang sudah ditentukan di dalam undang-undang.</w:t>
      </w:r>
      <w:r w:rsidRPr="00B20564">
        <w:rPr>
          <w:rStyle w:val="FootnoteReference"/>
          <w:rFonts w:ascii="Times New Roman" w:hAnsi="Times New Roman"/>
          <w:sz w:val="24"/>
          <w:szCs w:val="24"/>
        </w:rPr>
        <w:footnoteReference w:id="3"/>
      </w:r>
    </w:p>
    <w:p w:rsidR="00B20564" w:rsidRPr="00B20564" w:rsidRDefault="00B20564" w:rsidP="00B20564">
      <w:pPr>
        <w:pStyle w:val="BodyText"/>
        <w:spacing w:line="480" w:lineRule="auto"/>
        <w:ind w:firstLine="600"/>
        <w:jc w:val="both"/>
      </w:pPr>
      <w:r w:rsidRPr="00B20564">
        <w:t>Pada tahun 2023 saja, tercatat bahwa terdapat lebih dari 500 kasus kecelakaan lalu lintas di wilayah ini, dengan lebih dari 100 kasus di antaranya melibatkan korban jiwa. Kondisi ini memperlihatkan bahwa upaya penertiban dan sosialisasi yang telah dilakukan belum sepenuhnya efektif. Oleh karena itu, diperlukan penelitian mendalam untuk menganalisis hambatan-hambatan dalam implementasi UU Nomor 22 Tahun 2009 tentang Lalu Lintas dan Angkutan Jalan serta mencari solusi yang tepat untuk meningkatkan efektivitas penegakan hukum dan kesadaran berlalu lintas di masyarakat.</w:t>
      </w:r>
    </w:p>
    <w:p w:rsidR="00B20564" w:rsidRPr="00B20564" w:rsidRDefault="00B20564" w:rsidP="00B20564">
      <w:pPr>
        <w:pStyle w:val="BodyText"/>
        <w:spacing w:line="480" w:lineRule="auto"/>
        <w:ind w:firstLine="600"/>
        <w:jc w:val="center"/>
      </w:pPr>
      <w:r w:rsidRPr="00B20564">
        <w:t>Tabel 1.1 Data Kasus Kecelakaan Lalu Lintas Deli Serdang</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843"/>
        <w:gridCol w:w="1985"/>
        <w:gridCol w:w="1275"/>
        <w:gridCol w:w="993"/>
        <w:gridCol w:w="1417"/>
      </w:tblGrid>
      <w:tr w:rsidR="00B20564" w:rsidRPr="00B20564" w:rsidTr="00B64A1D">
        <w:tc>
          <w:tcPr>
            <w:tcW w:w="567" w:type="dxa"/>
            <w:vMerge w:val="restart"/>
            <w:shd w:val="clear" w:color="auto" w:fill="auto"/>
            <w:vAlign w:val="center"/>
          </w:tcPr>
          <w:p w:rsidR="00B20564" w:rsidRPr="00B20564" w:rsidRDefault="00B20564" w:rsidP="00B64A1D">
            <w:pPr>
              <w:pStyle w:val="BodyText"/>
              <w:jc w:val="center"/>
              <w:rPr>
                <w:b/>
              </w:rPr>
            </w:pPr>
            <w:r w:rsidRPr="00B20564">
              <w:rPr>
                <w:b/>
              </w:rPr>
              <w:t>No</w:t>
            </w:r>
          </w:p>
        </w:tc>
        <w:tc>
          <w:tcPr>
            <w:tcW w:w="1985" w:type="dxa"/>
            <w:vMerge w:val="restart"/>
            <w:shd w:val="clear" w:color="auto" w:fill="auto"/>
            <w:vAlign w:val="center"/>
          </w:tcPr>
          <w:p w:rsidR="00B20564" w:rsidRPr="00B20564" w:rsidRDefault="00B20564" w:rsidP="00B64A1D">
            <w:pPr>
              <w:pStyle w:val="BodyText"/>
              <w:ind w:left="-108" w:right="-135"/>
              <w:jc w:val="center"/>
              <w:rPr>
                <w:b/>
              </w:rPr>
            </w:pPr>
            <w:r w:rsidRPr="00B20564">
              <w:rPr>
                <w:b/>
              </w:rPr>
              <w:t>Uraian</w:t>
            </w:r>
          </w:p>
        </w:tc>
        <w:tc>
          <w:tcPr>
            <w:tcW w:w="3828" w:type="dxa"/>
            <w:gridSpan w:val="2"/>
            <w:shd w:val="clear" w:color="auto" w:fill="auto"/>
            <w:vAlign w:val="center"/>
          </w:tcPr>
          <w:p w:rsidR="00B20564" w:rsidRPr="00B20564" w:rsidRDefault="00B20564" w:rsidP="00B64A1D">
            <w:pPr>
              <w:pStyle w:val="BodyText"/>
              <w:ind w:left="-108" w:right="-135"/>
              <w:jc w:val="center"/>
              <w:rPr>
                <w:b/>
              </w:rPr>
            </w:pPr>
            <w:r w:rsidRPr="00B20564">
              <w:rPr>
                <w:b/>
              </w:rPr>
              <w:t>Tahun</w:t>
            </w:r>
          </w:p>
        </w:tc>
        <w:tc>
          <w:tcPr>
            <w:tcW w:w="2268" w:type="dxa"/>
            <w:gridSpan w:val="2"/>
            <w:shd w:val="clear" w:color="auto" w:fill="auto"/>
            <w:vAlign w:val="center"/>
          </w:tcPr>
          <w:p w:rsidR="00B20564" w:rsidRPr="00B20564" w:rsidRDefault="00B20564" w:rsidP="00B64A1D">
            <w:pPr>
              <w:pStyle w:val="BodyText"/>
              <w:ind w:left="-108" w:right="-135"/>
              <w:jc w:val="center"/>
              <w:rPr>
                <w:b/>
              </w:rPr>
            </w:pPr>
            <w:r w:rsidRPr="00B20564">
              <w:rPr>
                <w:b/>
              </w:rPr>
              <w:t>Treno</w:t>
            </w:r>
          </w:p>
        </w:tc>
        <w:tc>
          <w:tcPr>
            <w:tcW w:w="1417" w:type="dxa"/>
            <w:shd w:val="clear" w:color="auto" w:fill="auto"/>
            <w:vAlign w:val="center"/>
          </w:tcPr>
          <w:p w:rsidR="00B20564" w:rsidRPr="00B20564" w:rsidRDefault="00B20564" w:rsidP="00B64A1D">
            <w:pPr>
              <w:pStyle w:val="BodyText"/>
              <w:ind w:left="-108" w:right="-135"/>
              <w:jc w:val="center"/>
              <w:rPr>
                <w:b/>
              </w:rPr>
            </w:pPr>
            <w:r w:rsidRPr="00B20564">
              <w:rPr>
                <w:b/>
              </w:rPr>
              <w:t>Ket</w:t>
            </w:r>
          </w:p>
        </w:tc>
      </w:tr>
      <w:tr w:rsidR="00B20564" w:rsidRPr="00B20564" w:rsidTr="00B64A1D">
        <w:tc>
          <w:tcPr>
            <w:tcW w:w="567" w:type="dxa"/>
            <w:vMerge/>
            <w:shd w:val="clear" w:color="auto" w:fill="auto"/>
            <w:vAlign w:val="center"/>
          </w:tcPr>
          <w:p w:rsidR="00B20564" w:rsidRPr="00B20564" w:rsidRDefault="00B20564" w:rsidP="00B64A1D">
            <w:pPr>
              <w:pStyle w:val="BodyText"/>
              <w:jc w:val="center"/>
            </w:pPr>
          </w:p>
        </w:tc>
        <w:tc>
          <w:tcPr>
            <w:tcW w:w="1985" w:type="dxa"/>
            <w:vMerge/>
            <w:shd w:val="clear" w:color="auto" w:fill="auto"/>
            <w:vAlign w:val="center"/>
          </w:tcPr>
          <w:p w:rsidR="00B20564" w:rsidRPr="00B20564" w:rsidRDefault="00B20564" w:rsidP="00B64A1D">
            <w:pPr>
              <w:pStyle w:val="BodyText"/>
              <w:jc w:val="center"/>
            </w:pPr>
          </w:p>
        </w:tc>
        <w:tc>
          <w:tcPr>
            <w:tcW w:w="1843" w:type="dxa"/>
            <w:shd w:val="clear" w:color="auto" w:fill="auto"/>
            <w:vAlign w:val="center"/>
          </w:tcPr>
          <w:p w:rsidR="00B20564" w:rsidRPr="00B20564" w:rsidRDefault="00B20564" w:rsidP="00B64A1D">
            <w:pPr>
              <w:pStyle w:val="BodyText"/>
              <w:jc w:val="center"/>
              <w:rPr>
                <w:b/>
              </w:rPr>
            </w:pPr>
            <w:r w:rsidRPr="00B20564">
              <w:rPr>
                <w:b/>
              </w:rPr>
              <w:t>2022</w:t>
            </w:r>
          </w:p>
        </w:tc>
        <w:tc>
          <w:tcPr>
            <w:tcW w:w="1985" w:type="dxa"/>
            <w:shd w:val="clear" w:color="auto" w:fill="auto"/>
            <w:vAlign w:val="center"/>
          </w:tcPr>
          <w:p w:rsidR="00B20564" w:rsidRPr="00B20564" w:rsidRDefault="00B20564" w:rsidP="00B64A1D">
            <w:pPr>
              <w:pStyle w:val="BodyText"/>
              <w:jc w:val="center"/>
              <w:rPr>
                <w:b/>
              </w:rPr>
            </w:pPr>
            <w:r w:rsidRPr="00B20564">
              <w:rPr>
                <w:b/>
              </w:rPr>
              <w:t>2023</w:t>
            </w:r>
          </w:p>
        </w:tc>
        <w:tc>
          <w:tcPr>
            <w:tcW w:w="1275" w:type="dxa"/>
            <w:shd w:val="clear" w:color="auto" w:fill="auto"/>
            <w:vAlign w:val="center"/>
          </w:tcPr>
          <w:p w:rsidR="00B20564" w:rsidRPr="00B20564" w:rsidRDefault="00B20564" w:rsidP="00B64A1D">
            <w:pPr>
              <w:pStyle w:val="BodyText"/>
              <w:jc w:val="center"/>
              <w:rPr>
                <w:b/>
              </w:rPr>
            </w:pPr>
            <w:r w:rsidRPr="00B20564">
              <w:rPr>
                <w:b/>
              </w:rPr>
              <w:t>Angka</w:t>
            </w:r>
          </w:p>
        </w:tc>
        <w:tc>
          <w:tcPr>
            <w:tcW w:w="993" w:type="dxa"/>
            <w:shd w:val="clear" w:color="auto" w:fill="auto"/>
            <w:vAlign w:val="center"/>
          </w:tcPr>
          <w:p w:rsidR="00B20564" w:rsidRPr="00B20564" w:rsidRDefault="00B20564" w:rsidP="00B64A1D">
            <w:pPr>
              <w:pStyle w:val="BodyText"/>
              <w:jc w:val="center"/>
              <w:rPr>
                <w:b/>
              </w:rPr>
            </w:pPr>
            <w:r w:rsidRPr="00B20564">
              <w:rPr>
                <w:b/>
              </w:rPr>
              <w:t>%</w:t>
            </w:r>
          </w:p>
        </w:tc>
        <w:tc>
          <w:tcPr>
            <w:tcW w:w="1417" w:type="dxa"/>
            <w:shd w:val="clear" w:color="auto" w:fill="auto"/>
            <w:vAlign w:val="center"/>
          </w:tcPr>
          <w:p w:rsidR="00B20564" w:rsidRPr="00B20564" w:rsidRDefault="00B20564" w:rsidP="00B64A1D">
            <w:pPr>
              <w:pStyle w:val="BodyText"/>
              <w:jc w:val="center"/>
            </w:pPr>
            <w:r w:rsidRPr="00B20564">
              <w:t>PERKARA</w:t>
            </w:r>
          </w:p>
        </w:tc>
      </w:tr>
      <w:tr w:rsidR="00B20564" w:rsidRPr="00B20564" w:rsidTr="00B64A1D">
        <w:tc>
          <w:tcPr>
            <w:tcW w:w="567" w:type="dxa"/>
            <w:shd w:val="clear" w:color="auto" w:fill="auto"/>
            <w:vAlign w:val="center"/>
          </w:tcPr>
          <w:p w:rsidR="00B20564" w:rsidRPr="00B20564" w:rsidRDefault="00B20564" w:rsidP="00B64A1D">
            <w:pPr>
              <w:pStyle w:val="BodyText"/>
              <w:ind w:left="-142"/>
              <w:jc w:val="center"/>
            </w:pPr>
            <w:r w:rsidRPr="00B20564">
              <w:t>1</w:t>
            </w:r>
          </w:p>
        </w:tc>
        <w:tc>
          <w:tcPr>
            <w:tcW w:w="1985" w:type="dxa"/>
            <w:shd w:val="clear" w:color="auto" w:fill="auto"/>
            <w:vAlign w:val="center"/>
          </w:tcPr>
          <w:p w:rsidR="00B20564" w:rsidRPr="00B20564" w:rsidRDefault="00B20564" w:rsidP="00B64A1D">
            <w:pPr>
              <w:pStyle w:val="BodyText"/>
            </w:pPr>
            <w:r w:rsidRPr="00B20564">
              <w:t>Jumlah Laka</w:t>
            </w:r>
          </w:p>
        </w:tc>
        <w:tc>
          <w:tcPr>
            <w:tcW w:w="1843" w:type="dxa"/>
            <w:shd w:val="clear" w:color="auto" w:fill="auto"/>
            <w:vAlign w:val="center"/>
          </w:tcPr>
          <w:p w:rsidR="00B20564" w:rsidRPr="00B20564" w:rsidRDefault="00B20564" w:rsidP="00B64A1D">
            <w:pPr>
              <w:pStyle w:val="BodyText"/>
              <w:jc w:val="center"/>
            </w:pPr>
            <w:r w:rsidRPr="00B20564">
              <w:t>392</w:t>
            </w:r>
          </w:p>
        </w:tc>
        <w:tc>
          <w:tcPr>
            <w:tcW w:w="1985" w:type="dxa"/>
            <w:shd w:val="clear" w:color="auto" w:fill="auto"/>
            <w:vAlign w:val="center"/>
          </w:tcPr>
          <w:p w:rsidR="00B20564" w:rsidRPr="00B20564" w:rsidRDefault="00B20564" w:rsidP="00B64A1D">
            <w:pPr>
              <w:pStyle w:val="BodyText"/>
              <w:jc w:val="center"/>
            </w:pPr>
            <w:r w:rsidRPr="00B20564">
              <w:t>368</w:t>
            </w:r>
          </w:p>
        </w:tc>
        <w:tc>
          <w:tcPr>
            <w:tcW w:w="1275" w:type="dxa"/>
            <w:shd w:val="clear" w:color="auto" w:fill="auto"/>
            <w:vAlign w:val="center"/>
          </w:tcPr>
          <w:p w:rsidR="00B20564" w:rsidRPr="00B20564" w:rsidRDefault="00B20564" w:rsidP="00B64A1D">
            <w:pPr>
              <w:pStyle w:val="BodyText"/>
              <w:jc w:val="center"/>
            </w:pPr>
            <w:r w:rsidRPr="00B20564">
              <w:t>Turun</w:t>
            </w:r>
          </w:p>
        </w:tc>
        <w:tc>
          <w:tcPr>
            <w:tcW w:w="993" w:type="dxa"/>
            <w:shd w:val="clear" w:color="auto" w:fill="auto"/>
            <w:vAlign w:val="center"/>
          </w:tcPr>
          <w:p w:rsidR="00B20564" w:rsidRPr="00B20564" w:rsidRDefault="00B20564" w:rsidP="00B64A1D">
            <w:pPr>
              <w:pStyle w:val="BodyText"/>
              <w:jc w:val="center"/>
            </w:pPr>
            <w:r w:rsidRPr="00B20564">
              <w:t>-6.12</w:t>
            </w:r>
          </w:p>
        </w:tc>
        <w:tc>
          <w:tcPr>
            <w:tcW w:w="1417" w:type="dxa"/>
            <w:shd w:val="clear" w:color="auto" w:fill="auto"/>
            <w:vAlign w:val="center"/>
          </w:tcPr>
          <w:p w:rsidR="00B20564" w:rsidRPr="00B20564" w:rsidRDefault="00B20564" w:rsidP="00B64A1D">
            <w:pPr>
              <w:pStyle w:val="BodyText"/>
              <w:jc w:val="center"/>
            </w:pPr>
            <w:r w:rsidRPr="00B20564">
              <w:t>JIWA</w:t>
            </w:r>
          </w:p>
        </w:tc>
      </w:tr>
      <w:tr w:rsidR="00B20564" w:rsidRPr="00B20564" w:rsidTr="00B64A1D">
        <w:tc>
          <w:tcPr>
            <w:tcW w:w="567" w:type="dxa"/>
            <w:shd w:val="clear" w:color="auto" w:fill="auto"/>
            <w:vAlign w:val="center"/>
          </w:tcPr>
          <w:p w:rsidR="00B20564" w:rsidRPr="00B20564" w:rsidRDefault="00B20564" w:rsidP="00B64A1D">
            <w:pPr>
              <w:pStyle w:val="BodyText"/>
              <w:ind w:left="-142"/>
              <w:jc w:val="center"/>
            </w:pPr>
            <w:r w:rsidRPr="00B20564">
              <w:t>2</w:t>
            </w:r>
          </w:p>
        </w:tc>
        <w:tc>
          <w:tcPr>
            <w:tcW w:w="1985" w:type="dxa"/>
            <w:shd w:val="clear" w:color="auto" w:fill="auto"/>
            <w:vAlign w:val="center"/>
          </w:tcPr>
          <w:p w:rsidR="00B20564" w:rsidRPr="00B20564" w:rsidRDefault="00B20564" w:rsidP="00B64A1D">
            <w:pPr>
              <w:pStyle w:val="BodyText"/>
            </w:pPr>
            <w:r w:rsidRPr="00B20564">
              <w:t>Meninggal Dunia</w:t>
            </w:r>
          </w:p>
        </w:tc>
        <w:tc>
          <w:tcPr>
            <w:tcW w:w="1843" w:type="dxa"/>
            <w:shd w:val="clear" w:color="auto" w:fill="auto"/>
            <w:vAlign w:val="center"/>
          </w:tcPr>
          <w:p w:rsidR="00B20564" w:rsidRPr="00B20564" w:rsidRDefault="00B20564" w:rsidP="00B64A1D">
            <w:pPr>
              <w:pStyle w:val="BodyText"/>
              <w:jc w:val="center"/>
            </w:pPr>
            <w:r w:rsidRPr="00B20564">
              <w:t>119</w:t>
            </w:r>
          </w:p>
        </w:tc>
        <w:tc>
          <w:tcPr>
            <w:tcW w:w="1985" w:type="dxa"/>
            <w:shd w:val="clear" w:color="auto" w:fill="auto"/>
            <w:vAlign w:val="center"/>
          </w:tcPr>
          <w:p w:rsidR="00B20564" w:rsidRPr="00B20564" w:rsidRDefault="00B20564" w:rsidP="00B64A1D">
            <w:pPr>
              <w:pStyle w:val="BodyText"/>
              <w:jc w:val="center"/>
            </w:pPr>
            <w:r w:rsidRPr="00B20564">
              <w:t>113</w:t>
            </w:r>
          </w:p>
        </w:tc>
        <w:tc>
          <w:tcPr>
            <w:tcW w:w="1275" w:type="dxa"/>
            <w:shd w:val="clear" w:color="auto" w:fill="auto"/>
            <w:vAlign w:val="center"/>
          </w:tcPr>
          <w:p w:rsidR="00B20564" w:rsidRPr="00B20564" w:rsidRDefault="00B20564" w:rsidP="00B64A1D">
            <w:pPr>
              <w:pStyle w:val="BodyText"/>
              <w:jc w:val="center"/>
            </w:pPr>
            <w:r w:rsidRPr="00B20564">
              <w:t>Turun</w:t>
            </w:r>
          </w:p>
        </w:tc>
        <w:tc>
          <w:tcPr>
            <w:tcW w:w="993" w:type="dxa"/>
            <w:shd w:val="clear" w:color="auto" w:fill="auto"/>
            <w:vAlign w:val="center"/>
          </w:tcPr>
          <w:p w:rsidR="00B20564" w:rsidRPr="00B20564" w:rsidRDefault="00B20564" w:rsidP="00B64A1D">
            <w:pPr>
              <w:pStyle w:val="BodyText"/>
              <w:jc w:val="center"/>
            </w:pPr>
            <w:r w:rsidRPr="00B20564">
              <w:t>-5.04</w:t>
            </w:r>
          </w:p>
        </w:tc>
        <w:tc>
          <w:tcPr>
            <w:tcW w:w="1417" w:type="dxa"/>
            <w:shd w:val="clear" w:color="auto" w:fill="auto"/>
            <w:vAlign w:val="center"/>
          </w:tcPr>
          <w:p w:rsidR="00B20564" w:rsidRPr="00B20564" w:rsidRDefault="00B20564" w:rsidP="00B64A1D">
            <w:pPr>
              <w:spacing w:after="0" w:line="240" w:lineRule="auto"/>
              <w:ind w:firstLine="33"/>
              <w:jc w:val="center"/>
              <w:rPr>
                <w:rFonts w:ascii="Times New Roman" w:hAnsi="Times New Roman"/>
                <w:sz w:val="24"/>
                <w:szCs w:val="24"/>
              </w:rPr>
            </w:pPr>
            <w:r w:rsidRPr="00B20564">
              <w:rPr>
                <w:rFonts w:ascii="Times New Roman" w:hAnsi="Times New Roman"/>
                <w:sz w:val="24"/>
                <w:szCs w:val="24"/>
              </w:rPr>
              <w:t>JIWA</w:t>
            </w:r>
          </w:p>
        </w:tc>
      </w:tr>
      <w:tr w:rsidR="00B20564" w:rsidRPr="00B20564" w:rsidTr="00B64A1D">
        <w:tc>
          <w:tcPr>
            <w:tcW w:w="567" w:type="dxa"/>
            <w:shd w:val="clear" w:color="auto" w:fill="auto"/>
            <w:vAlign w:val="center"/>
          </w:tcPr>
          <w:p w:rsidR="00B20564" w:rsidRPr="00B20564" w:rsidRDefault="00B20564" w:rsidP="00B64A1D">
            <w:pPr>
              <w:pStyle w:val="BodyText"/>
              <w:ind w:left="-142"/>
              <w:jc w:val="center"/>
            </w:pPr>
            <w:r w:rsidRPr="00B20564">
              <w:t>3</w:t>
            </w:r>
          </w:p>
        </w:tc>
        <w:tc>
          <w:tcPr>
            <w:tcW w:w="1985" w:type="dxa"/>
            <w:shd w:val="clear" w:color="auto" w:fill="auto"/>
            <w:vAlign w:val="center"/>
          </w:tcPr>
          <w:p w:rsidR="00B20564" w:rsidRPr="00B20564" w:rsidRDefault="00B20564" w:rsidP="00B64A1D">
            <w:pPr>
              <w:pStyle w:val="BodyText"/>
            </w:pPr>
            <w:r w:rsidRPr="00B20564">
              <w:t>Luka Berat</w:t>
            </w:r>
          </w:p>
        </w:tc>
        <w:tc>
          <w:tcPr>
            <w:tcW w:w="1843" w:type="dxa"/>
            <w:shd w:val="clear" w:color="auto" w:fill="auto"/>
            <w:vAlign w:val="center"/>
          </w:tcPr>
          <w:p w:rsidR="00B20564" w:rsidRPr="00B20564" w:rsidRDefault="00B20564" w:rsidP="00B64A1D">
            <w:pPr>
              <w:pStyle w:val="BodyText"/>
              <w:jc w:val="center"/>
            </w:pPr>
            <w:r w:rsidRPr="00B20564">
              <w:t>12</w:t>
            </w:r>
          </w:p>
        </w:tc>
        <w:tc>
          <w:tcPr>
            <w:tcW w:w="1985" w:type="dxa"/>
            <w:shd w:val="clear" w:color="auto" w:fill="auto"/>
            <w:vAlign w:val="center"/>
          </w:tcPr>
          <w:p w:rsidR="00B20564" w:rsidRPr="00B20564" w:rsidRDefault="00B20564" w:rsidP="00B64A1D">
            <w:pPr>
              <w:pStyle w:val="BodyText"/>
              <w:jc w:val="center"/>
            </w:pPr>
            <w:r w:rsidRPr="00B20564">
              <w:t>2</w:t>
            </w:r>
          </w:p>
        </w:tc>
        <w:tc>
          <w:tcPr>
            <w:tcW w:w="1275" w:type="dxa"/>
            <w:shd w:val="clear" w:color="auto" w:fill="auto"/>
            <w:vAlign w:val="center"/>
          </w:tcPr>
          <w:p w:rsidR="00B20564" w:rsidRPr="00B20564" w:rsidRDefault="00B20564" w:rsidP="00B64A1D">
            <w:pPr>
              <w:pStyle w:val="BodyText"/>
              <w:jc w:val="center"/>
            </w:pPr>
            <w:r w:rsidRPr="00B20564">
              <w:t>Turun</w:t>
            </w:r>
          </w:p>
        </w:tc>
        <w:tc>
          <w:tcPr>
            <w:tcW w:w="993" w:type="dxa"/>
            <w:shd w:val="clear" w:color="auto" w:fill="auto"/>
            <w:vAlign w:val="center"/>
          </w:tcPr>
          <w:p w:rsidR="00B20564" w:rsidRPr="00B20564" w:rsidRDefault="00B20564" w:rsidP="00B64A1D">
            <w:pPr>
              <w:pStyle w:val="BodyText"/>
              <w:jc w:val="center"/>
            </w:pPr>
            <w:r w:rsidRPr="00B20564">
              <w:t>-83.33</w:t>
            </w:r>
          </w:p>
        </w:tc>
        <w:tc>
          <w:tcPr>
            <w:tcW w:w="1417" w:type="dxa"/>
            <w:shd w:val="clear" w:color="auto" w:fill="auto"/>
            <w:vAlign w:val="center"/>
          </w:tcPr>
          <w:p w:rsidR="00B20564" w:rsidRPr="00B20564" w:rsidRDefault="00B20564" w:rsidP="00B64A1D">
            <w:pPr>
              <w:spacing w:after="0" w:line="240" w:lineRule="auto"/>
              <w:ind w:firstLine="33"/>
              <w:jc w:val="center"/>
              <w:rPr>
                <w:rFonts w:ascii="Times New Roman" w:hAnsi="Times New Roman"/>
                <w:sz w:val="24"/>
                <w:szCs w:val="24"/>
              </w:rPr>
            </w:pPr>
            <w:r w:rsidRPr="00B20564">
              <w:rPr>
                <w:rFonts w:ascii="Times New Roman" w:hAnsi="Times New Roman"/>
                <w:sz w:val="24"/>
                <w:szCs w:val="24"/>
              </w:rPr>
              <w:t>JIWA</w:t>
            </w:r>
          </w:p>
        </w:tc>
      </w:tr>
      <w:tr w:rsidR="00B20564" w:rsidRPr="00B20564" w:rsidTr="00B64A1D">
        <w:tc>
          <w:tcPr>
            <w:tcW w:w="567" w:type="dxa"/>
            <w:shd w:val="clear" w:color="auto" w:fill="auto"/>
            <w:vAlign w:val="center"/>
          </w:tcPr>
          <w:p w:rsidR="00B20564" w:rsidRPr="00B20564" w:rsidRDefault="00B20564" w:rsidP="00B64A1D">
            <w:pPr>
              <w:pStyle w:val="BodyText"/>
              <w:ind w:left="-142"/>
              <w:jc w:val="center"/>
            </w:pPr>
            <w:r w:rsidRPr="00B20564">
              <w:t>4</w:t>
            </w:r>
          </w:p>
        </w:tc>
        <w:tc>
          <w:tcPr>
            <w:tcW w:w="1985" w:type="dxa"/>
            <w:shd w:val="clear" w:color="auto" w:fill="auto"/>
            <w:vAlign w:val="center"/>
          </w:tcPr>
          <w:p w:rsidR="00B20564" w:rsidRPr="00B20564" w:rsidRDefault="00B20564" w:rsidP="00B64A1D">
            <w:pPr>
              <w:pStyle w:val="BodyText"/>
            </w:pPr>
            <w:r w:rsidRPr="00B20564">
              <w:t xml:space="preserve">Luka Ringan </w:t>
            </w:r>
          </w:p>
        </w:tc>
        <w:tc>
          <w:tcPr>
            <w:tcW w:w="1843" w:type="dxa"/>
            <w:shd w:val="clear" w:color="auto" w:fill="auto"/>
            <w:vAlign w:val="center"/>
          </w:tcPr>
          <w:p w:rsidR="00B20564" w:rsidRPr="00B20564" w:rsidRDefault="00B20564" w:rsidP="00B64A1D">
            <w:pPr>
              <w:pStyle w:val="BodyText"/>
              <w:jc w:val="center"/>
            </w:pPr>
            <w:r w:rsidRPr="00B20564">
              <w:t>526</w:t>
            </w:r>
          </w:p>
        </w:tc>
        <w:tc>
          <w:tcPr>
            <w:tcW w:w="1985" w:type="dxa"/>
            <w:shd w:val="clear" w:color="auto" w:fill="auto"/>
            <w:vAlign w:val="center"/>
          </w:tcPr>
          <w:p w:rsidR="00B20564" w:rsidRPr="00B20564" w:rsidRDefault="00B20564" w:rsidP="00B64A1D">
            <w:pPr>
              <w:pStyle w:val="BodyText"/>
              <w:jc w:val="center"/>
            </w:pPr>
            <w:r w:rsidRPr="00B20564">
              <w:t>496</w:t>
            </w:r>
          </w:p>
        </w:tc>
        <w:tc>
          <w:tcPr>
            <w:tcW w:w="1275" w:type="dxa"/>
            <w:shd w:val="clear" w:color="auto" w:fill="auto"/>
            <w:vAlign w:val="center"/>
          </w:tcPr>
          <w:p w:rsidR="00B20564" w:rsidRPr="00B20564" w:rsidRDefault="00B20564" w:rsidP="00B64A1D">
            <w:pPr>
              <w:pStyle w:val="BodyText"/>
              <w:jc w:val="center"/>
            </w:pPr>
            <w:r w:rsidRPr="00B20564">
              <w:t>Turun</w:t>
            </w:r>
          </w:p>
        </w:tc>
        <w:tc>
          <w:tcPr>
            <w:tcW w:w="993" w:type="dxa"/>
            <w:shd w:val="clear" w:color="auto" w:fill="auto"/>
            <w:vAlign w:val="center"/>
          </w:tcPr>
          <w:p w:rsidR="00B20564" w:rsidRPr="00B20564" w:rsidRDefault="00B20564" w:rsidP="00B64A1D">
            <w:pPr>
              <w:pStyle w:val="BodyText"/>
              <w:jc w:val="center"/>
            </w:pPr>
            <w:r w:rsidRPr="00B20564">
              <w:t>-5.70</w:t>
            </w:r>
          </w:p>
        </w:tc>
        <w:tc>
          <w:tcPr>
            <w:tcW w:w="1417" w:type="dxa"/>
            <w:shd w:val="clear" w:color="auto" w:fill="auto"/>
            <w:vAlign w:val="center"/>
          </w:tcPr>
          <w:p w:rsidR="00B20564" w:rsidRPr="00B20564" w:rsidRDefault="00B20564" w:rsidP="00B64A1D">
            <w:pPr>
              <w:spacing w:after="0" w:line="240" w:lineRule="auto"/>
              <w:ind w:firstLine="33"/>
              <w:jc w:val="center"/>
              <w:rPr>
                <w:rFonts w:ascii="Times New Roman" w:hAnsi="Times New Roman"/>
                <w:sz w:val="24"/>
                <w:szCs w:val="24"/>
              </w:rPr>
            </w:pPr>
            <w:r w:rsidRPr="00B20564">
              <w:rPr>
                <w:rFonts w:ascii="Times New Roman" w:hAnsi="Times New Roman"/>
                <w:sz w:val="24"/>
                <w:szCs w:val="24"/>
              </w:rPr>
              <w:t>JIWA</w:t>
            </w:r>
          </w:p>
        </w:tc>
      </w:tr>
      <w:tr w:rsidR="00B20564" w:rsidRPr="00B20564" w:rsidTr="00B64A1D">
        <w:tc>
          <w:tcPr>
            <w:tcW w:w="567" w:type="dxa"/>
            <w:shd w:val="clear" w:color="auto" w:fill="auto"/>
            <w:vAlign w:val="center"/>
          </w:tcPr>
          <w:p w:rsidR="00B20564" w:rsidRPr="00B20564" w:rsidRDefault="00B20564" w:rsidP="00B64A1D">
            <w:pPr>
              <w:pStyle w:val="BodyText"/>
              <w:ind w:left="-142"/>
              <w:jc w:val="center"/>
            </w:pPr>
            <w:r w:rsidRPr="00B20564">
              <w:t>5</w:t>
            </w:r>
          </w:p>
        </w:tc>
        <w:tc>
          <w:tcPr>
            <w:tcW w:w="1985" w:type="dxa"/>
            <w:shd w:val="clear" w:color="auto" w:fill="auto"/>
            <w:vAlign w:val="center"/>
          </w:tcPr>
          <w:p w:rsidR="00B20564" w:rsidRPr="00B20564" w:rsidRDefault="00B20564" w:rsidP="00B64A1D">
            <w:pPr>
              <w:pStyle w:val="BodyText"/>
            </w:pPr>
            <w:r w:rsidRPr="00B20564">
              <w:t>Selra</w:t>
            </w:r>
          </w:p>
        </w:tc>
        <w:tc>
          <w:tcPr>
            <w:tcW w:w="1843" w:type="dxa"/>
            <w:shd w:val="clear" w:color="auto" w:fill="auto"/>
            <w:vAlign w:val="center"/>
          </w:tcPr>
          <w:p w:rsidR="00B20564" w:rsidRPr="00B20564" w:rsidRDefault="00B20564" w:rsidP="00B64A1D">
            <w:pPr>
              <w:pStyle w:val="BodyText"/>
              <w:jc w:val="center"/>
            </w:pPr>
            <w:r w:rsidRPr="00B20564">
              <w:t>333</w:t>
            </w:r>
          </w:p>
        </w:tc>
        <w:tc>
          <w:tcPr>
            <w:tcW w:w="1985" w:type="dxa"/>
            <w:shd w:val="clear" w:color="auto" w:fill="auto"/>
            <w:vAlign w:val="center"/>
          </w:tcPr>
          <w:p w:rsidR="00B20564" w:rsidRPr="00B20564" w:rsidRDefault="00B20564" w:rsidP="00B64A1D">
            <w:pPr>
              <w:pStyle w:val="BodyText"/>
              <w:jc w:val="center"/>
            </w:pPr>
            <w:r w:rsidRPr="00B20564">
              <w:t>292</w:t>
            </w:r>
          </w:p>
        </w:tc>
        <w:tc>
          <w:tcPr>
            <w:tcW w:w="1275" w:type="dxa"/>
            <w:shd w:val="clear" w:color="auto" w:fill="auto"/>
            <w:vAlign w:val="center"/>
          </w:tcPr>
          <w:p w:rsidR="00B20564" w:rsidRPr="00B20564" w:rsidRDefault="00B20564" w:rsidP="00B64A1D">
            <w:pPr>
              <w:pStyle w:val="BodyText"/>
              <w:jc w:val="center"/>
            </w:pPr>
            <w:r w:rsidRPr="00B20564">
              <w:t>Turun</w:t>
            </w:r>
          </w:p>
        </w:tc>
        <w:tc>
          <w:tcPr>
            <w:tcW w:w="993" w:type="dxa"/>
            <w:shd w:val="clear" w:color="auto" w:fill="auto"/>
            <w:vAlign w:val="center"/>
          </w:tcPr>
          <w:p w:rsidR="00B20564" w:rsidRPr="00B20564" w:rsidRDefault="00B20564" w:rsidP="00B64A1D">
            <w:pPr>
              <w:pStyle w:val="BodyText"/>
              <w:jc w:val="center"/>
            </w:pPr>
            <w:r w:rsidRPr="00B20564">
              <w:t>-12.31</w:t>
            </w:r>
          </w:p>
        </w:tc>
        <w:tc>
          <w:tcPr>
            <w:tcW w:w="1417" w:type="dxa"/>
            <w:shd w:val="clear" w:color="auto" w:fill="auto"/>
            <w:vAlign w:val="center"/>
          </w:tcPr>
          <w:p w:rsidR="00B20564" w:rsidRPr="00B20564" w:rsidRDefault="00B20564" w:rsidP="00B64A1D">
            <w:pPr>
              <w:pStyle w:val="BodyText"/>
              <w:jc w:val="center"/>
            </w:pPr>
            <w:r w:rsidRPr="00B20564">
              <w:t>PERKARA</w:t>
            </w:r>
          </w:p>
        </w:tc>
      </w:tr>
      <w:tr w:rsidR="00B20564" w:rsidRPr="00B20564" w:rsidTr="00B64A1D">
        <w:tc>
          <w:tcPr>
            <w:tcW w:w="567" w:type="dxa"/>
            <w:shd w:val="clear" w:color="auto" w:fill="auto"/>
            <w:vAlign w:val="center"/>
          </w:tcPr>
          <w:p w:rsidR="00B20564" w:rsidRPr="00B20564" w:rsidRDefault="00B20564" w:rsidP="00B64A1D">
            <w:pPr>
              <w:pStyle w:val="BodyText"/>
              <w:ind w:left="-142"/>
              <w:jc w:val="center"/>
            </w:pPr>
            <w:r w:rsidRPr="00B20564">
              <w:t>6</w:t>
            </w:r>
          </w:p>
        </w:tc>
        <w:tc>
          <w:tcPr>
            <w:tcW w:w="1985" w:type="dxa"/>
            <w:shd w:val="clear" w:color="auto" w:fill="auto"/>
            <w:vAlign w:val="center"/>
          </w:tcPr>
          <w:p w:rsidR="00B20564" w:rsidRPr="00B20564" w:rsidRDefault="00B20564" w:rsidP="00B64A1D">
            <w:pPr>
              <w:pStyle w:val="BodyText"/>
            </w:pPr>
            <w:r w:rsidRPr="00B20564">
              <w:t>Kermat</w:t>
            </w:r>
          </w:p>
        </w:tc>
        <w:tc>
          <w:tcPr>
            <w:tcW w:w="1843" w:type="dxa"/>
            <w:shd w:val="clear" w:color="auto" w:fill="auto"/>
            <w:vAlign w:val="center"/>
          </w:tcPr>
          <w:p w:rsidR="00B20564" w:rsidRPr="00B20564" w:rsidRDefault="00B20564" w:rsidP="00B64A1D">
            <w:pPr>
              <w:pStyle w:val="BodyText"/>
              <w:jc w:val="center"/>
            </w:pPr>
            <w:r w:rsidRPr="00B20564">
              <w:t>Rp. 324.700.000</w:t>
            </w:r>
          </w:p>
        </w:tc>
        <w:tc>
          <w:tcPr>
            <w:tcW w:w="1985" w:type="dxa"/>
            <w:shd w:val="clear" w:color="auto" w:fill="auto"/>
            <w:vAlign w:val="center"/>
          </w:tcPr>
          <w:p w:rsidR="00B20564" w:rsidRPr="00B20564" w:rsidRDefault="00B20564" w:rsidP="00B64A1D">
            <w:pPr>
              <w:pStyle w:val="BodyText"/>
              <w:jc w:val="center"/>
            </w:pPr>
            <w:r w:rsidRPr="00B20564">
              <w:t>Rp. 598.750.000</w:t>
            </w:r>
          </w:p>
        </w:tc>
        <w:tc>
          <w:tcPr>
            <w:tcW w:w="1275" w:type="dxa"/>
            <w:shd w:val="clear" w:color="auto" w:fill="auto"/>
            <w:vAlign w:val="center"/>
          </w:tcPr>
          <w:p w:rsidR="00B20564" w:rsidRPr="00B20564" w:rsidRDefault="00B20564" w:rsidP="00B64A1D">
            <w:pPr>
              <w:pStyle w:val="BodyText"/>
              <w:jc w:val="center"/>
            </w:pPr>
            <w:r w:rsidRPr="00B20564">
              <w:t>Turun</w:t>
            </w:r>
          </w:p>
        </w:tc>
        <w:tc>
          <w:tcPr>
            <w:tcW w:w="993" w:type="dxa"/>
            <w:shd w:val="clear" w:color="auto" w:fill="auto"/>
            <w:vAlign w:val="center"/>
          </w:tcPr>
          <w:p w:rsidR="00B20564" w:rsidRPr="00B20564" w:rsidRDefault="00B20564" w:rsidP="00B64A1D">
            <w:pPr>
              <w:pStyle w:val="BodyText"/>
              <w:jc w:val="center"/>
            </w:pPr>
            <w:r w:rsidRPr="00B20564">
              <w:t>84.40</w:t>
            </w:r>
          </w:p>
        </w:tc>
        <w:tc>
          <w:tcPr>
            <w:tcW w:w="1417" w:type="dxa"/>
            <w:shd w:val="clear" w:color="auto" w:fill="auto"/>
            <w:vAlign w:val="center"/>
          </w:tcPr>
          <w:p w:rsidR="00B20564" w:rsidRPr="00B20564" w:rsidRDefault="00B20564" w:rsidP="00B64A1D">
            <w:pPr>
              <w:pStyle w:val="BodyText"/>
              <w:jc w:val="center"/>
            </w:pPr>
            <w:r w:rsidRPr="00B20564">
              <w:t xml:space="preserve">RUPIAH </w:t>
            </w:r>
          </w:p>
        </w:tc>
      </w:tr>
    </w:tbl>
    <w:p w:rsidR="00B20564" w:rsidRPr="00B20564" w:rsidRDefault="00B20564" w:rsidP="00B20564">
      <w:pPr>
        <w:pStyle w:val="BodyText"/>
        <w:spacing w:line="480" w:lineRule="auto"/>
        <w:jc w:val="both"/>
      </w:pPr>
      <w:r w:rsidRPr="00B20564">
        <w:t>Sumber Peneliti 2024</w:t>
      </w:r>
      <w:r w:rsidRPr="00B20564">
        <w:rPr>
          <w:rStyle w:val="FootnoteReference"/>
        </w:rPr>
        <w:footnoteReference w:id="4"/>
      </w:r>
    </w:p>
    <w:p w:rsidR="00B20564" w:rsidRPr="00B20564" w:rsidRDefault="00B20564" w:rsidP="00B20564">
      <w:pPr>
        <w:spacing w:after="0"/>
        <w:ind w:firstLine="720"/>
        <w:rPr>
          <w:rFonts w:ascii="Times New Roman" w:hAnsi="Times New Roman"/>
          <w:sz w:val="24"/>
          <w:szCs w:val="24"/>
        </w:rPr>
      </w:pPr>
      <w:r w:rsidRPr="00B20564">
        <w:rPr>
          <w:rFonts w:ascii="Times New Roman" w:hAnsi="Times New Roman"/>
          <w:sz w:val="24"/>
          <w:szCs w:val="24"/>
        </w:rPr>
        <w:t xml:space="preserve">Tabel 1.1 menyajikan data mengenai kasus kecelakaan lalu lintas di Deli Serdang untuk tahun 2022 dan 2023. Data menunjukkan penurunan dalam berbagai aspek kecelakaan lalu lintas. Jumlah kecelakaan menurun dari 392 kasus pada tahun 2022 menjadi 368 kasus pada tahun 2023, mencerminkan penurunan sebesar 6.12%. Hal ini menandakan adanya perbaikan dalam keselamatan lalu lintas meskipun jumlah kecelakaan masih signifikan. Selain itu, jumlah korban </w:t>
      </w:r>
      <w:r w:rsidRPr="00B20564">
        <w:rPr>
          <w:rFonts w:ascii="Times New Roman" w:hAnsi="Times New Roman"/>
          <w:sz w:val="24"/>
          <w:szCs w:val="24"/>
        </w:rPr>
        <w:lastRenderedPageBreak/>
        <w:t>meninggal dunia juga mengalami penurunan dari 119 jiwa pada tahun 2022 menjadi 113 jiwa pada tahun 2023, dengan persentase penurunan sebesar 5.04%. Penurunan jumlah korban meninggal dunia menunjukkan adanya langkah-langkah efektif dalam pengurangan fatalitas kecelakaan. Namun, penurunan jumlah luka berat sangat signifikan, dari 12 kasus pada tahun 2022 menjadi hanya 2 kasus pada tahun 2023, dengan penurunan drastis sebesar 83.33%. Ini dapat menunjukkan adanya perbaikan besar dalam penanganan kecelakaan atau perbaikan perlindungan bagi pengendara. Sementara itu, jumlah luka ringan juga mengalami penurunan dari 526 kasus menjadi 496 kasus, dengan persentase penurunan sebesar 5.70%, menunjukkan tren perbaikan yang konsisten. Selanjutnya, jumlah perkara (selra) menurun dari 333 pada tahun 2022 menjadi 292 pada tahun 2023, turun 12.31%, mencerminkan penurunan dalam kasus yang memerlukan penyelesaian hukum. Di sisi lain, nilai kerugian materi akibat kecelakaan menunjukkan penurunan yang sangat besar dari Rp. 324.700.000 pada tahun 2022 menjadi Rp. 598.750.000 pada tahun 2023, dengan persentase penurunan sebesar 84.40%, yang tampaknya tidak konsisten dengan penurunan angka kecelakaan, dan mungkin memerlukan pemeriksaan lebih lanjut terkait pencatatan kerugian materi.</w:t>
      </w:r>
    </w:p>
    <w:p w:rsidR="00B20564" w:rsidRPr="00B20564" w:rsidRDefault="00B20564" w:rsidP="00B20564">
      <w:pPr>
        <w:pStyle w:val="BodyText"/>
        <w:spacing w:line="480" w:lineRule="auto"/>
        <w:ind w:firstLine="600"/>
        <w:jc w:val="both"/>
      </w:pPr>
      <w:r w:rsidRPr="00B20564">
        <w:t xml:space="preserve">Patuh lalu lintas jalan dengan baik dan benar itu tidak sulit, kalau kita tidak tahu bagaimana </w:t>
      </w:r>
      <w:proofErr w:type="gramStart"/>
      <w:r w:rsidRPr="00B20564">
        <w:t>cara</w:t>
      </w:r>
      <w:proofErr w:type="gramEnd"/>
      <w:r w:rsidRPr="00B20564">
        <w:t xml:space="preserve"> penerapan yang baik dan benar. Tapi kenapa masih banyak pengendara melalaikan tata tertib lalu lintas ini. Kesadaran terhadap ketertiban berlalu lintas dan berkendara tentunya harus ditanamkan sejak dini, karena melalui pendidikan sejak dini diharapkan </w:t>
      </w:r>
      <w:proofErr w:type="gramStart"/>
      <w:r w:rsidRPr="00B20564">
        <w:t>akan</w:t>
      </w:r>
      <w:proofErr w:type="gramEnd"/>
      <w:r w:rsidRPr="00B20564">
        <w:t xml:space="preserve"> dapat membentuk generasi muda yang patuh akan hukum, khususnya patuh berlalu lintas. Pendidikan berlalu lintas sejak dini, </w:t>
      </w:r>
      <w:proofErr w:type="gramStart"/>
      <w:r w:rsidRPr="00B20564">
        <w:t>akan</w:t>
      </w:r>
      <w:proofErr w:type="gramEnd"/>
      <w:r w:rsidRPr="00B20564">
        <w:t xml:space="preserve"> sangat bermanfaat bagi generasi penerus bangsa, karena dengan mengetahui peraturan lalu lintas, pelanggaran berlalu lintas akan dihindari. </w:t>
      </w:r>
    </w:p>
    <w:p w:rsidR="00B20564" w:rsidRPr="00B20564" w:rsidRDefault="00B20564" w:rsidP="00B20564">
      <w:pPr>
        <w:pStyle w:val="BodyText"/>
        <w:spacing w:line="480" w:lineRule="auto"/>
        <w:ind w:firstLine="600"/>
        <w:jc w:val="both"/>
      </w:pPr>
      <w:r w:rsidRPr="00B20564">
        <w:t xml:space="preserve">Untuk itu, harus dilakukan melalui pendidikan dan sosialisasi yang terus-menerus kepada masyarakat. Pendidikan berlalu lintas dan pengenalan tentang rambu-rambu lalu lintas yang dapat dimulai dari siswa-siswi </w:t>
      </w:r>
      <w:proofErr w:type="gramStart"/>
      <w:r w:rsidRPr="00B20564">
        <w:t>taman</w:t>
      </w:r>
      <w:proofErr w:type="gramEnd"/>
      <w:r w:rsidRPr="00B20564">
        <w:t xml:space="preserve"> kanak-kanak. Selain murid dari tingkat TK, tingkat SD sampai ke tingkat SMA/SMK hingga ke mahasiswa juga harus mendapatkan penjelasan dan sosialisasi aturan tentang rambu-rambu berlalu lintas dengan baik. Tidak hanya anak-anak sekolah saja </w:t>
      </w:r>
      <w:r w:rsidRPr="00B20564">
        <w:lastRenderedPageBreak/>
        <w:t xml:space="preserve">yang harus mendapatkan pendidikan berlalu lintas tetapi organisasi mapun masyarakat umum atau non organisasi juga harus mendapatkannya. Dengan diadakan sosialisasi dan penjelasan tertib berlalu lintas ini diharapkan, pelajar dan masyarakat kita dapat mengetahui dan mematuhi peraturan berlalulintas dengan benar. Dengan mematuhi rambu - rambu lalu lintas, </w:t>
      </w:r>
      <w:proofErr w:type="gramStart"/>
      <w:r w:rsidRPr="00B20564">
        <w:t>akan</w:t>
      </w:r>
      <w:proofErr w:type="gramEnd"/>
      <w:r w:rsidRPr="00B20564">
        <w:t xml:space="preserve"> dapat mengurangi tingkat kecelakaan lalu lintas dan tidak membahayakan pengguna jalan lainnya Dalam aturan sudah ada aturan soal usia yang berhak mengantongi Surat Izin Mengemudi (SIM). Sehingga muncul adanya larangan pengendara sepeda motor di bawah umur yang telah ditentukan. Satlantas pun enggan gegabah menerbitkan SIM kepada pemohon. Dimulai dengan keseharian kita sebagai pengendara, tentunya kita harus memiliki kendaraan dan perlengkapan yaitu: ikuti peraturan lalu lintas yang ada di daerah, gunakan helm yang berstandar, gunakan kelengkapan kendaraan dengan baik, gunakan Sabuk Pengaman saat berkendara, gunakan jaket atau pengaman untuk diri jika berkendara, selalu bawa kelengkapan data diri dan kendaraan, jaga dan rawatlah safety kendaraan dengan baik.</w:t>
      </w:r>
    </w:p>
    <w:p w:rsidR="00B20564" w:rsidRPr="00B20564" w:rsidRDefault="00B20564" w:rsidP="00B20564">
      <w:pPr>
        <w:pStyle w:val="BodyText"/>
        <w:spacing w:line="480" w:lineRule="auto"/>
        <w:ind w:firstLine="600"/>
        <w:jc w:val="both"/>
      </w:pPr>
      <w:r w:rsidRPr="00B20564">
        <w:t xml:space="preserve">Dalam mendukung terselenggaranya pembangunan dan integrasi nasional untuk memajukan kesejahteraan umum melalui lalu lintas tentu diperlukan peran serta masyarakat, pemerintah juga pihak-pihak yang berwenang. Jika berbicara mengenai lalu lintas, tentu tidak lepas dari beberapa pihak yang turut serta dan terlibat dalam upaya menjamin keamanan, ketertiban dan kelancaran lalu lintas di jalan. Salah satu pihak yang turut serta dalam hal tersebut adalah pihak kepolisian. Polisi sebagai penegak hukum di jalan raya harus mempunyai kemampuan dalam memahami </w:t>
      </w:r>
      <w:proofErr w:type="gramStart"/>
      <w:r w:rsidRPr="00B20564">
        <w:t>apa</w:t>
      </w:r>
      <w:proofErr w:type="gramEnd"/>
      <w:r w:rsidRPr="00B20564">
        <w:t xml:space="preserve"> yang hendak ditegakkan. Hal yang dilakukan polisi sebenarnya </w:t>
      </w:r>
      <w:r w:rsidRPr="00B20564">
        <w:lastRenderedPageBreak/>
        <w:t>tidak sekedar menegakkan hukum, tetapi lebih dari itu, yang lebih luhur adalah membina moral bangsa di jalan raya.</w:t>
      </w:r>
      <w:r w:rsidRPr="00B20564">
        <w:rPr>
          <w:rStyle w:val="FootnoteReference"/>
        </w:rPr>
        <w:footnoteReference w:id="5"/>
      </w:r>
    </w:p>
    <w:p w:rsidR="00B20564" w:rsidRPr="00B20564" w:rsidRDefault="00B20564" w:rsidP="00B20564">
      <w:pPr>
        <w:pStyle w:val="BodyText"/>
        <w:spacing w:line="480" w:lineRule="auto"/>
        <w:ind w:firstLine="600"/>
        <w:jc w:val="both"/>
      </w:pPr>
      <w:r w:rsidRPr="00B20564">
        <w:t xml:space="preserve">Namun demikian, tingginya angka kecelakaan dan pelanggaran lalu lintas di wilayah hukum Polresta Deli Serdang menunjukkan bahwa penerapan dan kesadaran masyarakat terhadap peraturan lalu lintas masih rendah. Data dari Polresta Deli Serdang menunjukkan peningkatan jumlah kecelakaan dan pelanggaran lalu lintas setiap tahunnya, yang tidak hanya menyebabkan kerugian materi tetapi juga mengakibatkan hilangnya nyawa. </w:t>
      </w:r>
    </w:p>
    <w:p w:rsidR="00B20564" w:rsidRPr="00B20564" w:rsidRDefault="00B20564" w:rsidP="00B20564">
      <w:pPr>
        <w:spacing w:after="0"/>
        <w:ind w:firstLine="709"/>
        <w:rPr>
          <w:rFonts w:ascii="Times New Roman" w:hAnsi="Times New Roman"/>
          <w:b/>
          <w:bCs/>
          <w:noProof/>
          <w:sz w:val="24"/>
          <w:szCs w:val="24"/>
          <w:lang w:eastAsia="id-ID"/>
        </w:rPr>
      </w:pPr>
      <w:r w:rsidRPr="00B20564">
        <w:rPr>
          <w:rFonts w:ascii="Times New Roman" w:hAnsi="Times New Roman"/>
          <w:sz w:val="24"/>
          <w:szCs w:val="24"/>
        </w:rPr>
        <w:t xml:space="preserve">Dari hasil pengamatan latar belakang diatas, penulis berkeinginan untuk melakukan penelitian dengan </w:t>
      </w:r>
      <w:proofErr w:type="gramStart"/>
      <w:r w:rsidRPr="00B20564">
        <w:rPr>
          <w:rFonts w:ascii="Times New Roman" w:hAnsi="Times New Roman"/>
          <w:sz w:val="24"/>
          <w:szCs w:val="24"/>
        </w:rPr>
        <w:t>Judul :</w:t>
      </w:r>
      <w:proofErr w:type="gramEnd"/>
      <w:r w:rsidRPr="00B20564">
        <w:rPr>
          <w:rFonts w:ascii="Times New Roman" w:hAnsi="Times New Roman"/>
          <w:sz w:val="24"/>
          <w:szCs w:val="24"/>
        </w:rPr>
        <w:t xml:space="preserve"> “</w:t>
      </w:r>
      <w:r w:rsidRPr="00B20564">
        <w:rPr>
          <w:rFonts w:ascii="Times New Roman" w:hAnsi="Times New Roman"/>
          <w:b/>
          <w:bCs/>
          <w:noProof/>
          <w:sz w:val="24"/>
          <w:szCs w:val="24"/>
          <w:lang w:eastAsia="id-ID"/>
        </w:rPr>
        <w:t>Implementasi Undang-Undang Nomor 22 Tahun 2009 Tentang Lalu Lintas Dan Angkutan Jalan (Studi Penertiban Lalu Lintas Di Wilayah Hukum Kepolisian Kota Deli Serdang</w:t>
      </w:r>
      <w:r w:rsidRPr="00B20564">
        <w:rPr>
          <w:rFonts w:ascii="Times New Roman" w:hAnsi="Times New Roman"/>
          <w:b/>
          <w:bCs/>
          <w:noProof/>
          <w:sz w:val="28"/>
          <w:szCs w:val="28"/>
          <w:lang w:eastAsia="id-ID"/>
        </w:rPr>
        <w:t>)</w:t>
      </w:r>
      <w:r w:rsidRPr="00B20564">
        <w:rPr>
          <w:rFonts w:ascii="Times New Roman" w:hAnsi="Times New Roman"/>
          <w:b/>
          <w:sz w:val="24"/>
          <w:szCs w:val="24"/>
        </w:rPr>
        <w:t xml:space="preserve"> “. </w:t>
      </w:r>
    </w:p>
    <w:p w:rsidR="00B20564" w:rsidRPr="00B20564" w:rsidRDefault="00B20564" w:rsidP="00B20564">
      <w:pPr>
        <w:pStyle w:val="Heading2"/>
        <w:spacing w:before="0" w:line="480" w:lineRule="auto"/>
        <w:ind w:left="709" w:hanging="709"/>
        <w:rPr>
          <w:rFonts w:ascii="Times New Roman" w:hAnsi="Times New Roman"/>
          <w:color w:val="auto"/>
          <w:sz w:val="24"/>
          <w:szCs w:val="24"/>
        </w:rPr>
      </w:pPr>
      <w:bookmarkStart w:id="4" w:name="_Toc177133657"/>
      <w:r w:rsidRPr="00B20564">
        <w:rPr>
          <w:rFonts w:ascii="Times New Roman" w:hAnsi="Times New Roman"/>
          <w:color w:val="auto"/>
          <w:sz w:val="24"/>
          <w:szCs w:val="24"/>
          <w:lang w:val="en-US"/>
        </w:rPr>
        <w:t xml:space="preserve">B. </w:t>
      </w:r>
      <w:r w:rsidRPr="00B20564">
        <w:rPr>
          <w:rFonts w:ascii="Times New Roman" w:hAnsi="Times New Roman"/>
          <w:color w:val="auto"/>
          <w:sz w:val="24"/>
          <w:szCs w:val="24"/>
          <w:lang w:val="en-US"/>
        </w:rPr>
        <w:tab/>
      </w:r>
      <w:r w:rsidRPr="00B20564">
        <w:rPr>
          <w:rFonts w:ascii="Times New Roman" w:hAnsi="Times New Roman"/>
          <w:color w:val="auto"/>
          <w:sz w:val="24"/>
          <w:szCs w:val="24"/>
        </w:rPr>
        <w:t>Rumusan Masalah</w:t>
      </w:r>
      <w:bookmarkEnd w:id="4"/>
    </w:p>
    <w:p w:rsidR="00B20564" w:rsidRPr="00B20564" w:rsidRDefault="00B20564" w:rsidP="00B20564">
      <w:pPr>
        <w:spacing w:after="0"/>
        <w:ind w:firstLine="709"/>
        <w:rPr>
          <w:rFonts w:ascii="Times New Roman" w:hAnsi="Times New Roman"/>
          <w:sz w:val="24"/>
          <w:szCs w:val="24"/>
        </w:rPr>
      </w:pPr>
      <w:r w:rsidRPr="00B20564">
        <w:rPr>
          <w:rFonts w:ascii="Times New Roman" w:hAnsi="Times New Roman"/>
          <w:sz w:val="24"/>
          <w:szCs w:val="24"/>
        </w:rPr>
        <w:t xml:space="preserve">Dari penjabaran latar belakang diatas maka penulis membuat rumusan masalah sebagai </w:t>
      </w:r>
      <w:proofErr w:type="gramStart"/>
      <w:r w:rsidRPr="00B20564">
        <w:rPr>
          <w:rFonts w:ascii="Times New Roman" w:hAnsi="Times New Roman"/>
          <w:sz w:val="24"/>
          <w:szCs w:val="24"/>
        </w:rPr>
        <w:t>berikut :</w:t>
      </w:r>
      <w:proofErr w:type="gramEnd"/>
    </w:p>
    <w:p w:rsidR="00B20564" w:rsidRPr="00B20564" w:rsidRDefault="00B20564" w:rsidP="00B20564">
      <w:pPr>
        <w:pStyle w:val="ListParagraph"/>
        <w:numPr>
          <w:ilvl w:val="0"/>
          <w:numId w:val="18"/>
        </w:numPr>
        <w:spacing w:after="0" w:line="480" w:lineRule="auto"/>
        <w:jc w:val="both"/>
        <w:rPr>
          <w:rFonts w:ascii="Times New Roman" w:hAnsi="Times New Roman"/>
          <w:sz w:val="24"/>
          <w:szCs w:val="24"/>
        </w:rPr>
      </w:pPr>
      <w:r w:rsidRPr="00B20564">
        <w:rPr>
          <w:rFonts w:ascii="Times New Roman" w:hAnsi="Times New Roman"/>
          <w:sz w:val="24"/>
          <w:szCs w:val="24"/>
        </w:rPr>
        <w:t>Bagaimana pelaksanaan tugas kepolisian lalu lintas di wilayah hukum kepolisian Kota Deli Serdang?</w:t>
      </w:r>
    </w:p>
    <w:p w:rsidR="00B20564" w:rsidRPr="00B20564" w:rsidRDefault="00B20564" w:rsidP="00B20564">
      <w:pPr>
        <w:pStyle w:val="ListParagraph"/>
        <w:numPr>
          <w:ilvl w:val="0"/>
          <w:numId w:val="18"/>
        </w:numPr>
        <w:spacing w:after="0" w:line="480" w:lineRule="auto"/>
        <w:jc w:val="both"/>
        <w:rPr>
          <w:rFonts w:ascii="Times New Roman" w:hAnsi="Times New Roman"/>
          <w:sz w:val="24"/>
          <w:szCs w:val="24"/>
        </w:rPr>
      </w:pPr>
      <w:r w:rsidRPr="00B20564">
        <w:rPr>
          <w:rFonts w:ascii="Times New Roman" w:hAnsi="Times New Roman"/>
          <w:sz w:val="24"/>
          <w:szCs w:val="24"/>
          <w:lang w:val="en-US"/>
        </w:rPr>
        <w:t>Bagaiman</w:t>
      </w:r>
      <w:r w:rsidRPr="00B20564">
        <w:rPr>
          <w:rFonts w:ascii="Times New Roman" w:hAnsi="Times New Roman"/>
          <w:sz w:val="24"/>
          <w:szCs w:val="24"/>
        </w:rPr>
        <w:t xml:space="preserve"> </w:t>
      </w:r>
      <w:r w:rsidRPr="00B20564">
        <w:rPr>
          <w:rFonts w:ascii="Times New Roman" w:hAnsi="Times New Roman"/>
          <w:sz w:val="24"/>
          <w:szCs w:val="24"/>
          <w:lang w:val="en-US"/>
        </w:rPr>
        <w:t>pelaksanaan hukum</w:t>
      </w:r>
      <w:r w:rsidRPr="00B20564">
        <w:rPr>
          <w:rFonts w:ascii="Times New Roman" w:hAnsi="Times New Roman"/>
          <w:sz w:val="24"/>
          <w:szCs w:val="24"/>
        </w:rPr>
        <w:t xml:space="preserve"> lalu lintas dalam wilayah hukum kepolisian Kota Deli Serdang sesuai dengan ketentuan Undang-Undang Nomor 22 Tahun 2009 tentang Lalu Lintas dan Angkutan Jalan?</w:t>
      </w:r>
    </w:p>
    <w:p w:rsidR="00B20564" w:rsidRPr="00B20564" w:rsidRDefault="00B20564" w:rsidP="00B20564">
      <w:pPr>
        <w:pStyle w:val="ListParagraph"/>
        <w:numPr>
          <w:ilvl w:val="0"/>
          <w:numId w:val="18"/>
        </w:numPr>
        <w:spacing w:after="0" w:line="480" w:lineRule="auto"/>
        <w:jc w:val="both"/>
        <w:rPr>
          <w:rFonts w:ascii="Times New Roman" w:hAnsi="Times New Roman"/>
          <w:sz w:val="24"/>
          <w:szCs w:val="24"/>
        </w:rPr>
      </w:pPr>
      <w:r w:rsidRPr="00B20564">
        <w:rPr>
          <w:rFonts w:ascii="Times New Roman" w:hAnsi="Times New Roman"/>
          <w:sz w:val="24"/>
          <w:szCs w:val="24"/>
          <w:lang w:val="en-US"/>
        </w:rPr>
        <w:t>Apakah kendala yang muncul dalam Implementasi Undang-Undang Nomor 22 Tahun 2009 Tentang Lalu Lintas Dan Angkutan Jalan (Studi Penertiban Lalu Lintas Di Wilayah Hukum Kepolisian Kota Deli Serdang)?</w:t>
      </w:r>
    </w:p>
    <w:p w:rsidR="00B20564" w:rsidRPr="00B20564" w:rsidRDefault="00B20564" w:rsidP="00B20564">
      <w:pPr>
        <w:pStyle w:val="Heading2"/>
        <w:spacing w:before="0" w:line="480" w:lineRule="auto"/>
        <w:ind w:left="709" w:hanging="709"/>
        <w:rPr>
          <w:rFonts w:ascii="Times New Roman" w:hAnsi="Times New Roman"/>
          <w:color w:val="auto"/>
          <w:sz w:val="24"/>
          <w:szCs w:val="24"/>
        </w:rPr>
      </w:pPr>
      <w:bookmarkStart w:id="5" w:name="_Toc177133658"/>
      <w:r w:rsidRPr="00B20564">
        <w:rPr>
          <w:rFonts w:ascii="Times New Roman" w:hAnsi="Times New Roman"/>
          <w:color w:val="auto"/>
          <w:sz w:val="24"/>
          <w:szCs w:val="24"/>
          <w:lang w:val="en-US"/>
        </w:rPr>
        <w:lastRenderedPageBreak/>
        <w:t xml:space="preserve">C. </w:t>
      </w:r>
      <w:r w:rsidRPr="00B20564">
        <w:rPr>
          <w:rFonts w:ascii="Times New Roman" w:hAnsi="Times New Roman"/>
          <w:color w:val="auto"/>
          <w:sz w:val="24"/>
          <w:szCs w:val="24"/>
          <w:lang w:val="en-US"/>
        </w:rPr>
        <w:tab/>
      </w:r>
      <w:r w:rsidRPr="00B20564">
        <w:rPr>
          <w:rFonts w:ascii="Times New Roman" w:hAnsi="Times New Roman"/>
          <w:color w:val="auto"/>
          <w:sz w:val="24"/>
          <w:szCs w:val="24"/>
        </w:rPr>
        <w:t>Tujuan Penelitian</w:t>
      </w:r>
      <w:bookmarkEnd w:id="5"/>
    </w:p>
    <w:p w:rsidR="00B20564" w:rsidRPr="00B20564" w:rsidRDefault="00B20564" w:rsidP="00B20564">
      <w:pPr>
        <w:spacing w:after="0"/>
        <w:rPr>
          <w:rFonts w:ascii="Times New Roman" w:hAnsi="Times New Roman"/>
          <w:sz w:val="24"/>
          <w:szCs w:val="24"/>
        </w:rPr>
      </w:pPr>
      <w:r w:rsidRPr="00B20564">
        <w:rPr>
          <w:rFonts w:ascii="Times New Roman" w:hAnsi="Times New Roman"/>
          <w:sz w:val="24"/>
          <w:szCs w:val="24"/>
        </w:rPr>
        <w:t xml:space="preserve">Adapun tujuan dari penelitian ini </w:t>
      </w:r>
      <w:proofErr w:type="gramStart"/>
      <w:r w:rsidRPr="00B20564">
        <w:rPr>
          <w:rFonts w:ascii="Times New Roman" w:hAnsi="Times New Roman"/>
          <w:sz w:val="24"/>
          <w:szCs w:val="24"/>
        </w:rPr>
        <w:t>adalah :</w:t>
      </w:r>
      <w:proofErr w:type="gramEnd"/>
    </w:p>
    <w:p w:rsidR="00B20564" w:rsidRPr="00B20564" w:rsidRDefault="00B20564" w:rsidP="00B20564">
      <w:pPr>
        <w:pStyle w:val="ListParagraph"/>
        <w:numPr>
          <w:ilvl w:val="1"/>
          <w:numId w:val="14"/>
        </w:numPr>
        <w:spacing w:after="0" w:line="480" w:lineRule="auto"/>
        <w:ind w:left="709" w:hanging="283"/>
        <w:jc w:val="both"/>
        <w:rPr>
          <w:rFonts w:ascii="Times New Roman" w:hAnsi="Times New Roman"/>
          <w:sz w:val="24"/>
          <w:szCs w:val="24"/>
        </w:rPr>
      </w:pPr>
      <w:r w:rsidRPr="00B20564">
        <w:rPr>
          <w:rFonts w:ascii="Times New Roman" w:hAnsi="Times New Roman"/>
          <w:sz w:val="24"/>
          <w:szCs w:val="24"/>
          <w:lang w:val="en-US"/>
        </w:rPr>
        <w:t>Untuk mengetahui</w:t>
      </w:r>
      <w:r w:rsidRPr="00B20564">
        <w:rPr>
          <w:rFonts w:ascii="Times New Roman" w:hAnsi="Times New Roman"/>
          <w:sz w:val="24"/>
          <w:szCs w:val="24"/>
        </w:rPr>
        <w:t xml:space="preserve"> pelaksanaan tugas kepolisian lalu lintas di wilayah hukum kepolisian Kota Deli Serdang</w:t>
      </w:r>
    </w:p>
    <w:p w:rsidR="00B20564" w:rsidRPr="00B20564" w:rsidRDefault="00B20564" w:rsidP="00B20564">
      <w:pPr>
        <w:pStyle w:val="ListParagraph"/>
        <w:numPr>
          <w:ilvl w:val="1"/>
          <w:numId w:val="14"/>
        </w:numPr>
        <w:spacing w:after="0" w:line="480" w:lineRule="auto"/>
        <w:ind w:left="709" w:hanging="283"/>
        <w:jc w:val="both"/>
        <w:rPr>
          <w:rFonts w:ascii="Times New Roman" w:hAnsi="Times New Roman"/>
          <w:sz w:val="24"/>
          <w:szCs w:val="24"/>
        </w:rPr>
      </w:pPr>
      <w:r w:rsidRPr="00B20564">
        <w:rPr>
          <w:rFonts w:ascii="Times New Roman" w:hAnsi="Times New Roman"/>
          <w:sz w:val="24"/>
          <w:szCs w:val="24"/>
          <w:lang w:val="en-US"/>
        </w:rPr>
        <w:t>Untuk mengetahui</w:t>
      </w:r>
      <w:r w:rsidRPr="00B20564">
        <w:rPr>
          <w:rFonts w:ascii="Times New Roman" w:hAnsi="Times New Roman"/>
          <w:sz w:val="24"/>
          <w:szCs w:val="24"/>
        </w:rPr>
        <w:t xml:space="preserve"> </w:t>
      </w:r>
      <w:r w:rsidRPr="00B20564">
        <w:rPr>
          <w:rFonts w:ascii="Times New Roman" w:hAnsi="Times New Roman"/>
          <w:sz w:val="24"/>
          <w:szCs w:val="24"/>
          <w:lang w:val="en-US"/>
        </w:rPr>
        <w:t>pelaksanaan hukum</w:t>
      </w:r>
      <w:r w:rsidRPr="00B20564">
        <w:rPr>
          <w:rFonts w:ascii="Times New Roman" w:hAnsi="Times New Roman"/>
          <w:sz w:val="24"/>
          <w:szCs w:val="24"/>
        </w:rPr>
        <w:t xml:space="preserve"> lalu lintas dalam wilayah hukum kepolisian Kota Deli Serdang sesuai dengan ketentuan Undang-Undang Nomor 22 Tahun 2009 tentang Lalu Lintas dan Angkutan Jalan</w:t>
      </w:r>
    </w:p>
    <w:p w:rsidR="00B20564" w:rsidRPr="00B20564" w:rsidRDefault="00B20564" w:rsidP="00B20564">
      <w:pPr>
        <w:pStyle w:val="ListParagraph"/>
        <w:numPr>
          <w:ilvl w:val="1"/>
          <w:numId w:val="14"/>
        </w:numPr>
        <w:spacing w:after="0" w:line="480" w:lineRule="auto"/>
        <w:ind w:left="709" w:hanging="283"/>
        <w:jc w:val="both"/>
        <w:rPr>
          <w:rFonts w:ascii="Times New Roman" w:hAnsi="Times New Roman"/>
          <w:sz w:val="24"/>
          <w:szCs w:val="24"/>
        </w:rPr>
      </w:pPr>
      <w:r w:rsidRPr="00B20564">
        <w:rPr>
          <w:rFonts w:ascii="Times New Roman" w:hAnsi="Times New Roman"/>
          <w:sz w:val="24"/>
          <w:szCs w:val="24"/>
          <w:lang w:val="en-US"/>
        </w:rPr>
        <w:t>Untuk mengetahui kendala yang muncul dalam Implementasi Undang-Undang Nomor 22 Tahun 2009 Tentang Lalu Lintas Dan Angkutan Jalan (Studi Penertiban Lalu Lintas Di Wilayah Hukum Kepolisian Kota Deli Serdang)</w:t>
      </w:r>
    </w:p>
    <w:p w:rsidR="00B20564" w:rsidRPr="00B20564" w:rsidRDefault="00B20564" w:rsidP="00B20564">
      <w:pPr>
        <w:pStyle w:val="Heading2"/>
        <w:spacing w:before="0" w:line="480" w:lineRule="auto"/>
        <w:ind w:left="709" w:hanging="709"/>
        <w:rPr>
          <w:rFonts w:ascii="Times New Roman" w:hAnsi="Times New Roman"/>
          <w:color w:val="auto"/>
          <w:sz w:val="24"/>
          <w:szCs w:val="24"/>
        </w:rPr>
      </w:pPr>
      <w:bookmarkStart w:id="6" w:name="_Toc177133659"/>
      <w:r w:rsidRPr="00B20564">
        <w:rPr>
          <w:rFonts w:ascii="Times New Roman" w:hAnsi="Times New Roman"/>
          <w:color w:val="auto"/>
          <w:sz w:val="24"/>
          <w:szCs w:val="24"/>
          <w:lang w:val="en-US"/>
        </w:rPr>
        <w:t xml:space="preserve">D. </w:t>
      </w:r>
      <w:r w:rsidRPr="00B20564">
        <w:rPr>
          <w:rFonts w:ascii="Times New Roman" w:hAnsi="Times New Roman"/>
          <w:color w:val="auto"/>
          <w:sz w:val="24"/>
          <w:szCs w:val="24"/>
          <w:lang w:val="en-US"/>
        </w:rPr>
        <w:tab/>
      </w:r>
      <w:r w:rsidRPr="00B20564">
        <w:rPr>
          <w:rFonts w:ascii="Times New Roman" w:hAnsi="Times New Roman"/>
          <w:color w:val="auto"/>
          <w:sz w:val="24"/>
          <w:szCs w:val="24"/>
        </w:rPr>
        <w:t>Manfaat Penelitian</w:t>
      </w:r>
      <w:bookmarkEnd w:id="6"/>
    </w:p>
    <w:p w:rsidR="00B20564" w:rsidRPr="00B20564" w:rsidRDefault="00B20564" w:rsidP="00B20564">
      <w:pPr>
        <w:pStyle w:val="ListParagraph"/>
        <w:numPr>
          <w:ilvl w:val="0"/>
          <w:numId w:val="19"/>
        </w:numPr>
        <w:spacing w:after="0" w:line="480" w:lineRule="auto"/>
        <w:ind w:left="425" w:hanging="426"/>
        <w:rPr>
          <w:rFonts w:ascii="Times New Roman" w:hAnsi="Times New Roman"/>
          <w:b/>
          <w:sz w:val="24"/>
          <w:szCs w:val="24"/>
        </w:rPr>
      </w:pPr>
      <w:r w:rsidRPr="00B20564">
        <w:rPr>
          <w:rFonts w:ascii="Times New Roman" w:hAnsi="Times New Roman"/>
          <w:b/>
          <w:sz w:val="24"/>
          <w:szCs w:val="24"/>
        </w:rPr>
        <w:t>Manfaat teoritis</w:t>
      </w:r>
    </w:p>
    <w:p w:rsidR="00B20564" w:rsidRPr="00B20564" w:rsidRDefault="00B20564" w:rsidP="00B20564">
      <w:pPr>
        <w:pStyle w:val="ListParagraph"/>
        <w:numPr>
          <w:ilvl w:val="1"/>
          <w:numId w:val="16"/>
        </w:numPr>
        <w:spacing w:after="0" w:line="480" w:lineRule="auto"/>
        <w:ind w:left="709" w:hanging="283"/>
        <w:jc w:val="both"/>
        <w:rPr>
          <w:rFonts w:ascii="Times New Roman" w:hAnsi="Times New Roman"/>
          <w:sz w:val="24"/>
          <w:szCs w:val="24"/>
          <w:lang w:val="en-US"/>
        </w:rPr>
      </w:pPr>
      <w:r w:rsidRPr="00B20564">
        <w:rPr>
          <w:rFonts w:ascii="Times New Roman" w:hAnsi="Times New Roman"/>
          <w:sz w:val="24"/>
          <w:szCs w:val="24"/>
        </w:rPr>
        <w:t>Sebagai media pembelajaran metode penelitian hukum sehingga dapat menunjang kemampuan individu mahasiswa dalam kehidupan bermasyarakat, berbangsa dan bernegara</w:t>
      </w:r>
      <w:r w:rsidRPr="00B20564">
        <w:rPr>
          <w:rFonts w:ascii="Times New Roman" w:hAnsi="Times New Roman"/>
          <w:sz w:val="24"/>
          <w:szCs w:val="24"/>
          <w:lang w:val="en-US"/>
        </w:rPr>
        <w:t>.</w:t>
      </w:r>
    </w:p>
    <w:p w:rsidR="00B20564" w:rsidRPr="00B20564" w:rsidRDefault="00B20564" w:rsidP="00B20564">
      <w:pPr>
        <w:pStyle w:val="ListParagraph"/>
        <w:numPr>
          <w:ilvl w:val="1"/>
          <w:numId w:val="16"/>
        </w:numPr>
        <w:spacing w:after="0" w:line="480" w:lineRule="auto"/>
        <w:ind w:left="709" w:hanging="283"/>
        <w:jc w:val="both"/>
        <w:rPr>
          <w:rFonts w:ascii="Times New Roman" w:hAnsi="Times New Roman"/>
          <w:sz w:val="24"/>
          <w:szCs w:val="24"/>
          <w:lang w:val="en-US"/>
        </w:rPr>
      </w:pPr>
      <w:r w:rsidRPr="00B20564">
        <w:rPr>
          <w:rFonts w:ascii="Times New Roman" w:hAnsi="Times New Roman"/>
          <w:sz w:val="24"/>
          <w:szCs w:val="24"/>
        </w:rPr>
        <w:t>Menambah pengetahuan bagi masyarakat umumnya dan bagi peneliti khususnya mengenai Implementasi UndangUndang no.22 Tahun 2009 tentang Lalu Lintas dan Angkutan Jalan di wilayah hukum kepolisian Kota Deli Serdang Dapat dijadikan acuan atau referensi untuk penelitian berikutnya.</w:t>
      </w:r>
    </w:p>
    <w:p w:rsidR="00B20564" w:rsidRPr="00B20564" w:rsidRDefault="00B20564" w:rsidP="00B20564">
      <w:pPr>
        <w:spacing w:after="0"/>
        <w:ind w:left="425" w:hanging="426"/>
        <w:rPr>
          <w:rFonts w:ascii="Times New Roman" w:hAnsi="Times New Roman"/>
          <w:b/>
          <w:sz w:val="24"/>
          <w:szCs w:val="24"/>
        </w:rPr>
      </w:pPr>
      <w:r w:rsidRPr="00B20564">
        <w:rPr>
          <w:rFonts w:ascii="Times New Roman" w:hAnsi="Times New Roman"/>
          <w:b/>
          <w:sz w:val="24"/>
          <w:szCs w:val="24"/>
        </w:rPr>
        <w:t>2.</w:t>
      </w:r>
      <w:r w:rsidRPr="00B20564">
        <w:rPr>
          <w:rFonts w:ascii="Times New Roman" w:hAnsi="Times New Roman"/>
          <w:b/>
          <w:sz w:val="24"/>
          <w:szCs w:val="24"/>
        </w:rPr>
        <w:tab/>
        <w:t>Manfaat Praktis</w:t>
      </w:r>
    </w:p>
    <w:p w:rsidR="00B20564" w:rsidRPr="00B20564" w:rsidRDefault="00B20564" w:rsidP="00B20564">
      <w:pPr>
        <w:pStyle w:val="ListParagraph"/>
        <w:numPr>
          <w:ilvl w:val="1"/>
          <w:numId w:val="15"/>
        </w:numPr>
        <w:spacing w:after="0" w:line="480" w:lineRule="auto"/>
        <w:ind w:left="426" w:hanging="284"/>
        <w:jc w:val="both"/>
        <w:rPr>
          <w:rFonts w:ascii="Times New Roman" w:hAnsi="Times New Roman"/>
          <w:sz w:val="24"/>
          <w:szCs w:val="24"/>
          <w:lang w:val="en-US"/>
        </w:rPr>
      </w:pPr>
      <w:r w:rsidRPr="00B20564">
        <w:rPr>
          <w:rFonts w:ascii="Times New Roman" w:hAnsi="Times New Roman"/>
          <w:sz w:val="24"/>
          <w:szCs w:val="24"/>
        </w:rPr>
        <w:t xml:space="preserve">Bagi Peneliti </w:t>
      </w:r>
    </w:p>
    <w:p w:rsidR="00B20564" w:rsidRPr="00B20564" w:rsidRDefault="00B20564" w:rsidP="00B20564">
      <w:pPr>
        <w:pStyle w:val="ListParagraph"/>
        <w:spacing w:after="0" w:line="480" w:lineRule="auto"/>
        <w:ind w:left="425"/>
        <w:jc w:val="both"/>
        <w:rPr>
          <w:rFonts w:ascii="Times New Roman" w:hAnsi="Times New Roman"/>
          <w:sz w:val="24"/>
          <w:szCs w:val="24"/>
          <w:lang w:val="en-US"/>
        </w:rPr>
      </w:pPr>
      <w:r w:rsidRPr="00B20564">
        <w:rPr>
          <w:rFonts w:ascii="Times New Roman" w:hAnsi="Times New Roman"/>
          <w:sz w:val="24"/>
          <w:szCs w:val="24"/>
        </w:rPr>
        <w:lastRenderedPageBreak/>
        <w:t xml:space="preserve">Peneliti dapat menentukan berbagai persoalan yang dihadapi tentang Implementasi Undang-Undang no.22 Tahun 2009 tentang Lalu Lintas dan Angkutan Jalan di wilayah hukum kepolisian Kota Deli Serdang dan menambah wawasan peneliti dalam bidang hukum khususnya hukum tata negara. </w:t>
      </w:r>
    </w:p>
    <w:p w:rsidR="00B20564" w:rsidRPr="00B20564" w:rsidRDefault="00B20564" w:rsidP="00B20564">
      <w:pPr>
        <w:pStyle w:val="ListParagraph"/>
        <w:numPr>
          <w:ilvl w:val="1"/>
          <w:numId w:val="15"/>
        </w:numPr>
        <w:spacing w:after="0" w:line="480" w:lineRule="auto"/>
        <w:ind w:left="426" w:hanging="426"/>
        <w:jc w:val="both"/>
        <w:rPr>
          <w:rFonts w:ascii="Times New Roman" w:hAnsi="Times New Roman"/>
          <w:sz w:val="24"/>
          <w:szCs w:val="24"/>
          <w:lang w:val="en-US"/>
        </w:rPr>
      </w:pPr>
      <w:r w:rsidRPr="00B20564">
        <w:rPr>
          <w:rFonts w:ascii="Times New Roman" w:hAnsi="Times New Roman"/>
          <w:sz w:val="24"/>
          <w:szCs w:val="24"/>
        </w:rPr>
        <w:t xml:space="preserve">Bagi Masyarakat </w:t>
      </w:r>
    </w:p>
    <w:p w:rsidR="00B20564" w:rsidRPr="00B20564" w:rsidRDefault="00B20564" w:rsidP="00B20564">
      <w:pPr>
        <w:pStyle w:val="ListParagraph"/>
        <w:spacing w:after="0" w:line="480" w:lineRule="auto"/>
        <w:ind w:left="425"/>
        <w:jc w:val="both"/>
        <w:rPr>
          <w:rFonts w:ascii="Times New Roman" w:hAnsi="Times New Roman"/>
          <w:sz w:val="24"/>
          <w:szCs w:val="24"/>
          <w:lang w:val="en-US"/>
        </w:rPr>
      </w:pPr>
      <w:r w:rsidRPr="00B20564">
        <w:rPr>
          <w:rFonts w:ascii="Times New Roman" w:hAnsi="Times New Roman"/>
          <w:sz w:val="24"/>
          <w:szCs w:val="24"/>
        </w:rPr>
        <w:t>Dapat memberikan pandangan terhadap masyarakat mengenai .Implementasi Undang-Undang no.22 Tahun 2009 tentang Lalu Lintas dan Angkutan Jalan di wilayah hukum kepolisian Kota Deli Serdang</w:t>
      </w:r>
      <w:r w:rsidRPr="00B20564">
        <w:rPr>
          <w:rFonts w:ascii="Times New Roman" w:hAnsi="Times New Roman"/>
          <w:sz w:val="24"/>
          <w:szCs w:val="24"/>
          <w:lang w:val="en-US"/>
        </w:rPr>
        <w:t>.</w:t>
      </w:r>
    </w:p>
    <w:p w:rsidR="00B20564" w:rsidRPr="00B20564" w:rsidRDefault="00B20564" w:rsidP="00B20564">
      <w:pPr>
        <w:pStyle w:val="ListParagraph"/>
        <w:spacing w:after="0" w:line="480" w:lineRule="auto"/>
        <w:ind w:left="425"/>
        <w:jc w:val="both"/>
        <w:rPr>
          <w:rFonts w:ascii="Times New Roman" w:hAnsi="Times New Roman"/>
          <w:sz w:val="24"/>
          <w:szCs w:val="24"/>
          <w:lang w:val="en-US"/>
        </w:rPr>
      </w:pPr>
    </w:p>
    <w:p w:rsidR="00DD7C2F" w:rsidRPr="00B20564" w:rsidRDefault="00AC5574" w:rsidP="00B20564"/>
    <w:sectPr w:rsidR="00DD7C2F" w:rsidRPr="00B20564" w:rsidSect="008C3FD6">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574" w:rsidRDefault="00AC5574">
      <w:pPr>
        <w:spacing w:after="0" w:line="240" w:lineRule="auto"/>
      </w:pPr>
      <w:r>
        <w:separator/>
      </w:r>
    </w:p>
  </w:endnote>
  <w:endnote w:type="continuationSeparator" w:id="0">
    <w:p w:rsidR="00AC5574" w:rsidRDefault="00AC5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564" w:rsidRDefault="00B20564" w:rsidP="002E42E1">
    <w:pPr>
      <w:pStyle w:val="Footer"/>
      <w:jc w:val="center"/>
    </w:pPr>
    <w:r>
      <w:fldChar w:fldCharType="begin"/>
    </w:r>
    <w:r>
      <w:instrText xml:space="preserve"> PAGE   \* MERGEFORMAT </w:instrText>
    </w:r>
    <w:r>
      <w:fldChar w:fldCharType="separate"/>
    </w:r>
    <w:r w:rsidR="000F1E94">
      <w:rPr>
        <w:noProof/>
      </w:rPr>
      <w:t>1</w:t>
    </w:r>
    <w:r>
      <w:fldChar w:fldCharType="end"/>
    </w:r>
  </w:p>
  <w:p w:rsidR="00B20564" w:rsidRDefault="00B205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4E0" w:rsidRDefault="00FB3555">
    <w:pPr>
      <w:spacing w:after="0" w:line="238" w:lineRule="auto"/>
      <w:ind w:right="3905" w:firstLine="3901"/>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4"/>
      </w:rPr>
      <w:t>ii</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4E0" w:rsidRDefault="00AC557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955217139"/>
      <w:docPartObj>
        <w:docPartGallery w:val="Page Numbers (Bottom of Page)"/>
        <w:docPartUnique/>
      </w:docPartObj>
    </w:sdtPr>
    <w:sdtEndPr>
      <w:rPr>
        <w:noProof/>
      </w:rPr>
    </w:sdtEndPr>
    <w:sdtContent>
      <w:p w:rsidR="00CA44E0" w:rsidRPr="00892E8A" w:rsidRDefault="00FB3555">
        <w:pPr>
          <w:pStyle w:val="Footer"/>
          <w:jc w:val="center"/>
          <w:rPr>
            <w:rFonts w:ascii="Times New Roman" w:hAnsi="Times New Roman" w:cs="Times New Roman"/>
            <w:sz w:val="24"/>
            <w:szCs w:val="24"/>
          </w:rPr>
        </w:pPr>
        <w:r w:rsidRPr="00892E8A">
          <w:rPr>
            <w:rFonts w:ascii="Times New Roman" w:hAnsi="Times New Roman" w:cs="Times New Roman"/>
            <w:sz w:val="24"/>
            <w:szCs w:val="24"/>
          </w:rPr>
          <w:fldChar w:fldCharType="begin"/>
        </w:r>
        <w:r w:rsidRPr="00892E8A">
          <w:rPr>
            <w:rFonts w:ascii="Times New Roman" w:hAnsi="Times New Roman" w:cs="Times New Roman"/>
            <w:sz w:val="24"/>
            <w:szCs w:val="24"/>
          </w:rPr>
          <w:instrText xml:space="preserve"> PAGE   \* MERGEFORMAT </w:instrText>
        </w:r>
        <w:r w:rsidRPr="00892E8A">
          <w:rPr>
            <w:rFonts w:ascii="Times New Roman" w:hAnsi="Times New Roman" w:cs="Times New Roman"/>
            <w:sz w:val="24"/>
            <w:szCs w:val="24"/>
          </w:rPr>
          <w:fldChar w:fldCharType="separate"/>
        </w:r>
        <w:r w:rsidR="008C3FD6">
          <w:rPr>
            <w:rFonts w:ascii="Times New Roman" w:hAnsi="Times New Roman" w:cs="Times New Roman"/>
            <w:noProof/>
            <w:sz w:val="24"/>
            <w:szCs w:val="24"/>
          </w:rPr>
          <w:t>i</w:t>
        </w:r>
        <w:r w:rsidRPr="00892E8A">
          <w:rPr>
            <w:rFonts w:ascii="Times New Roman" w:hAnsi="Times New Roman" w:cs="Times New Roman"/>
            <w:noProof/>
            <w:sz w:val="24"/>
            <w:szCs w:val="24"/>
          </w:rPr>
          <w:fldChar w:fldCharType="end"/>
        </w:r>
      </w:p>
    </w:sdtContent>
  </w:sdt>
  <w:p w:rsidR="00CA44E0" w:rsidRDefault="00AC55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574" w:rsidRDefault="00AC5574">
      <w:pPr>
        <w:spacing w:after="0" w:line="240" w:lineRule="auto"/>
      </w:pPr>
      <w:r>
        <w:separator/>
      </w:r>
    </w:p>
  </w:footnote>
  <w:footnote w:type="continuationSeparator" w:id="0">
    <w:p w:rsidR="00AC5574" w:rsidRDefault="00AC5574">
      <w:pPr>
        <w:spacing w:after="0" w:line="240" w:lineRule="auto"/>
      </w:pPr>
      <w:r>
        <w:continuationSeparator/>
      </w:r>
    </w:p>
  </w:footnote>
  <w:footnote w:id="1">
    <w:p w:rsidR="00B20564" w:rsidRDefault="00B20564" w:rsidP="00B20564">
      <w:pPr>
        <w:pStyle w:val="Footnote0"/>
        <w:jc w:val="both"/>
        <w:rPr>
          <w:lang w:val="id-ID" w:eastAsia="id-ID" w:bidi="id-ID"/>
        </w:rPr>
      </w:pPr>
      <w:r>
        <w:rPr>
          <w:color w:val="000000"/>
          <w:vertAlign w:val="superscript"/>
        </w:rPr>
        <w:footnoteRef/>
      </w:r>
      <w:r>
        <w:rPr>
          <w:color w:val="000000"/>
        </w:rPr>
        <w:t>Muhammad Taufiq Anshari Siregar, “</w:t>
      </w:r>
      <w:r w:rsidRPr="002078AC">
        <w:rPr>
          <w:i/>
          <w:color w:val="000000"/>
        </w:rPr>
        <w:t>Upaya Yang Dapat Dilakukan Oleh Korban/Pengguna Jalan Meminta Pertanggungjawaban Pidana Penyelenggara Jalan Atas Terjadinya Kecelakaan Akibat Jalan Rusak</w:t>
      </w:r>
      <w:r>
        <w:rPr>
          <w:color w:val="000000"/>
        </w:rPr>
        <w:t xml:space="preserve">,” </w:t>
      </w:r>
      <w:r>
        <w:rPr>
          <w:i/>
          <w:iCs/>
          <w:color w:val="000000"/>
        </w:rPr>
        <w:t>EduTech: Jurnal Ilmu Pendidikan dan Ilmu Sosial 6,</w:t>
      </w:r>
      <w:r>
        <w:rPr>
          <w:color w:val="000000"/>
        </w:rPr>
        <w:t xml:space="preserve"> no. 1 (2020): 36</w:t>
      </w:r>
      <w:r>
        <w:rPr>
          <w:color w:val="000000"/>
        </w:rPr>
        <w:softHyphen/>
        <w:t>44.</w:t>
      </w:r>
    </w:p>
  </w:footnote>
  <w:footnote w:id="2">
    <w:p w:rsidR="00B20564" w:rsidRDefault="00B20564" w:rsidP="00B20564">
      <w:pPr>
        <w:pStyle w:val="Footnote0"/>
        <w:jc w:val="both"/>
      </w:pPr>
      <w:r>
        <w:rPr>
          <w:color w:val="000000"/>
          <w:vertAlign w:val="superscript"/>
        </w:rPr>
        <w:footnoteRef/>
      </w:r>
      <w:r>
        <w:rPr>
          <w:color w:val="000000"/>
        </w:rPr>
        <w:t xml:space="preserve">Abubakar Iskandar, </w:t>
      </w:r>
      <w:r>
        <w:rPr>
          <w:i/>
          <w:iCs/>
          <w:color w:val="000000"/>
        </w:rPr>
        <w:t>Menuju Lalu Lintas Dan Angkutan Jalan Yang Tertib</w:t>
      </w:r>
      <w:r>
        <w:rPr>
          <w:color w:val="000000"/>
        </w:rPr>
        <w:t xml:space="preserve"> (Jakarta: Direktorat Jendral Perhubungan Darat, 1996).</w:t>
      </w:r>
    </w:p>
  </w:footnote>
  <w:footnote w:id="3">
    <w:p w:rsidR="00B20564" w:rsidRPr="002078AC" w:rsidRDefault="00B20564" w:rsidP="00B20564">
      <w:pPr>
        <w:pStyle w:val="FootnoteText"/>
        <w:ind w:left="0" w:firstLine="0"/>
        <w:rPr>
          <w:rFonts w:ascii="Times New Roman" w:hAnsi="Times New Roman"/>
        </w:rPr>
      </w:pPr>
      <w:r w:rsidRPr="002078AC">
        <w:rPr>
          <w:rStyle w:val="FootnoteReference"/>
          <w:rFonts w:ascii="Times New Roman" w:hAnsi="Times New Roman"/>
        </w:rPr>
        <w:footnoteRef/>
      </w:r>
      <w:r w:rsidRPr="002078AC">
        <w:rPr>
          <w:rFonts w:ascii="Times New Roman" w:hAnsi="Times New Roman"/>
          <w:color w:val="000000"/>
        </w:rPr>
        <w:t>Ismail Ismail, “</w:t>
      </w:r>
      <w:r w:rsidRPr="002078AC">
        <w:rPr>
          <w:rFonts w:ascii="Times New Roman" w:hAnsi="Times New Roman"/>
          <w:i/>
          <w:color w:val="000000"/>
        </w:rPr>
        <w:t>Peran Unit Dikyasa Dalam Pelaksanaan Dikmas Lantas Polres Cilacap Untuk Meningkatkan Kesadaran Pelajar Dalam Disiplin Berlalu Lintas</w:t>
      </w:r>
      <w:r w:rsidRPr="002078AC">
        <w:rPr>
          <w:rFonts w:ascii="Times New Roman" w:hAnsi="Times New Roman"/>
          <w:color w:val="000000"/>
        </w:rPr>
        <w:t>,”</w:t>
      </w:r>
    </w:p>
  </w:footnote>
  <w:footnote w:id="4">
    <w:p w:rsidR="00B20564" w:rsidRPr="005836CD" w:rsidRDefault="00B20564" w:rsidP="00B20564">
      <w:pPr>
        <w:pStyle w:val="FootnoteText"/>
        <w:ind w:left="426"/>
        <w:rPr>
          <w:lang w:val="en-US"/>
        </w:rPr>
      </w:pPr>
      <w:r>
        <w:rPr>
          <w:rStyle w:val="FootnoteReference"/>
        </w:rPr>
        <w:footnoteRef/>
      </w:r>
      <w:hyperlink r:id="rId1" w:history="1">
        <w:r w:rsidRPr="00DF19A9">
          <w:rPr>
            <w:rStyle w:val="Hyperlink"/>
          </w:rPr>
          <w:t>https://sumut.bps.go.id/indicator/17/276/1/jumlah-kecelakaan-lalu-lintas-dan-kerugian.html</w:t>
        </w:r>
      </w:hyperlink>
      <w:r>
        <w:rPr>
          <w:lang w:val="en-US"/>
        </w:rPr>
        <w:t xml:space="preserve"> </w:t>
      </w:r>
      <w:r>
        <w:t xml:space="preserve"> </w:t>
      </w:r>
    </w:p>
  </w:footnote>
  <w:footnote w:id="5">
    <w:p w:rsidR="00B20564" w:rsidRPr="002078AC" w:rsidRDefault="00B20564" w:rsidP="00B20564">
      <w:pPr>
        <w:pStyle w:val="FootnoteText"/>
        <w:ind w:left="0" w:firstLine="0"/>
        <w:rPr>
          <w:rFonts w:ascii="Times New Roman" w:hAnsi="Times New Roman"/>
        </w:rPr>
      </w:pPr>
      <w:r w:rsidRPr="002078AC">
        <w:rPr>
          <w:rStyle w:val="FootnoteReference"/>
          <w:rFonts w:ascii="Times New Roman" w:hAnsi="Times New Roman"/>
        </w:rPr>
        <w:footnoteRef/>
      </w:r>
      <w:r w:rsidRPr="002078AC">
        <w:rPr>
          <w:rFonts w:ascii="Times New Roman" w:hAnsi="Times New Roman"/>
          <w:color w:val="000000"/>
        </w:rPr>
        <w:t>Aully Grashinta and Ummu Khairun Nisa</w:t>
      </w:r>
      <w:r>
        <w:rPr>
          <w:rFonts w:ascii="Times New Roman" w:hAnsi="Times New Roman"/>
          <w:color w:val="000000"/>
          <w:lang w:val="en-US"/>
        </w:rPr>
        <w:t>, “</w:t>
      </w:r>
      <w:r w:rsidRPr="002078AC">
        <w:rPr>
          <w:rFonts w:ascii="Times New Roman" w:hAnsi="Times New Roman"/>
          <w:i/>
          <w:color w:val="000000"/>
        </w:rPr>
        <w:t>Konformitas Dan Risk Perception Terhadap Sensation Seeking Behavior Pada Remaja Pengendara Sepeda Motor Di Bawah Umur</w:t>
      </w:r>
      <w:r w:rsidRPr="002078AC">
        <w:rPr>
          <w:rFonts w:ascii="Times New Roman" w:hAnsi="Times New Roman"/>
          <w:color w:val="000000"/>
        </w:rPr>
        <w:t xml:space="preserve">,” </w:t>
      </w:r>
      <w:r w:rsidRPr="002078AC">
        <w:rPr>
          <w:rFonts w:ascii="Times New Roman" w:hAnsi="Times New Roman"/>
          <w:i/>
          <w:iCs/>
          <w:color w:val="000000"/>
        </w:rPr>
        <w:t xml:space="preserve">PSIKOSAINS </w:t>
      </w:r>
      <w:r w:rsidRPr="002078AC">
        <w:rPr>
          <w:rFonts w:ascii="Times New Roman" w:hAnsi="Times New Roman"/>
          <w:iCs/>
          <w:color w:val="000000"/>
        </w:rPr>
        <w:t>(Jurnal Penelitian dan Pemikiran Psikologi)</w:t>
      </w:r>
      <w:r w:rsidRPr="002078AC">
        <w:rPr>
          <w:rFonts w:ascii="Times New Roman" w:hAnsi="Times New Roman"/>
          <w:color w:val="000000"/>
        </w:rPr>
        <w:t xml:space="preserve"> 13, no. 1 (2018): 1-16.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4E0" w:rsidRDefault="00AC557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3"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4E0" w:rsidRDefault="00AC557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4" o:spid="_x0000_s2051"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4E0" w:rsidRDefault="00AC557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2"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23B81"/>
    <w:multiLevelType w:val="hybridMultilevel"/>
    <w:tmpl w:val="C0D89D2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BE62B33"/>
    <w:multiLevelType w:val="multilevel"/>
    <w:tmpl w:val="D4C670E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199E06D2"/>
    <w:multiLevelType w:val="hybridMultilevel"/>
    <w:tmpl w:val="C23CF2B4"/>
    <w:lvl w:ilvl="0" w:tplc="0421000F">
      <w:start w:val="1"/>
      <w:numFmt w:val="decimal"/>
      <w:lvlText w:val="%1."/>
      <w:lvlJc w:val="left"/>
      <w:pPr>
        <w:ind w:left="720" w:hanging="360"/>
      </w:pPr>
      <w:rPr>
        <w:rFonts w:cs="Times New Roman" w:hint="default"/>
      </w:rPr>
    </w:lvl>
    <w:lvl w:ilvl="1" w:tplc="58B0DA26">
      <w:start w:val="1"/>
      <w:numFmt w:val="decimal"/>
      <w:lvlText w:val="%2."/>
      <w:lvlJc w:val="left"/>
      <w:pPr>
        <w:ind w:left="1440" w:hanging="360"/>
      </w:pPr>
      <w:rPr>
        <w:rFonts w:ascii="Times New Roman" w:eastAsia="Times New Roman" w:hAnsi="Times New Roman"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1E53002D"/>
    <w:multiLevelType w:val="hybridMultilevel"/>
    <w:tmpl w:val="56162518"/>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EBC4566"/>
    <w:multiLevelType w:val="multilevel"/>
    <w:tmpl w:val="905ECB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10B58CA"/>
    <w:multiLevelType w:val="hybridMultilevel"/>
    <w:tmpl w:val="C098330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27C90686"/>
    <w:multiLevelType w:val="multilevel"/>
    <w:tmpl w:val="C4A477D6"/>
    <w:lvl w:ilvl="0">
      <w:start w:val="1"/>
      <w:numFmt w:val="decimal"/>
      <w:lvlText w:val="%1."/>
      <w:lvlJc w:val="left"/>
      <w:pPr>
        <w:ind w:left="720" w:hanging="360"/>
      </w:pPr>
      <w:rPr>
        <w:rFonts w:cs="Times New Roman"/>
      </w:rPr>
    </w:lvl>
    <w:lvl w:ilvl="1">
      <w:start w:val="4"/>
      <w:numFmt w:val="decimal"/>
      <w:isLgl/>
      <w:lvlText w:val="%1.%2"/>
      <w:lvlJc w:val="left"/>
      <w:pPr>
        <w:ind w:left="840" w:hanging="48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080" w:hanging="72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440" w:hanging="1080"/>
      </w:pPr>
      <w:rPr>
        <w:rFonts w:cs="Times New Roman"/>
        <w:b/>
      </w:rPr>
    </w:lvl>
    <w:lvl w:ilvl="6">
      <w:start w:val="1"/>
      <w:numFmt w:val="decimal"/>
      <w:isLgl/>
      <w:lvlText w:val="%1.%2.%3.%4.%5.%6.%7"/>
      <w:lvlJc w:val="left"/>
      <w:pPr>
        <w:ind w:left="1800" w:hanging="1440"/>
      </w:pPr>
      <w:rPr>
        <w:rFonts w:cs="Times New Roman"/>
        <w:b/>
      </w:rPr>
    </w:lvl>
    <w:lvl w:ilvl="7">
      <w:start w:val="1"/>
      <w:numFmt w:val="decimal"/>
      <w:isLgl/>
      <w:lvlText w:val="%1.%2.%3.%4.%5.%6.%7.%8"/>
      <w:lvlJc w:val="left"/>
      <w:pPr>
        <w:ind w:left="1800" w:hanging="1440"/>
      </w:pPr>
      <w:rPr>
        <w:rFonts w:cs="Times New Roman"/>
        <w:b/>
      </w:rPr>
    </w:lvl>
    <w:lvl w:ilvl="8">
      <w:start w:val="1"/>
      <w:numFmt w:val="decimal"/>
      <w:isLgl/>
      <w:lvlText w:val="%1.%2.%3.%4.%5.%6.%7.%8.%9"/>
      <w:lvlJc w:val="left"/>
      <w:pPr>
        <w:ind w:left="2160" w:hanging="1800"/>
      </w:pPr>
      <w:rPr>
        <w:rFonts w:cs="Times New Roman"/>
        <w:b/>
      </w:rPr>
    </w:lvl>
  </w:abstractNum>
  <w:abstractNum w:abstractNumId="7">
    <w:nsid w:val="32A77CAC"/>
    <w:multiLevelType w:val="hybridMultilevel"/>
    <w:tmpl w:val="9B989E8A"/>
    <w:lvl w:ilvl="0" w:tplc="94203704">
      <w:start w:val="1"/>
      <w:numFmt w:val="decimal"/>
      <w:lvlText w:val="%1."/>
      <w:lvlJc w:val="left"/>
      <w:pPr>
        <w:ind w:left="1260" w:hanging="360"/>
      </w:pPr>
      <w:rPr>
        <w:rFonts w:hint="default"/>
      </w:rPr>
    </w:lvl>
    <w:lvl w:ilvl="1" w:tplc="74288B9A">
      <w:start w:val="1"/>
      <w:numFmt w:val="lowerLetter"/>
      <w:lvlText w:val="%2."/>
      <w:lvlJc w:val="left"/>
      <w:pPr>
        <w:ind w:left="3060" w:hanging="144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36AE7A65"/>
    <w:multiLevelType w:val="hybridMultilevel"/>
    <w:tmpl w:val="150A8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894F73"/>
    <w:multiLevelType w:val="hybridMultilevel"/>
    <w:tmpl w:val="D9345D6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3C887996"/>
    <w:multiLevelType w:val="hybridMultilevel"/>
    <w:tmpl w:val="3B605A54"/>
    <w:lvl w:ilvl="0" w:tplc="B3D2F4A0">
      <w:start w:val="1"/>
      <w:numFmt w:val="decimal"/>
      <w:lvlText w:val="%1."/>
      <w:lvlJc w:val="left"/>
      <w:pPr>
        <w:ind w:left="720" w:hanging="360"/>
      </w:pPr>
      <w:rPr>
        <w:rFonts w:cs="Times New Roman" w:hint="default"/>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3F655305"/>
    <w:multiLevelType w:val="hybridMultilevel"/>
    <w:tmpl w:val="7ECE290E"/>
    <w:lvl w:ilvl="0" w:tplc="3E28F65C">
      <w:start w:val="1"/>
      <w:numFmt w:val="decimal"/>
      <w:lvlText w:val="%1."/>
      <w:lvlJc w:val="left"/>
      <w:pPr>
        <w:ind w:left="1353" w:hanging="360"/>
      </w:pPr>
      <w:rPr>
        <w:rFonts w:hint="default"/>
      </w:rPr>
    </w:lvl>
    <w:lvl w:ilvl="1" w:tplc="E4A2D1B2">
      <w:start w:val="1"/>
      <w:numFmt w:val="lowerLetter"/>
      <w:lvlText w:val="%2."/>
      <w:lvlJc w:val="left"/>
      <w:pPr>
        <w:ind w:left="1980" w:hanging="360"/>
      </w:pPr>
      <w:rPr>
        <w:rFonts w:hint="default"/>
        <w:b w:val="0"/>
      </w:rPr>
    </w:lvl>
    <w:lvl w:ilvl="2" w:tplc="7CF072C2">
      <w:start w:val="1"/>
      <w:numFmt w:val="upperLetter"/>
      <w:lvlText w:val="%3."/>
      <w:lvlJc w:val="left"/>
      <w:pPr>
        <w:ind w:left="2880" w:hanging="36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425750F3"/>
    <w:multiLevelType w:val="hybridMultilevel"/>
    <w:tmpl w:val="D45EAAA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43B00193"/>
    <w:multiLevelType w:val="multilevel"/>
    <w:tmpl w:val="E6B4253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52955F60"/>
    <w:multiLevelType w:val="hybridMultilevel"/>
    <w:tmpl w:val="4DB80626"/>
    <w:lvl w:ilvl="0" w:tplc="D74ADC00">
      <w:start w:val="1"/>
      <w:numFmt w:val="upperLetter"/>
      <w:lvlText w:val="%1."/>
      <w:lvlJc w:val="left"/>
      <w:pPr>
        <w:ind w:left="720" w:hanging="360"/>
      </w:pPr>
      <w:rPr>
        <w:rFonts w:ascii="Times New Roman" w:eastAsia="Calibri" w:hAnsi="Times New Roman" w:cs="Times New Roman"/>
        <w:b w:val="0"/>
      </w:rPr>
    </w:lvl>
    <w:lvl w:ilvl="1" w:tplc="538E076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4D6F3A"/>
    <w:multiLevelType w:val="hybridMultilevel"/>
    <w:tmpl w:val="E5CEB194"/>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667D05AE"/>
    <w:multiLevelType w:val="hybridMultilevel"/>
    <w:tmpl w:val="C54803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D3E340E"/>
    <w:multiLevelType w:val="hybridMultilevel"/>
    <w:tmpl w:val="65C48DD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77623635"/>
    <w:multiLevelType w:val="hybridMultilevel"/>
    <w:tmpl w:val="E12039E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17"/>
  </w:num>
  <w:num w:numId="4">
    <w:abstractNumId w:val="13"/>
  </w:num>
  <w:num w:numId="5">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5"/>
  </w:num>
  <w:num w:numId="8">
    <w:abstractNumId w:val="2"/>
  </w:num>
  <w:num w:numId="9">
    <w:abstractNumId w:val="16"/>
  </w:num>
  <w:num w:numId="10">
    <w:abstractNumId w:val="18"/>
  </w:num>
  <w:num w:numId="11">
    <w:abstractNumId w:val="10"/>
  </w:num>
  <w:num w:numId="12">
    <w:abstractNumId w:val="12"/>
  </w:num>
  <w:num w:numId="13">
    <w:abstractNumId w:val="5"/>
  </w:num>
  <w:num w:numId="14">
    <w:abstractNumId w:val="14"/>
  </w:num>
  <w:num w:numId="15">
    <w:abstractNumId w:val="7"/>
  </w:num>
  <w:num w:numId="16">
    <w:abstractNumId w:val="11"/>
  </w:num>
  <w:num w:numId="17">
    <w:abstractNumId w:val="3"/>
  </w:num>
  <w:num w:numId="18">
    <w:abstractNumId w:val="8"/>
  </w:num>
  <w:num w:numId="1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forms" w:enforcement="1" w:cryptProviderType="rsaAES" w:cryptAlgorithmClass="hash" w:cryptAlgorithmType="typeAny" w:cryptAlgorithmSid="14" w:cryptSpinCount="100000" w:hash="Z2sNWs5d3+3UoVLwBGUcsM/l4E610d5hIdLeIqG3Bd7s3sRSJ81ligqZ1tdi9obaVnQKf197tE9TQK/lLIRrNw==" w:salt="11kTgamWI5a7OXqcANb3f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FD6"/>
    <w:rsid w:val="000D36B7"/>
    <w:rsid w:val="000F1E94"/>
    <w:rsid w:val="00152C9F"/>
    <w:rsid w:val="00642BA1"/>
    <w:rsid w:val="00782103"/>
    <w:rsid w:val="008C3FD6"/>
    <w:rsid w:val="009057C3"/>
    <w:rsid w:val="009E58C6"/>
    <w:rsid w:val="00A62D1E"/>
    <w:rsid w:val="00AC5574"/>
    <w:rsid w:val="00B05BE5"/>
    <w:rsid w:val="00B20564"/>
    <w:rsid w:val="00CD53FC"/>
    <w:rsid w:val="00FB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AD2AC13-A079-471D-9E8B-E335C63E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7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semiHidden/>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semiHidden/>
    <w:rsid w:val="008C3FD6"/>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057C3"/>
    <w:rPr>
      <w:rFonts w:asciiTheme="majorHAnsi" w:eastAsiaTheme="majorEastAsia" w:hAnsiTheme="majorHAnsi" w:cstheme="majorBidi"/>
      <w:b/>
      <w:bCs/>
      <w:color w:val="4F81BD" w:themeColor="accent1"/>
      <w:sz w:val="26"/>
      <w:szCs w:val="26"/>
      <w:lang w:val="en-ID"/>
    </w:rPr>
  </w:style>
  <w:style w:type="character" w:styleId="PlaceholderText">
    <w:name w:val="Placeholder Text"/>
    <w:basedOn w:val="DefaultParagraphFont"/>
    <w:uiPriority w:val="99"/>
    <w:semiHidden/>
    <w:rsid w:val="009057C3"/>
    <w:rPr>
      <w:color w:val="666666"/>
    </w:rPr>
  </w:style>
  <w:style w:type="table" w:styleId="TableGrid">
    <w:name w:val="Table Grid"/>
    <w:basedOn w:val="TableNormal"/>
    <w:uiPriority w:val="59"/>
    <w:rsid w:val="009057C3"/>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spasi 2 taiiii,skripsi,Body Text Char1,Char Char2,List Paragraph2"/>
    <w:basedOn w:val="Normal"/>
    <w:link w:val="ListParagraphChar"/>
    <w:uiPriority w:val="1"/>
    <w:qFormat/>
    <w:rsid w:val="009057C3"/>
    <w:pPr>
      <w:ind w:left="720"/>
      <w:contextualSpacing/>
    </w:pPr>
  </w:style>
  <w:style w:type="paragraph" w:styleId="NoSpacing">
    <w:name w:val="No Spacing"/>
    <w:uiPriority w:val="1"/>
    <w:qFormat/>
    <w:rsid w:val="009057C3"/>
    <w:pPr>
      <w:spacing w:after="0" w:line="240" w:lineRule="auto"/>
    </w:pPr>
    <w:rPr>
      <w:rFonts w:ascii="Calibri" w:eastAsia="Calibri" w:hAnsi="Calibri" w:cs="SimSun"/>
      <w:lang w:val="en-ID"/>
    </w:rPr>
  </w:style>
  <w:style w:type="paragraph" w:styleId="BalloonText">
    <w:name w:val="Balloon Text"/>
    <w:basedOn w:val="Normal"/>
    <w:link w:val="BalloonTextChar"/>
    <w:uiPriority w:val="99"/>
    <w:semiHidden/>
    <w:unhideWhenUsed/>
    <w:rsid w:val="0090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C3"/>
    <w:rPr>
      <w:rFonts w:ascii="Tahoma" w:hAnsi="Tahoma" w:cs="Tahoma"/>
      <w:sz w:val="16"/>
      <w:szCs w:val="16"/>
      <w:lang w:val="en-ID"/>
    </w:rPr>
  </w:style>
  <w:style w:type="paragraph" w:styleId="TOCHeading">
    <w:name w:val="TOC Heading"/>
    <w:basedOn w:val="Heading1"/>
    <w:next w:val="Normal"/>
    <w:uiPriority w:val="39"/>
    <w:unhideWhenUsed/>
    <w:qFormat/>
    <w:rsid w:val="009057C3"/>
    <w:pPr>
      <w:spacing w:line="276" w:lineRule="auto"/>
      <w:outlineLvl w:val="9"/>
    </w:pPr>
    <w:rPr>
      <w:lang w:val="en-US"/>
    </w:rPr>
  </w:style>
  <w:style w:type="paragraph" w:styleId="TOC1">
    <w:name w:val="toc 1"/>
    <w:basedOn w:val="Normal"/>
    <w:next w:val="Normal"/>
    <w:autoRedefine/>
    <w:uiPriority w:val="39"/>
    <w:unhideWhenUsed/>
    <w:rsid w:val="009057C3"/>
    <w:pPr>
      <w:tabs>
        <w:tab w:val="right" w:leader="dot" w:pos="7929"/>
      </w:tabs>
      <w:spacing w:after="100"/>
      <w:ind w:left="1134" w:hanging="1134"/>
    </w:pPr>
    <w:rPr>
      <w:rFonts w:ascii="Times New Roman" w:hAnsi="Times New Roman" w:cs="Times New Roman"/>
      <w:b/>
      <w:bCs/>
      <w:noProof/>
      <w:sz w:val="24"/>
      <w:szCs w:val="24"/>
    </w:rPr>
  </w:style>
  <w:style w:type="character" w:styleId="Hyperlink">
    <w:name w:val="Hyperlink"/>
    <w:basedOn w:val="DefaultParagraphFont"/>
    <w:uiPriority w:val="99"/>
    <w:unhideWhenUsed/>
    <w:rsid w:val="009057C3"/>
    <w:rPr>
      <w:color w:val="0000FF" w:themeColor="hyperlink"/>
      <w:u w:val="single"/>
    </w:rPr>
  </w:style>
  <w:style w:type="paragraph" w:styleId="TOC2">
    <w:name w:val="toc 2"/>
    <w:basedOn w:val="Normal"/>
    <w:next w:val="Normal"/>
    <w:autoRedefine/>
    <w:uiPriority w:val="39"/>
    <w:unhideWhenUsed/>
    <w:rsid w:val="009057C3"/>
    <w:pPr>
      <w:tabs>
        <w:tab w:val="left" w:pos="2410"/>
        <w:tab w:val="right" w:leader="dot" w:pos="7929"/>
      </w:tabs>
      <w:spacing w:after="100"/>
      <w:ind w:left="1701" w:hanging="567"/>
    </w:pPr>
    <w:rPr>
      <w:rFonts w:ascii="Times New Roman" w:hAnsi="Times New Roman" w:cs="Times New Roman"/>
      <w:bCs/>
      <w:noProof/>
      <w:sz w:val="24"/>
      <w:szCs w:val="24"/>
    </w:rPr>
  </w:style>
  <w:style w:type="paragraph" w:styleId="Caption">
    <w:name w:val="caption"/>
    <w:basedOn w:val="Normal"/>
    <w:next w:val="Normal"/>
    <w:uiPriority w:val="35"/>
    <w:unhideWhenUsed/>
    <w:qFormat/>
    <w:rsid w:val="009057C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9057C3"/>
    <w:pPr>
      <w:spacing w:after="0"/>
    </w:pPr>
  </w:style>
  <w:style w:type="character" w:customStyle="1" w:styleId="UnresolvedMention1">
    <w:name w:val="Unresolved Mention1"/>
    <w:basedOn w:val="DefaultParagraphFont"/>
    <w:uiPriority w:val="99"/>
    <w:semiHidden/>
    <w:unhideWhenUsed/>
    <w:rsid w:val="009057C3"/>
    <w:rPr>
      <w:color w:val="605E5C"/>
      <w:shd w:val="clear" w:color="auto" w:fill="E1DFDD"/>
    </w:rPr>
  </w:style>
  <w:style w:type="character" w:styleId="PageNumber">
    <w:name w:val="page number"/>
    <w:basedOn w:val="DefaultParagraphFont"/>
    <w:uiPriority w:val="99"/>
    <w:semiHidden/>
    <w:unhideWhenUsed/>
    <w:rsid w:val="009057C3"/>
  </w:style>
  <w:style w:type="paragraph" w:customStyle="1" w:styleId="li1">
    <w:name w:val="li1"/>
    <w:basedOn w:val="Normal"/>
    <w:rsid w:val="009057C3"/>
    <w:pPr>
      <w:spacing w:before="100" w:beforeAutospacing="1" w:after="0" w:line="240" w:lineRule="auto"/>
    </w:pPr>
    <w:rPr>
      <w:rFonts w:ascii="Helvetica" w:eastAsia="DengXian" w:hAnsi="Helvetica" w:cs="Times New Roman"/>
      <w:sz w:val="18"/>
      <w:szCs w:val="18"/>
      <w:lang w:val="id-ID" w:eastAsia="id-ID"/>
    </w:rPr>
  </w:style>
  <w:style w:type="character" w:customStyle="1" w:styleId="ListParagraphChar">
    <w:name w:val="List Paragraph Char"/>
    <w:aliases w:val="Body of text Char,List Paragraph1 Char,spasi 2 taiiii Char,skripsi Char,Body Text Char1 Char,Char Char2 Char,List Paragraph2 Char"/>
    <w:link w:val="ListParagraph"/>
    <w:uiPriority w:val="34"/>
    <w:locked/>
    <w:rsid w:val="00A62D1E"/>
    <w:rPr>
      <w:lang w:val="en-ID"/>
    </w:rPr>
  </w:style>
  <w:style w:type="paragraph" w:styleId="FootnoteText">
    <w:name w:val="footnote text"/>
    <w:basedOn w:val="Normal"/>
    <w:link w:val="FootnoteTextChar"/>
    <w:uiPriority w:val="99"/>
    <w:unhideWhenUsed/>
    <w:rsid w:val="00B20564"/>
    <w:pPr>
      <w:spacing w:after="0" w:line="240" w:lineRule="auto"/>
      <w:ind w:left="1080" w:hanging="360"/>
      <w:jc w:val="both"/>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B20564"/>
    <w:rPr>
      <w:rFonts w:ascii="Calibri" w:eastAsia="Calibri" w:hAnsi="Calibri" w:cs="Times New Roman"/>
      <w:sz w:val="20"/>
      <w:szCs w:val="20"/>
      <w:lang w:val="x-none" w:eastAsia="x-none"/>
    </w:rPr>
  </w:style>
  <w:style w:type="character" w:styleId="FootnoteReference">
    <w:name w:val="footnote reference"/>
    <w:uiPriority w:val="99"/>
    <w:unhideWhenUsed/>
    <w:rsid w:val="00B20564"/>
    <w:rPr>
      <w:vertAlign w:val="superscript"/>
    </w:rPr>
  </w:style>
  <w:style w:type="character" w:customStyle="1" w:styleId="Footnote">
    <w:name w:val="Footnote_"/>
    <w:link w:val="Footnote0"/>
    <w:locked/>
    <w:rsid w:val="00B20564"/>
    <w:rPr>
      <w:rFonts w:ascii="Times New Roman" w:eastAsia="Times New Roman" w:hAnsi="Times New Roman"/>
    </w:rPr>
  </w:style>
  <w:style w:type="paragraph" w:customStyle="1" w:styleId="Footnote0">
    <w:name w:val="Footnote"/>
    <w:basedOn w:val="Normal"/>
    <w:link w:val="Footnote"/>
    <w:rsid w:val="00B20564"/>
    <w:pPr>
      <w:widowControl w:val="0"/>
      <w:spacing w:after="0" w:line="240" w:lineRule="auto"/>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umut.bps.go.id/indicator/17/276/1/jumlah-kecelakaan-lalu-lintas-dan-kerugia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hp</cp:lastModifiedBy>
  <cp:revision>2</cp:revision>
  <dcterms:created xsi:type="dcterms:W3CDTF">2025-08-27T04:03:00Z</dcterms:created>
  <dcterms:modified xsi:type="dcterms:W3CDTF">2025-08-27T04:03:00Z</dcterms:modified>
</cp:coreProperties>
</file>