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F1" w:rsidRPr="00066541" w:rsidRDefault="007104F1" w:rsidP="007104F1">
      <w:pPr>
        <w:pStyle w:val="Heading1"/>
        <w:spacing w:before="0"/>
      </w:pPr>
      <w:r w:rsidRPr="00066541">
        <w:t>BAB III</w:t>
      </w:r>
      <w:r w:rsidRPr="00066541">
        <w:br/>
        <w:t>METODE PENELITIAN</w:t>
      </w:r>
    </w:p>
    <w:p w:rsidR="007104F1" w:rsidRPr="00066541" w:rsidRDefault="007104F1" w:rsidP="007104F1">
      <w:pPr>
        <w:pStyle w:val="Heading2"/>
        <w:rPr>
          <w:lang w:eastAsia="en-GB"/>
        </w:rPr>
      </w:pPr>
      <w:bookmarkStart w:id="0" w:name="_Toc201095825"/>
      <w:r w:rsidRPr="00066541">
        <w:rPr>
          <w:lang w:eastAsia="en-GB"/>
        </w:rPr>
        <w:t>3.1 Desain Penelitian</w:t>
      </w:r>
      <w:bookmarkEnd w:id="0"/>
    </w:p>
    <w:p w:rsidR="007104F1" w:rsidRPr="00066541" w:rsidRDefault="007104F1" w:rsidP="007104F1">
      <w:pPr>
        <w:spacing w:after="0"/>
        <w:ind w:firstLine="567"/>
        <w:jc w:val="both"/>
        <w:rPr>
          <w:b/>
          <w:bCs/>
          <w:color w:val="000000" w:themeColor="text1"/>
        </w:rPr>
      </w:pPr>
      <w:r w:rsidRPr="00066541">
        <w:rPr>
          <w:color w:val="000000" w:themeColor="text1"/>
        </w:rPr>
        <w:t>Pendekatan kuantitatif diterapkan pada kajian ini sebagai landasan metodologis, dengan menghimpun data dari dua sumber yaitu primer dan sekunder. Data primer dihimpun langsung dari informan kunci, yakni pemilik perusahaan sebagai representasi otoritatif internal, sementara data sekunder bersumber dari entitas perantara atau pihak eksternal lain yang memiliki relevansi kontekstual terhadap fenomena yang dikaji. Menurut (Sugiyono, 2019) mendefinisikan teknik kuantitatif sebagai suatu strategi penelitian yang berlandaskan pada prinsip-prinsip positivistik (data konkret), di mana perangkat statistik digunakan untuk mengkaji data numerik. Pendekatan ini digunakan untuk menganalisis masalah yang diteliti dan menarik simpulan dari hasil yang diperoleh.</w:t>
      </w:r>
    </w:p>
    <w:p w:rsidR="007104F1" w:rsidRPr="00066541" w:rsidRDefault="007104F1" w:rsidP="007104F1">
      <w:pPr>
        <w:spacing w:after="0"/>
        <w:ind w:firstLine="567"/>
        <w:jc w:val="both"/>
        <w:rPr>
          <w:rFonts w:cstheme="majorBidi"/>
          <w:b/>
          <w:bCs/>
          <w:color w:val="000000" w:themeColor="text1"/>
        </w:rPr>
      </w:pPr>
      <w:r w:rsidRPr="00066541">
        <w:rPr>
          <w:color w:val="000000" w:themeColor="text1"/>
        </w:rPr>
        <w:t xml:space="preserve">Penelitian ini berusaha untuk mencari tahu </w:t>
      </w:r>
      <w:r w:rsidRPr="00066541">
        <w:rPr>
          <w:rFonts w:cstheme="majorBidi"/>
          <w:b/>
          <w:bCs/>
          <w:color w:val="000000" w:themeColor="text1"/>
        </w:rPr>
        <w:t xml:space="preserve">Pengaruh Rasio </w:t>
      </w:r>
      <w:r w:rsidRPr="00066541">
        <w:rPr>
          <w:rFonts w:cstheme="majorBidi"/>
          <w:b/>
          <w:bCs/>
          <w:iCs/>
          <w:color w:val="000000" w:themeColor="text1"/>
        </w:rPr>
        <w:t>Likuiditas, Solvabilitas dan Profitabilitas</w:t>
      </w:r>
      <w:r w:rsidRPr="00066541">
        <w:rPr>
          <w:rFonts w:cstheme="majorBidi"/>
          <w:b/>
          <w:bCs/>
          <w:color w:val="000000" w:themeColor="text1"/>
        </w:rPr>
        <w:t>terhadap Kinerja Keuangan Pada PT. Panji Anugerah Sentosa Medan Tahun 2022-2024.</w:t>
      </w:r>
      <w:bookmarkStart w:id="1" w:name="_Toc201095826"/>
    </w:p>
    <w:p w:rsidR="007104F1" w:rsidRPr="00066541" w:rsidRDefault="007104F1" w:rsidP="007104F1">
      <w:pPr>
        <w:pStyle w:val="Heading2"/>
        <w:jc w:val="both"/>
        <w:rPr>
          <w:lang w:eastAsia="en-GB"/>
        </w:rPr>
      </w:pPr>
      <w:r w:rsidRPr="00066541">
        <w:rPr>
          <w:lang w:eastAsia="en-GB"/>
        </w:rPr>
        <w:t>3.2 Populasi dan Sampel Penelitian</w:t>
      </w:r>
      <w:bookmarkStart w:id="2" w:name="_Toc201095827"/>
      <w:bookmarkEnd w:id="1"/>
    </w:p>
    <w:p w:rsidR="007104F1" w:rsidRPr="00066541" w:rsidRDefault="007104F1" w:rsidP="007104F1">
      <w:pPr>
        <w:pStyle w:val="Heading3"/>
        <w:tabs>
          <w:tab w:val="left" w:pos="1828"/>
        </w:tabs>
        <w:jc w:val="both"/>
        <w:rPr>
          <w:lang w:eastAsia="en-GB"/>
        </w:rPr>
      </w:pPr>
      <w:r w:rsidRPr="00066541">
        <w:rPr>
          <w:lang w:eastAsia="en-GB"/>
        </w:rPr>
        <w:t>3.2.1 Populasi</w:t>
      </w:r>
      <w:bookmarkEnd w:id="2"/>
      <w:r w:rsidRPr="00066541">
        <w:rPr>
          <w:lang w:eastAsia="en-GB"/>
        </w:rPr>
        <w:tab/>
      </w:r>
    </w:p>
    <w:p w:rsidR="007104F1" w:rsidRPr="00066541" w:rsidRDefault="007104F1" w:rsidP="007104F1">
      <w:pPr>
        <w:spacing w:after="0"/>
        <w:ind w:firstLine="567"/>
        <w:jc w:val="both"/>
        <w:rPr>
          <w:rFonts w:cstheme="majorBidi"/>
          <w:b/>
          <w:bCs/>
          <w:color w:val="000000" w:themeColor="text1"/>
        </w:rPr>
      </w:pPr>
      <w:r w:rsidRPr="00066541">
        <w:rPr>
          <w:color w:val="000000" w:themeColor="text1"/>
        </w:rPr>
        <w:t xml:space="preserve">Populasi adalah wilayah generalisasi yang terdiri atas objek/subjek yang memiliki kualitas dan karakteristik tertentu yang ditetapkan oleh peneliti untuk dipelajari dan kemudian ditarik kesimpulannya (Sugiyono, 2019). Dokumen </w:t>
      </w:r>
      <w:r w:rsidRPr="00066541">
        <w:rPr>
          <w:color w:val="000000" w:themeColor="text1"/>
        </w:rPr>
        <w:lastRenderedPageBreak/>
        <w:t xml:space="preserve">keuangan yang menjadi objek kajian dalam penelitian ini mencakup komponen </w:t>
      </w:r>
      <w:bookmarkStart w:id="3" w:name="_GoBack"/>
      <w:bookmarkEnd w:id="3"/>
      <w:r w:rsidRPr="00066541">
        <w:rPr>
          <w:color w:val="000000" w:themeColor="text1"/>
        </w:rPr>
        <w:t>neraca serta laporan laba rugi yang merepresentasikan kinerja finansial selama tiga tahun terakhir, yakni periode 2022 hingga 2024, dari entitas PT. Panji Anugerah Sentosa Medan, yang sekaligus berfungsi sebagai unit populasi dalam penelitian ini.</w:t>
      </w:r>
    </w:p>
    <w:p w:rsidR="007104F1" w:rsidRPr="00066541" w:rsidRDefault="007104F1" w:rsidP="007104F1">
      <w:pPr>
        <w:pStyle w:val="Heading3"/>
        <w:spacing w:before="0"/>
        <w:rPr>
          <w:lang w:eastAsia="en-GB"/>
        </w:rPr>
      </w:pPr>
      <w:bookmarkStart w:id="4" w:name="_Toc201095828"/>
      <w:r w:rsidRPr="00066541">
        <w:rPr>
          <w:lang w:eastAsia="en-GB"/>
        </w:rPr>
        <w:t>3.2.2 Sampel</w:t>
      </w:r>
      <w:bookmarkEnd w:id="4"/>
    </w:p>
    <w:p w:rsidR="007104F1" w:rsidRPr="00066541" w:rsidRDefault="007104F1" w:rsidP="007104F1">
      <w:pPr>
        <w:spacing w:after="0"/>
        <w:ind w:firstLine="567"/>
        <w:jc w:val="both"/>
        <w:rPr>
          <w:b/>
          <w:bCs/>
          <w:color w:val="000000" w:themeColor="text1"/>
        </w:rPr>
      </w:pPr>
      <w:r w:rsidRPr="00066541">
        <w:rPr>
          <w:color w:val="000000" w:themeColor="text1"/>
        </w:rPr>
        <w:t xml:space="preserve">Sebuah sampel adalah subset dari seluruh populasi dan fitur-fiturnya. Dengan begitu, sampel adalah subset dari populasi yang dipilih untuk mencakup seluruh populasi dalam penelitian. Ketika peneliti tidak memiliki waktu, usaha, uang, atau sumber daya lain untuk menyelidiki seluruh populasi, mereka menggunakan sampel. </w:t>
      </w:r>
      <w:bookmarkStart w:id="5" w:name="_Toc201095829"/>
      <w:r w:rsidRPr="00066541">
        <w:rPr>
          <w:color w:val="000000" w:themeColor="text1"/>
        </w:rPr>
        <w:t xml:space="preserve">Adapun pendekatan yang digunakan adalah metode </w:t>
      </w:r>
      <w:r w:rsidRPr="00066541">
        <w:rPr>
          <w:i/>
          <w:iCs/>
          <w:color w:val="000000" w:themeColor="text1"/>
        </w:rPr>
        <w:t>total sampling</w:t>
      </w:r>
      <w:r w:rsidRPr="00066541">
        <w:rPr>
          <w:color w:val="000000" w:themeColor="text1"/>
        </w:rPr>
        <w:t>, yakni strategi pengambilan sampel yang melibatkan seluruh anggota populasi sebagai unit analisis tanpa pengecualian. Dengan kata lain, penelitian difokuskan pada keseluruhan populasi, yang kemudian diamati, diteliti, dan digunakan untuk menginformasikan temuan penelitian. Laporan keuangan PT. Panji Anugerah Sentosa Medan, yang termasuk neraca dan laporan laba rugi, berfungsi sebagai sampel untuk penelitian ini dan identik dengan populasi.</w:t>
      </w:r>
    </w:p>
    <w:p w:rsidR="007104F1" w:rsidRPr="00066541" w:rsidRDefault="007104F1" w:rsidP="007104F1">
      <w:pPr>
        <w:pStyle w:val="Heading2"/>
        <w:spacing w:before="0"/>
        <w:rPr>
          <w:lang w:eastAsia="en-GB"/>
        </w:rPr>
      </w:pPr>
      <w:r w:rsidRPr="00066541">
        <w:rPr>
          <w:lang w:eastAsia="en-GB"/>
        </w:rPr>
        <w:t>3.3 Lokasi dan Waktu Penelitian</w:t>
      </w:r>
      <w:bookmarkEnd w:id="5"/>
    </w:p>
    <w:p w:rsidR="007104F1" w:rsidRPr="00066541" w:rsidRDefault="007104F1" w:rsidP="007104F1">
      <w:pPr>
        <w:pStyle w:val="Heading3"/>
        <w:rPr>
          <w:lang w:eastAsia="en-GB"/>
        </w:rPr>
      </w:pPr>
      <w:bookmarkStart w:id="6" w:name="_Toc201095830"/>
      <w:r w:rsidRPr="00066541">
        <w:rPr>
          <w:lang w:eastAsia="en-GB"/>
        </w:rPr>
        <w:t>3.3.1 Lokasi Penelitian</w:t>
      </w:r>
      <w:bookmarkEnd w:id="6"/>
    </w:p>
    <w:p w:rsidR="007104F1" w:rsidRPr="00066541" w:rsidRDefault="007104F1" w:rsidP="007104F1">
      <w:pPr>
        <w:spacing w:after="0"/>
        <w:ind w:firstLine="567"/>
        <w:jc w:val="both"/>
        <w:rPr>
          <w:rFonts w:cstheme="majorBidi"/>
          <w:color w:val="000000" w:themeColor="text1"/>
        </w:rPr>
      </w:pPr>
      <w:r w:rsidRPr="00066541">
        <w:rPr>
          <w:rFonts w:cstheme="majorBidi"/>
          <w:color w:val="000000" w:themeColor="text1"/>
          <w:lang w:val="en-GB"/>
        </w:rPr>
        <w:t xml:space="preserve">Penelitian ini dilakukan di perusahaan </w:t>
      </w:r>
      <w:r w:rsidRPr="00066541">
        <w:rPr>
          <w:rFonts w:cstheme="majorBidi"/>
          <w:color w:val="000000" w:themeColor="text1"/>
        </w:rPr>
        <w:t xml:space="preserve">PT. Panji Anugerah Sentosa Medan. PT. Panji Anugerah Sentosa </w:t>
      </w:r>
      <w:r w:rsidRPr="00066541">
        <w:rPr>
          <w:color w:val="000000" w:themeColor="text1"/>
        </w:rPr>
        <w:t xml:space="preserve">Medan ini adalah sebuah perusahaan yang menyediakan peralatan medis </w:t>
      </w:r>
      <w:r w:rsidRPr="00066541">
        <w:rPr>
          <w:rFonts w:cstheme="majorBidi"/>
          <w:color w:val="000000" w:themeColor="text1"/>
          <w:lang w:val="en-GB"/>
        </w:rPr>
        <w:t xml:space="preserve">yang beralamatdi Jalan </w:t>
      </w:r>
      <w:r w:rsidRPr="00066541">
        <w:rPr>
          <w:rFonts w:cstheme="majorBidi"/>
          <w:color w:val="000000" w:themeColor="text1"/>
        </w:rPr>
        <w:t>Setia Budi Gg. Rambutan 2 No. 01, Tj. Sari, Kecamatan Medan Selayang, Kota Medan, Sumatera Utara.</w:t>
      </w:r>
    </w:p>
    <w:p w:rsidR="007104F1" w:rsidRPr="00066541" w:rsidRDefault="007104F1" w:rsidP="007104F1">
      <w:pPr>
        <w:pStyle w:val="Heading3"/>
        <w:spacing w:before="0"/>
        <w:rPr>
          <w:lang w:eastAsia="en-GB"/>
        </w:rPr>
      </w:pPr>
      <w:bookmarkStart w:id="7" w:name="_Toc201095831"/>
      <w:r w:rsidRPr="00066541">
        <w:rPr>
          <w:lang w:eastAsia="en-GB"/>
        </w:rPr>
        <w:lastRenderedPageBreak/>
        <w:t>3.3.2 Waktu Penelitian</w:t>
      </w:r>
      <w:bookmarkEnd w:id="7"/>
    </w:p>
    <w:p w:rsidR="007104F1" w:rsidRDefault="007104F1" w:rsidP="007104F1">
      <w:pPr>
        <w:pStyle w:val="Caption"/>
        <w:jc w:val="center"/>
        <w:rPr>
          <w:color w:val="000000" w:themeColor="text1"/>
          <w:sz w:val="24"/>
          <w:szCs w:val="24"/>
        </w:rPr>
      </w:pPr>
      <w:bookmarkStart w:id="8" w:name="_Toc202134829"/>
      <w:bookmarkStart w:id="9" w:name="_Toc203293504"/>
      <w:r w:rsidRPr="00066541">
        <w:rPr>
          <w:color w:val="000000" w:themeColor="text1"/>
          <w:sz w:val="24"/>
          <w:szCs w:val="24"/>
        </w:rPr>
        <w:t xml:space="preserve">Tabel 3. </w:t>
      </w:r>
      <w:r w:rsidR="006751B6" w:rsidRPr="00066541">
        <w:rPr>
          <w:color w:val="000000" w:themeColor="text1"/>
          <w:sz w:val="24"/>
          <w:szCs w:val="24"/>
        </w:rPr>
        <w:fldChar w:fldCharType="begin"/>
      </w:r>
      <w:r w:rsidRPr="00066541">
        <w:rPr>
          <w:color w:val="000000" w:themeColor="text1"/>
          <w:sz w:val="24"/>
          <w:szCs w:val="24"/>
        </w:rPr>
        <w:instrText xml:space="preserve"> SEQ Tabel_3. \* ARABIC </w:instrText>
      </w:r>
      <w:r w:rsidR="006751B6" w:rsidRPr="00066541">
        <w:rPr>
          <w:color w:val="000000" w:themeColor="text1"/>
          <w:sz w:val="24"/>
          <w:szCs w:val="24"/>
        </w:rPr>
        <w:fldChar w:fldCharType="separate"/>
      </w:r>
      <w:r w:rsidRPr="00066541">
        <w:rPr>
          <w:color w:val="000000" w:themeColor="text1"/>
          <w:sz w:val="24"/>
          <w:szCs w:val="24"/>
        </w:rPr>
        <w:t>1</w:t>
      </w:r>
      <w:bookmarkEnd w:id="8"/>
      <w:r w:rsidR="006751B6" w:rsidRPr="00066541">
        <w:rPr>
          <w:color w:val="000000" w:themeColor="text1"/>
          <w:sz w:val="24"/>
          <w:szCs w:val="24"/>
        </w:rPr>
        <w:fldChar w:fldCharType="end"/>
      </w:r>
    </w:p>
    <w:p w:rsidR="007104F1" w:rsidRPr="00D30C54" w:rsidRDefault="007104F1" w:rsidP="007104F1">
      <w:pPr>
        <w:pStyle w:val="Caption"/>
        <w:jc w:val="center"/>
        <w:rPr>
          <w:color w:val="000000" w:themeColor="text1"/>
          <w:sz w:val="24"/>
          <w:szCs w:val="24"/>
        </w:rPr>
      </w:pPr>
      <w:r w:rsidRPr="00066541">
        <w:rPr>
          <w:color w:val="000000" w:themeColor="text1"/>
          <w:sz w:val="24"/>
          <w:szCs w:val="24"/>
        </w:rPr>
        <w:t>Waktu Penelitian</w:t>
      </w:r>
      <w:bookmarkEnd w:id="9"/>
    </w:p>
    <w:tbl>
      <w:tblPr>
        <w:tblStyle w:val="TableGrid"/>
        <w:tblW w:w="8881" w:type="dxa"/>
        <w:tblInd w:w="-754" w:type="dxa"/>
        <w:tblLayout w:type="fixed"/>
        <w:tblLook w:val="04A0"/>
      </w:tblPr>
      <w:tblGrid>
        <w:gridCol w:w="675"/>
        <w:gridCol w:w="2410"/>
        <w:gridCol w:w="709"/>
        <w:gridCol w:w="709"/>
        <w:gridCol w:w="708"/>
        <w:gridCol w:w="709"/>
        <w:gridCol w:w="737"/>
        <w:gridCol w:w="737"/>
        <w:gridCol w:w="708"/>
        <w:gridCol w:w="779"/>
      </w:tblGrid>
      <w:tr w:rsidR="007104F1" w:rsidRPr="00066541" w:rsidTr="00481499">
        <w:trPr>
          <w:trHeight w:val="388"/>
        </w:trPr>
        <w:tc>
          <w:tcPr>
            <w:tcW w:w="675" w:type="dxa"/>
            <w:vMerge w:val="restart"/>
            <w:vAlign w:val="center"/>
          </w:tcPr>
          <w:p w:rsidR="007104F1" w:rsidRPr="00066541" w:rsidRDefault="007104F1"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No</w:t>
            </w:r>
          </w:p>
        </w:tc>
        <w:tc>
          <w:tcPr>
            <w:tcW w:w="2410" w:type="dxa"/>
            <w:vMerge w:val="restart"/>
            <w:vAlign w:val="center"/>
          </w:tcPr>
          <w:p w:rsidR="007104F1" w:rsidRPr="00066541" w:rsidRDefault="007104F1"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Uraian Kegiatan</w:t>
            </w:r>
          </w:p>
        </w:tc>
        <w:tc>
          <w:tcPr>
            <w:tcW w:w="5796" w:type="dxa"/>
            <w:gridSpan w:val="8"/>
            <w:vAlign w:val="center"/>
          </w:tcPr>
          <w:p w:rsidR="007104F1" w:rsidRPr="00066541" w:rsidRDefault="007104F1" w:rsidP="00481499">
            <w:pPr>
              <w:spacing w:line="240" w:lineRule="auto"/>
              <w:jc w:val="center"/>
              <w:rPr>
                <w:rFonts w:cstheme="majorBidi"/>
                <w:b/>
                <w:bCs/>
                <w:color w:val="000000" w:themeColor="text1"/>
                <w:lang w:eastAsia="en-GB"/>
              </w:rPr>
            </w:pPr>
            <w:r w:rsidRPr="00066541">
              <w:rPr>
                <w:rFonts w:cstheme="majorBidi"/>
                <w:b/>
                <w:bCs/>
                <w:color w:val="000000" w:themeColor="text1"/>
                <w:lang w:eastAsia="en-GB"/>
              </w:rPr>
              <w:t>Jadwal Penelitian</w:t>
            </w:r>
          </w:p>
        </w:tc>
      </w:tr>
      <w:tr w:rsidR="007104F1" w:rsidRPr="00066541" w:rsidTr="00481499">
        <w:trPr>
          <w:trHeight w:val="413"/>
        </w:trPr>
        <w:tc>
          <w:tcPr>
            <w:tcW w:w="675" w:type="dxa"/>
            <w:vMerge/>
            <w:vAlign w:val="center"/>
          </w:tcPr>
          <w:p w:rsidR="007104F1" w:rsidRPr="00066541" w:rsidRDefault="007104F1" w:rsidP="00481499">
            <w:pPr>
              <w:spacing w:line="240" w:lineRule="auto"/>
              <w:jc w:val="center"/>
              <w:rPr>
                <w:rFonts w:cstheme="majorBidi"/>
                <w:color w:val="000000" w:themeColor="text1"/>
                <w:lang w:eastAsia="en-GB"/>
              </w:rPr>
            </w:pPr>
          </w:p>
        </w:tc>
        <w:tc>
          <w:tcPr>
            <w:tcW w:w="2410" w:type="dxa"/>
            <w:vMerge/>
            <w:vAlign w:val="center"/>
          </w:tcPr>
          <w:p w:rsidR="007104F1" w:rsidRPr="00066541" w:rsidRDefault="007104F1" w:rsidP="00481499">
            <w:pPr>
              <w:spacing w:line="240" w:lineRule="auto"/>
              <w:jc w:val="center"/>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Des 2025</w:t>
            </w:r>
          </w:p>
        </w:tc>
        <w:tc>
          <w:tcPr>
            <w:tcW w:w="709"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Jan 2025</w:t>
            </w:r>
          </w:p>
        </w:tc>
        <w:tc>
          <w:tcPr>
            <w:tcW w:w="708"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Feb 2025</w:t>
            </w:r>
          </w:p>
        </w:tc>
        <w:tc>
          <w:tcPr>
            <w:tcW w:w="709"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Mar2025</w:t>
            </w:r>
          </w:p>
        </w:tc>
        <w:tc>
          <w:tcPr>
            <w:tcW w:w="737"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Apr 2025</w:t>
            </w:r>
          </w:p>
        </w:tc>
        <w:tc>
          <w:tcPr>
            <w:tcW w:w="737"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Mei 2025</w:t>
            </w:r>
          </w:p>
        </w:tc>
        <w:tc>
          <w:tcPr>
            <w:tcW w:w="708"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Jun 2025</w:t>
            </w:r>
          </w:p>
        </w:tc>
        <w:tc>
          <w:tcPr>
            <w:tcW w:w="779"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Jul 2025</w:t>
            </w: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1</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Pengajuan Judul</w:t>
            </w:r>
          </w:p>
        </w:tc>
        <w:tc>
          <w:tcPr>
            <w:tcW w:w="709"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2</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Penyusunan Proposal</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3</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Bimbingan Proposal</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37"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4</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Seminar Proposal</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43"/>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5</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Penelitian Skripsi</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6</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Penulisan Skripsi</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7</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Bimbingan Skripsi</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54"/>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8</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ACC Skripsi</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c>
          <w:tcPr>
            <w:tcW w:w="779" w:type="dxa"/>
          </w:tcPr>
          <w:p w:rsidR="007104F1" w:rsidRPr="00066541" w:rsidRDefault="007104F1" w:rsidP="00481499">
            <w:pPr>
              <w:spacing w:line="240" w:lineRule="auto"/>
              <w:rPr>
                <w:rFonts w:cstheme="majorBidi"/>
                <w:color w:val="000000" w:themeColor="text1"/>
                <w:lang w:eastAsia="en-GB"/>
              </w:rPr>
            </w:pPr>
          </w:p>
        </w:tc>
      </w:tr>
      <w:tr w:rsidR="007104F1" w:rsidRPr="00066541" w:rsidTr="00481499">
        <w:trPr>
          <w:trHeight w:val="266"/>
        </w:trPr>
        <w:tc>
          <w:tcPr>
            <w:tcW w:w="675" w:type="dxa"/>
            <w:vAlign w:val="center"/>
          </w:tcPr>
          <w:p w:rsidR="007104F1" w:rsidRPr="00066541" w:rsidRDefault="007104F1" w:rsidP="00481499">
            <w:pPr>
              <w:spacing w:line="240" w:lineRule="auto"/>
              <w:jc w:val="center"/>
              <w:rPr>
                <w:rFonts w:cstheme="majorBidi"/>
                <w:color w:val="000000" w:themeColor="text1"/>
                <w:lang w:eastAsia="en-GB"/>
              </w:rPr>
            </w:pPr>
            <w:r w:rsidRPr="00066541">
              <w:rPr>
                <w:rFonts w:cstheme="majorBidi"/>
                <w:color w:val="000000" w:themeColor="text1"/>
                <w:lang w:eastAsia="en-GB"/>
              </w:rPr>
              <w:t>9</w:t>
            </w:r>
          </w:p>
        </w:tc>
        <w:tc>
          <w:tcPr>
            <w:tcW w:w="2410" w:type="dxa"/>
          </w:tcPr>
          <w:p w:rsidR="007104F1" w:rsidRPr="00066541" w:rsidRDefault="007104F1" w:rsidP="00481499">
            <w:pPr>
              <w:spacing w:line="240" w:lineRule="auto"/>
              <w:rPr>
                <w:rFonts w:cstheme="majorBidi"/>
                <w:color w:val="000000" w:themeColor="text1"/>
                <w:lang w:eastAsia="en-GB"/>
              </w:rPr>
            </w:pPr>
            <w:r w:rsidRPr="00066541">
              <w:rPr>
                <w:rFonts w:cstheme="majorBidi"/>
                <w:color w:val="000000" w:themeColor="text1"/>
                <w:lang w:eastAsia="en-GB"/>
              </w:rPr>
              <w:t>Sidang Meja Hijau</w:t>
            </w:r>
          </w:p>
        </w:tc>
        <w:tc>
          <w:tcPr>
            <w:tcW w:w="709"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08" w:type="dxa"/>
          </w:tcPr>
          <w:p w:rsidR="007104F1" w:rsidRPr="00066541" w:rsidRDefault="007104F1" w:rsidP="00481499">
            <w:pPr>
              <w:spacing w:line="240" w:lineRule="auto"/>
              <w:rPr>
                <w:rFonts w:cstheme="majorBidi"/>
                <w:color w:val="000000" w:themeColor="text1"/>
                <w:lang w:eastAsia="en-GB"/>
              </w:rPr>
            </w:pPr>
          </w:p>
        </w:tc>
        <w:tc>
          <w:tcPr>
            <w:tcW w:w="709"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37" w:type="dxa"/>
          </w:tcPr>
          <w:p w:rsidR="007104F1" w:rsidRPr="00066541" w:rsidRDefault="007104F1" w:rsidP="00481499">
            <w:pPr>
              <w:spacing w:line="240" w:lineRule="auto"/>
              <w:rPr>
                <w:rFonts w:cstheme="majorBidi"/>
                <w:color w:val="000000" w:themeColor="text1"/>
                <w:lang w:eastAsia="en-GB"/>
              </w:rPr>
            </w:pPr>
          </w:p>
        </w:tc>
        <w:tc>
          <w:tcPr>
            <w:tcW w:w="708" w:type="dxa"/>
            <w:shd w:val="clear" w:color="auto" w:fill="auto"/>
          </w:tcPr>
          <w:p w:rsidR="007104F1" w:rsidRPr="00066541" w:rsidRDefault="007104F1" w:rsidP="00481499">
            <w:pPr>
              <w:spacing w:line="240" w:lineRule="auto"/>
              <w:rPr>
                <w:rFonts w:cstheme="majorBidi"/>
                <w:color w:val="000000" w:themeColor="text1"/>
                <w:lang w:eastAsia="en-GB"/>
              </w:rPr>
            </w:pPr>
          </w:p>
        </w:tc>
        <w:tc>
          <w:tcPr>
            <w:tcW w:w="779" w:type="dxa"/>
            <w:shd w:val="clear" w:color="auto" w:fill="000000" w:themeFill="text1"/>
          </w:tcPr>
          <w:p w:rsidR="007104F1" w:rsidRPr="00066541" w:rsidRDefault="007104F1" w:rsidP="00481499">
            <w:pPr>
              <w:spacing w:line="240" w:lineRule="auto"/>
              <w:rPr>
                <w:rFonts w:cstheme="majorBidi"/>
                <w:color w:val="000000" w:themeColor="text1"/>
                <w:lang w:eastAsia="en-GB"/>
              </w:rPr>
            </w:pPr>
          </w:p>
        </w:tc>
      </w:tr>
    </w:tbl>
    <w:p w:rsidR="007104F1" w:rsidRPr="00066541" w:rsidRDefault="007104F1" w:rsidP="007104F1">
      <w:pPr>
        <w:pStyle w:val="Heading2"/>
        <w:rPr>
          <w:lang w:eastAsia="en-GB"/>
        </w:rPr>
      </w:pPr>
      <w:bookmarkStart w:id="10" w:name="_Toc201095832"/>
      <w:r w:rsidRPr="00066541">
        <w:rPr>
          <w:lang w:eastAsia="en-GB"/>
        </w:rPr>
        <w:t>3.4 Definisi dan Operasionalisasi Variabel</w:t>
      </w:r>
      <w:bookmarkEnd w:id="10"/>
    </w:p>
    <w:p w:rsidR="007104F1" w:rsidRPr="00066541" w:rsidRDefault="007104F1" w:rsidP="007104F1">
      <w:pPr>
        <w:pStyle w:val="Heading3"/>
        <w:spacing w:before="0"/>
      </w:pPr>
      <w:bookmarkStart w:id="11" w:name="_Toc201095833"/>
      <w:r w:rsidRPr="00066541">
        <w:rPr>
          <w:lang w:eastAsia="en-GB"/>
        </w:rPr>
        <w:t>3.</w:t>
      </w:r>
      <w:r w:rsidRPr="00066541">
        <w:t>4.1 Definisi Variabel</w:t>
      </w:r>
      <w:bookmarkEnd w:id="11"/>
    </w:p>
    <w:p w:rsidR="007104F1" w:rsidRPr="00066541" w:rsidRDefault="007104F1" w:rsidP="007104F1">
      <w:pPr>
        <w:spacing w:after="0"/>
        <w:ind w:firstLine="567"/>
        <w:jc w:val="both"/>
        <w:rPr>
          <w:color w:val="000000" w:themeColor="text1"/>
        </w:rPr>
      </w:pPr>
      <w:r w:rsidRPr="00066541">
        <w:rPr>
          <w:color w:val="000000" w:themeColor="text1"/>
        </w:rPr>
        <w:t xml:space="preserve">Menurut (Sugiyono, 2019), </w:t>
      </w:r>
      <w:bookmarkStart w:id="12" w:name="_Toc201095834"/>
      <w:r w:rsidRPr="00066541">
        <w:rPr>
          <w:color w:val="000000" w:themeColor="text1"/>
        </w:rPr>
        <w:t>variabel penelitian adalah kualitas, sifat, atau nilai dari individu, benda, atau aktivitas yang bervariasi dengan cara yang dipilih oleh peneliti untuk analisis dan kesimpulan. Variabel-variabel berikut digunakan dalam studi ini:</w:t>
      </w:r>
    </w:p>
    <w:p w:rsidR="007104F1" w:rsidRPr="00066541" w:rsidRDefault="007104F1" w:rsidP="007104F1">
      <w:pPr>
        <w:pStyle w:val="Heading3"/>
        <w:spacing w:before="0"/>
        <w:rPr>
          <w:lang w:eastAsia="en-GB"/>
        </w:rPr>
      </w:pPr>
      <w:r w:rsidRPr="00066541">
        <w:rPr>
          <w:lang w:eastAsia="en-GB"/>
        </w:rPr>
        <w:t>3.4.2 Variabel Independen (X)</w:t>
      </w:r>
      <w:bookmarkEnd w:id="12"/>
    </w:p>
    <w:p w:rsidR="007104F1" w:rsidRPr="00066541" w:rsidRDefault="007104F1" w:rsidP="007104F1">
      <w:pPr>
        <w:spacing w:after="0"/>
        <w:ind w:firstLine="567"/>
        <w:jc w:val="both"/>
        <w:rPr>
          <w:color w:val="000000" w:themeColor="text1"/>
        </w:rPr>
      </w:pPr>
      <w:bookmarkStart w:id="13" w:name="_Toc201095835"/>
      <w:r w:rsidRPr="00066541">
        <w:rPr>
          <w:color w:val="000000" w:themeColor="text1"/>
        </w:rPr>
        <w:t>Menurut (Sugiyono, 2019), variabel independen, yang juga dikenal sebagai variabel bebas, adalah variabel yang mempengaruhi atau menyebabkan adanya perubahan pada variabel dependen (terikat).</w:t>
      </w:r>
    </w:p>
    <w:p w:rsidR="007104F1" w:rsidRPr="00066541" w:rsidRDefault="007104F1" w:rsidP="007104F1">
      <w:pPr>
        <w:pStyle w:val="Heading3"/>
        <w:spacing w:before="0"/>
        <w:rPr>
          <w:lang w:eastAsia="en-GB"/>
        </w:rPr>
      </w:pPr>
      <w:r w:rsidRPr="00066541">
        <w:rPr>
          <w:lang w:eastAsia="en-GB"/>
        </w:rPr>
        <w:t>3.4.3 Variabel Dependen (Y)</w:t>
      </w:r>
      <w:bookmarkEnd w:id="13"/>
    </w:p>
    <w:p w:rsidR="007104F1" w:rsidRPr="00066541" w:rsidRDefault="007104F1" w:rsidP="007104F1">
      <w:pPr>
        <w:ind w:firstLine="567"/>
        <w:jc w:val="both"/>
        <w:rPr>
          <w:color w:val="000000" w:themeColor="text1"/>
        </w:rPr>
      </w:pPr>
      <w:r w:rsidRPr="00066541">
        <w:rPr>
          <w:color w:val="000000" w:themeColor="text1"/>
        </w:rPr>
        <w:t>Variabel dependen, yang juga dikenal sebagai variabel terikat, adalah variabel yang dipengaruhi oleh atau diakibatkan oleh adanya variabel independen (Sugiyono, 2019).</w:t>
      </w:r>
    </w:p>
    <w:p w:rsidR="007104F1" w:rsidRDefault="007104F1" w:rsidP="007104F1">
      <w:pPr>
        <w:pStyle w:val="Caption"/>
        <w:jc w:val="center"/>
        <w:rPr>
          <w:color w:val="000000" w:themeColor="text1"/>
          <w:sz w:val="24"/>
          <w:szCs w:val="24"/>
        </w:rPr>
      </w:pPr>
      <w:bookmarkStart w:id="14" w:name="_Toc202134830"/>
      <w:bookmarkStart w:id="15" w:name="_Toc203293505"/>
      <w:r w:rsidRPr="00066541">
        <w:rPr>
          <w:color w:val="000000" w:themeColor="text1"/>
          <w:sz w:val="24"/>
          <w:szCs w:val="24"/>
        </w:rPr>
        <w:lastRenderedPageBreak/>
        <w:t xml:space="preserve">Tabel 3. </w:t>
      </w:r>
      <w:r w:rsidR="006751B6" w:rsidRPr="00066541">
        <w:rPr>
          <w:color w:val="000000" w:themeColor="text1"/>
          <w:sz w:val="24"/>
          <w:szCs w:val="24"/>
        </w:rPr>
        <w:fldChar w:fldCharType="begin"/>
      </w:r>
      <w:r w:rsidRPr="00066541">
        <w:rPr>
          <w:color w:val="000000" w:themeColor="text1"/>
          <w:sz w:val="24"/>
          <w:szCs w:val="24"/>
        </w:rPr>
        <w:instrText xml:space="preserve"> SEQ Tabel_3. \* ARABIC </w:instrText>
      </w:r>
      <w:r w:rsidR="006751B6" w:rsidRPr="00066541">
        <w:rPr>
          <w:color w:val="000000" w:themeColor="text1"/>
          <w:sz w:val="24"/>
          <w:szCs w:val="24"/>
        </w:rPr>
        <w:fldChar w:fldCharType="separate"/>
      </w:r>
      <w:r w:rsidRPr="00066541">
        <w:rPr>
          <w:color w:val="000000" w:themeColor="text1"/>
          <w:sz w:val="24"/>
          <w:szCs w:val="24"/>
        </w:rPr>
        <w:t>2</w:t>
      </w:r>
      <w:bookmarkEnd w:id="14"/>
      <w:r w:rsidR="006751B6" w:rsidRPr="00066541">
        <w:rPr>
          <w:color w:val="000000" w:themeColor="text1"/>
          <w:sz w:val="24"/>
          <w:szCs w:val="24"/>
        </w:rPr>
        <w:fldChar w:fldCharType="end"/>
      </w:r>
    </w:p>
    <w:p w:rsidR="007104F1" w:rsidRPr="00D30C54" w:rsidRDefault="007104F1" w:rsidP="007104F1">
      <w:pPr>
        <w:pStyle w:val="Caption"/>
        <w:jc w:val="center"/>
        <w:rPr>
          <w:color w:val="000000" w:themeColor="text1"/>
          <w:sz w:val="24"/>
          <w:szCs w:val="24"/>
        </w:rPr>
      </w:pPr>
      <w:r w:rsidRPr="00066541">
        <w:rPr>
          <w:color w:val="000000" w:themeColor="text1"/>
          <w:sz w:val="24"/>
          <w:szCs w:val="24"/>
        </w:rPr>
        <w:t>Definisi Variabel</w:t>
      </w:r>
      <w:bookmarkEnd w:id="15"/>
    </w:p>
    <w:tbl>
      <w:tblPr>
        <w:tblStyle w:val="TableGrid"/>
        <w:tblW w:w="7980" w:type="dxa"/>
        <w:tblInd w:w="66" w:type="dxa"/>
        <w:tblLook w:val="04A0"/>
      </w:tblPr>
      <w:tblGrid>
        <w:gridCol w:w="608"/>
        <w:gridCol w:w="2249"/>
        <w:gridCol w:w="1998"/>
        <w:gridCol w:w="1426"/>
        <w:gridCol w:w="1699"/>
      </w:tblGrid>
      <w:tr w:rsidR="007104F1" w:rsidRPr="00066541" w:rsidTr="00481499">
        <w:tc>
          <w:tcPr>
            <w:tcW w:w="609" w:type="dxa"/>
          </w:tcPr>
          <w:p w:rsidR="007104F1" w:rsidRPr="00066541" w:rsidRDefault="007104F1" w:rsidP="00481499">
            <w:pPr>
              <w:spacing w:line="240" w:lineRule="auto"/>
              <w:rPr>
                <w:rFonts w:cstheme="majorBidi"/>
                <w:b/>
                <w:bCs/>
                <w:color w:val="000000" w:themeColor="text1"/>
                <w:szCs w:val="24"/>
              </w:rPr>
            </w:pPr>
            <w:r w:rsidRPr="00066541">
              <w:rPr>
                <w:rFonts w:cstheme="majorBidi"/>
                <w:b/>
                <w:bCs/>
                <w:color w:val="000000" w:themeColor="text1"/>
                <w:szCs w:val="24"/>
              </w:rPr>
              <w:t>No</w:t>
            </w:r>
          </w:p>
        </w:tc>
        <w:tc>
          <w:tcPr>
            <w:tcW w:w="2254" w:type="dxa"/>
          </w:tcPr>
          <w:p w:rsidR="007104F1" w:rsidRPr="00066541" w:rsidRDefault="007104F1" w:rsidP="00481499">
            <w:pPr>
              <w:spacing w:line="240" w:lineRule="auto"/>
              <w:rPr>
                <w:rFonts w:cstheme="majorBidi"/>
                <w:b/>
                <w:bCs/>
                <w:color w:val="000000" w:themeColor="text1"/>
                <w:szCs w:val="24"/>
              </w:rPr>
            </w:pPr>
            <w:r w:rsidRPr="00066541">
              <w:rPr>
                <w:rFonts w:cstheme="majorBidi"/>
                <w:b/>
                <w:bCs/>
                <w:color w:val="000000" w:themeColor="text1"/>
                <w:szCs w:val="24"/>
              </w:rPr>
              <w:t>Variabel</w:t>
            </w:r>
          </w:p>
        </w:tc>
        <w:tc>
          <w:tcPr>
            <w:tcW w:w="1999" w:type="dxa"/>
          </w:tcPr>
          <w:p w:rsidR="007104F1" w:rsidRPr="00066541" w:rsidRDefault="007104F1" w:rsidP="00481499">
            <w:pPr>
              <w:spacing w:line="240" w:lineRule="auto"/>
              <w:rPr>
                <w:rFonts w:cstheme="majorBidi"/>
                <w:b/>
                <w:bCs/>
                <w:color w:val="000000" w:themeColor="text1"/>
                <w:szCs w:val="24"/>
              </w:rPr>
            </w:pPr>
            <w:r w:rsidRPr="00066541">
              <w:rPr>
                <w:rFonts w:cstheme="majorBidi"/>
                <w:b/>
                <w:bCs/>
                <w:color w:val="000000" w:themeColor="text1"/>
                <w:szCs w:val="24"/>
              </w:rPr>
              <w:t>Definisi</w:t>
            </w:r>
          </w:p>
        </w:tc>
        <w:tc>
          <w:tcPr>
            <w:tcW w:w="1417" w:type="dxa"/>
          </w:tcPr>
          <w:p w:rsidR="007104F1" w:rsidRPr="00066541" w:rsidRDefault="007104F1" w:rsidP="00481499">
            <w:pPr>
              <w:spacing w:line="240" w:lineRule="auto"/>
              <w:rPr>
                <w:rFonts w:cstheme="majorBidi"/>
                <w:b/>
                <w:bCs/>
                <w:color w:val="000000" w:themeColor="text1"/>
                <w:szCs w:val="24"/>
              </w:rPr>
            </w:pPr>
            <w:r w:rsidRPr="00066541">
              <w:rPr>
                <w:rFonts w:cstheme="majorBidi"/>
                <w:b/>
                <w:bCs/>
                <w:color w:val="000000" w:themeColor="text1"/>
                <w:szCs w:val="24"/>
              </w:rPr>
              <w:t>Indikator</w:t>
            </w:r>
          </w:p>
        </w:tc>
        <w:tc>
          <w:tcPr>
            <w:tcW w:w="1701" w:type="dxa"/>
          </w:tcPr>
          <w:p w:rsidR="007104F1" w:rsidRPr="00066541" w:rsidRDefault="007104F1" w:rsidP="00481499">
            <w:pPr>
              <w:spacing w:line="240" w:lineRule="auto"/>
              <w:rPr>
                <w:rFonts w:cstheme="majorBidi"/>
                <w:b/>
                <w:bCs/>
                <w:color w:val="000000" w:themeColor="text1"/>
                <w:szCs w:val="24"/>
              </w:rPr>
            </w:pPr>
            <w:r w:rsidRPr="00066541">
              <w:rPr>
                <w:rFonts w:cstheme="majorBidi"/>
                <w:b/>
                <w:bCs/>
                <w:color w:val="000000" w:themeColor="text1"/>
                <w:szCs w:val="24"/>
              </w:rPr>
              <w:t>Skala Pengukuran</w:t>
            </w:r>
          </w:p>
        </w:tc>
      </w:tr>
      <w:tr w:rsidR="007104F1" w:rsidRPr="00066541" w:rsidTr="00481499">
        <w:tc>
          <w:tcPr>
            <w:tcW w:w="60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1</w:t>
            </w:r>
          </w:p>
        </w:tc>
        <w:tc>
          <w:tcPr>
            <w:tcW w:w="2254"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Likuiditas</w:t>
            </w:r>
          </w:p>
        </w:tc>
        <w:tc>
          <w:tcPr>
            <w:tcW w:w="199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rPr>
              <w:t>Menurut (Wijayanti, 2023), rasio likuiditas ialah ukuran yang memperlihatkan kapabilitas perusahaan dalam mematuhi kewajiban jangka pendek yang segera jatuh tempo.</w:t>
            </w:r>
          </w:p>
        </w:tc>
        <w:tc>
          <w:tcPr>
            <w:tcW w:w="1417" w:type="dxa"/>
          </w:tcPr>
          <w:p w:rsidR="007104F1" w:rsidRPr="00066541" w:rsidRDefault="007104F1" w:rsidP="00481499">
            <w:pPr>
              <w:spacing w:line="240" w:lineRule="auto"/>
              <w:rPr>
                <w:rFonts w:cstheme="majorBidi"/>
                <w:color w:val="000000" w:themeColor="text1"/>
                <w:szCs w:val="24"/>
              </w:rPr>
            </w:pPr>
            <w:r w:rsidRPr="00066541">
              <w:rPr>
                <w:rFonts w:cstheme="majorBidi"/>
                <w:i/>
                <w:iCs/>
                <w:color w:val="000000" w:themeColor="text1"/>
                <w:szCs w:val="24"/>
              </w:rPr>
              <w:t xml:space="preserve">Current Ratio </w:t>
            </w:r>
            <w:r w:rsidRPr="00066541">
              <w:rPr>
                <w:rFonts w:cstheme="majorBidi"/>
                <w:color w:val="000000" w:themeColor="text1"/>
                <w:szCs w:val="24"/>
              </w:rPr>
              <w:t>= Aset Lancar/Utang Lancar</w:t>
            </w:r>
          </w:p>
        </w:tc>
        <w:tc>
          <w:tcPr>
            <w:tcW w:w="1701"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Rasio</w:t>
            </w:r>
          </w:p>
        </w:tc>
      </w:tr>
      <w:tr w:rsidR="007104F1" w:rsidRPr="00066541" w:rsidTr="00481499">
        <w:tc>
          <w:tcPr>
            <w:tcW w:w="60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2</w:t>
            </w:r>
          </w:p>
        </w:tc>
        <w:tc>
          <w:tcPr>
            <w:tcW w:w="2254"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Solvabilitas</w:t>
            </w:r>
          </w:p>
        </w:tc>
        <w:tc>
          <w:tcPr>
            <w:tcW w:w="199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lang w:val="en-GB" w:eastAsia="en-GB"/>
              </w:rPr>
              <w:t>Rasio solvabilitas digunakan untuk mengukur sejauh mana aset perusahaan dibiayai melalui utang. (Wijayanti, 2023).</w:t>
            </w:r>
          </w:p>
        </w:tc>
        <w:tc>
          <w:tcPr>
            <w:tcW w:w="1417" w:type="dxa"/>
          </w:tcPr>
          <w:p w:rsidR="007104F1" w:rsidRPr="00066541" w:rsidRDefault="007104F1" w:rsidP="00481499">
            <w:pPr>
              <w:spacing w:line="240" w:lineRule="auto"/>
              <w:rPr>
                <w:rFonts w:cstheme="majorBidi"/>
                <w:color w:val="000000" w:themeColor="text1"/>
                <w:szCs w:val="24"/>
              </w:rPr>
            </w:pPr>
            <w:r w:rsidRPr="00066541">
              <w:rPr>
                <w:rFonts w:cstheme="majorBidi"/>
                <w:i/>
                <w:iCs/>
                <w:color w:val="000000" w:themeColor="text1"/>
                <w:szCs w:val="24"/>
                <w:lang w:eastAsia="en-GB"/>
              </w:rPr>
              <w:t xml:space="preserve">Debt to Equity Ratio= </w:t>
            </w:r>
            <w:r w:rsidRPr="00066541">
              <w:rPr>
                <w:rFonts w:cstheme="majorBidi"/>
                <w:color w:val="000000" w:themeColor="text1"/>
                <w:szCs w:val="24"/>
                <w:lang w:eastAsia="en-GB"/>
              </w:rPr>
              <w:t>Total Utang/</w:t>
            </w:r>
          </w:p>
        </w:tc>
        <w:tc>
          <w:tcPr>
            <w:tcW w:w="1701"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Rasio</w:t>
            </w:r>
          </w:p>
        </w:tc>
      </w:tr>
      <w:tr w:rsidR="007104F1" w:rsidRPr="00066541" w:rsidTr="00481499">
        <w:tc>
          <w:tcPr>
            <w:tcW w:w="60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3</w:t>
            </w:r>
          </w:p>
        </w:tc>
        <w:tc>
          <w:tcPr>
            <w:tcW w:w="2254"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Profitabilitas</w:t>
            </w:r>
          </w:p>
        </w:tc>
        <w:tc>
          <w:tcPr>
            <w:tcW w:w="199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rPr>
              <w:t>Menurut (Wijayanti, 2023), rasio profitabilitas adalah rasio yang digunakan untuk menilai kemampuan perusahaan dalam menghasilkan laba, baik yang terkait dengan penjualan, aset, maupun modal sendiri.</w:t>
            </w:r>
          </w:p>
        </w:tc>
        <w:tc>
          <w:tcPr>
            <w:tcW w:w="1417" w:type="dxa"/>
          </w:tcPr>
          <w:p w:rsidR="007104F1" w:rsidRPr="00066541" w:rsidRDefault="007104F1" w:rsidP="00481499">
            <w:pPr>
              <w:spacing w:line="240" w:lineRule="auto"/>
              <w:rPr>
                <w:rFonts w:cstheme="majorBidi"/>
                <w:color w:val="000000" w:themeColor="text1"/>
                <w:szCs w:val="24"/>
              </w:rPr>
            </w:pPr>
          </w:p>
        </w:tc>
        <w:tc>
          <w:tcPr>
            <w:tcW w:w="1701"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Rasio</w:t>
            </w:r>
          </w:p>
        </w:tc>
      </w:tr>
      <w:tr w:rsidR="007104F1" w:rsidRPr="00066541" w:rsidTr="00481499">
        <w:tc>
          <w:tcPr>
            <w:tcW w:w="609"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4</w:t>
            </w:r>
          </w:p>
        </w:tc>
        <w:tc>
          <w:tcPr>
            <w:tcW w:w="2254" w:type="dxa"/>
          </w:tcPr>
          <w:p w:rsidR="007104F1" w:rsidRPr="00066541" w:rsidRDefault="007104F1" w:rsidP="00481499">
            <w:pPr>
              <w:spacing w:line="240" w:lineRule="auto"/>
              <w:rPr>
                <w:rFonts w:cstheme="majorBidi"/>
                <w:color w:val="000000" w:themeColor="text1"/>
                <w:szCs w:val="24"/>
              </w:rPr>
            </w:pPr>
            <w:r w:rsidRPr="00066541">
              <w:rPr>
                <w:rFonts w:cstheme="majorBidi"/>
                <w:color w:val="000000" w:themeColor="text1"/>
                <w:szCs w:val="24"/>
              </w:rPr>
              <w:t>Kinerja Keuangan</w:t>
            </w:r>
          </w:p>
        </w:tc>
        <w:tc>
          <w:tcPr>
            <w:tcW w:w="1999" w:type="dxa"/>
          </w:tcPr>
          <w:p w:rsidR="007104F1" w:rsidRPr="00066541" w:rsidRDefault="007104F1" w:rsidP="00481499">
            <w:pPr>
              <w:spacing w:line="240" w:lineRule="auto"/>
              <w:rPr>
                <w:rFonts w:cstheme="majorBidi"/>
                <w:noProof w:val="0"/>
                <w:color w:val="000000" w:themeColor="text1"/>
                <w:szCs w:val="24"/>
              </w:rPr>
            </w:pPr>
            <w:r w:rsidRPr="00066541">
              <w:rPr>
                <w:rFonts w:cstheme="majorBidi"/>
                <w:noProof w:val="0"/>
                <w:color w:val="000000" w:themeColor="text1"/>
                <w:szCs w:val="24"/>
              </w:rPr>
              <w:t>Menurut Fahmi Irhamkinerja keuangan merupakans</w:t>
            </w:r>
            <w:r w:rsidRPr="00066541">
              <w:rPr>
                <w:rFonts w:cstheme="majorBidi"/>
                <w:color w:val="000000" w:themeColor="text1"/>
              </w:rPr>
              <w:t xml:space="preserve">ebuah pemeriksaan guna melihat seberapa baik sebuah bisnis telah menerapkan pedoman pelaksanaan keuangan </w:t>
            </w:r>
            <w:r w:rsidR="006751B6" w:rsidRPr="00066541">
              <w:rPr>
                <w:rFonts w:cstheme="majorBidi"/>
                <w:noProof w:val="0"/>
                <w:color w:val="000000" w:themeColor="text1"/>
                <w:szCs w:val="24"/>
                <w:lang w:val="en-GB"/>
              </w:rPr>
              <w:fldChar w:fldCharType="begin" w:fldLock="1"/>
            </w:r>
            <w:r w:rsidRPr="00066541">
              <w:rPr>
                <w:rFonts w:cstheme="majorBidi"/>
                <w:noProof w:val="0"/>
                <w:color w:val="000000" w:themeColor="text1"/>
                <w:szCs w:val="24"/>
                <w:lang w:val="en-GB"/>
              </w:rPr>
              <w:instrText>ADDIN CSL_CITATION {"citationItems":[{"id":"ITEM-1","itemData":{"DOI":"10.59806/tribisnis.v5i1.246","ISSN":"2656-1298","abstract":"Kinerja keuangan pada suatu perusahaan perlu diukur agar dapat mengetahui kemampuan perusahaan dalam bertahan menghadapi persaingan bisnis serta menjadi gambaran mengenai kondisi keuangan yang sedang terjadi dalam perusahaan tersebut. Pengukuran atau penilaian kinerja keuangan dapat diukur menggunakan beberapa faktor  seperti profitabilitas, solvabilitas dan likuiditas serta beberapa faktor lainnya.\r Penelitian ini bertujuan untuk mengetahui pengaruh profitabilitas, solvabilitas dan liduiditas terhadap kinerja keuangan pada perusahaan manufaktur yang terdaftar di Bursa Efek Indonesia (BEI) tahun 2019-2021. Metode pada penelitian ini adalah penelitian kuantitatif. Metode pengumpulan sampel yaitu puposive sampling dengan jumlah sampel pada penelitian mencakup 17 perusahaan yang dipilih berdasarkan beberapa kriteria. Penelitian ini menggunakan data sekunder dengan jumlah data sebanyak 51 yang telah lolos uji asumsi klasik dan analisis regresi linear berganda.\r Hasil penelitian untuk variabel bebas profitabilitas berpengaruh terhadap kinerja keuangan, variabel bebas solvabilitas tidak berpengaruh terhadap kinerja keuangan dan variabel bebas likuiditas berpengaruh terhadap kinerja keuangan.","author":[{"dropping-particle":"","family":"Affi","given":"Febriani","non-dropping-particle":"","parse-names":false,"suffix":""},{"dropping-particle":"","family":"As'ari","given":"Hasim","non-dropping-particle":"","parse-names":false,"suffix":""}],"container-title":"Jurnal Kewirausahaan, Akuntansi Dan Manajemen Tri Bisnis","id":"ITEM-1","issue":"1","issued":{"date-parts":[["2023"]]},"page":"77-86","title":"Pengaruh Profitabilitas, Solvabilitas Dan Likuiditas Terhadap Kinerja Keuangan Perusahaan","type":"article-journal","volume":"5"},"uris":["http://www.mendeley.com/documents/?uuid=e403a51b-cfee-4eb6-948e-97a48862d12c"]}],"mendeley":{"formattedCitation":"(Affi &amp; As’ari, 2023)","plainTextFormattedCitation":"(Affi &amp; As’ari, 2023)","previouslyFormattedCitation":"(Affi &amp; As’ari, 2023)"},"properties":{"noteIndex":0},"schema":"https://github.com/citation-style-language/schema/raw/master/csl-citation.json"}</w:instrText>
            </w:r>
            <w:r w:rsidR="006751B6" w:rsidRPr="00066541">
              <w:rPr>
                <w:rFonts w:cstheme="majorBidi"/>
                <w:noProof w:val="0"/>
                <w:color w:val="000000" w:themeColor="text1"/>
                <w:szCs w:val="24"/>
                <w:lang w:val="en-GB"/>
              </w:rPr>
              <w:fldChar w:fldCharType="separate"/>
            </w:r>
            <w:r w:rsidRPr="00066541">
              <w:rPr>
                <w:rFonts w:cstheme="majorBidi"/>
                <w:color w:val="000000" w:themeColor="text1"/>
                <w:szCs w:val="24"/>
                <w:lang w:val="en-GB"/>
              </w:rPr>
              <w:t>(Affi &amp; As’ari, 2023)</w:t>
            </w:r>
            <w:r w:rsidR="006751B6" w:rsidRPr="00066541">
              <w:rPr>
                <w:rFonts w:cstheme="majorBidi"/>
                <w:noProof w:val="0"/>
                <w:color w:val="000000" w:themeColor="text1"/>
                <w:szCs w:val="24"/>
                <w:lang w:val="en-GB"/>
              </w:rPr>
              <w:fldChar w:fldCharType="end"/>
            </w:r>
            <w:r w:rsidRPr="00066541">
              <w:rPr>
                <w:rFonts w:cstheme="majorBidi"/>
                <w:noProof w:val="0"/>
                <w:color w:val="000000" w:themeColor="text1"/>
                <w:szCs w:val="24"/>
              </w:rPr>
              <w:t>.</w:t>
            </w:r>
          </w:p>
          <w:p w:rsidR="007104F1" w:rsidRPr="00066541" w:rsidRDefault="007104F1" w:rsidP="00481499">
            <w:pPr>
              <w:spacing w:line="240" w:lineRule="auto"/>
              <w:rPr>
                <w:rFonts w:cstheme="majorBidi"/>
                <w:color w:val="000000" w:themeColor="text1"/>
                <w:szCs w:val="24"/>
              </w:rPr>
            </w:pPr>
          </w:p>
        </w:tc>
        <w:tc>
          <w:tcPr>
            <w:tcW w:w="1417" w:type="dxa"/>
          </w:tcPr>
          <w:p w:rsidR="007104F1" w:rsidRPr="00066541" w:rsidRDefault="007104F1" w:rsidP="00481499">
            <w:pPr>
              <w:spacing w:line="240" w:lineRule="auto"/>
              <w:rPr>
                <w:rFonts w:cstheme="majorBidi"/>
                <w:color w:val="000000" w:themeColor="text1"/>
                <w:szCs w:val="24"/>
              </w:rPr>
            </w:pPr>
          </w:p>
        </w:tc>
        <w:tc>
          <w:tcPr>
            <w:tcW w:w="1701" w:type="dxa"/>
          </w:tcPr>
          <w:p w:rsidR="007104F1" w:rsidRPr="00066541" w:rsidRDefault="007104F1" w:rsidP="00481499">
            <w:pPr>
              <w:keepNext/>
              <w:spacing w:line="240" w:lineRule="auto"/>
              <w:rPr>
                <w:rFonts w:cstheme="majorBidi"/>
                <w:color w:val="000000" w:themeColor="text1"/>
                <w:szCs w:val="24"/>
              </w:rPr>
            </w:pPr>
            <w:r w:rsidRPr="00066541">
              <w:rPr>
                <w:rFonts w:cstheme="majorBidi"/>
                <w:color w:val="000000" w:themeColor="text1"/>
                <w:szCs w:val="24"/>
              </w:rPr>
              <w:t>Rasio</w:t>
            </w:r>
          </w:p>
        </w:tc>
      </w:tr>
    </w:tbl>
    <w:p w:rsidR="007104F1" w:rsidRPr="00066541" w:rsidRDefault="007104F1" w:rsidP="007104F1">
      <w:pPr>
        <w:pStyle w:val="Caption"/>
        <w:rPr>
          <w:rFonts w:cstheme="majorBidi"/>
          <w:color w:val="000000" w:themeColor="text1"/>
        </w:rPr>
      </w:pPr>
    </w:p>
    <w:p w:rsidR="007104F1" w:rsidRPr="00066541" w:rsidRDefault="007104F1" w:rsidP="007104F1">
      <w:pPr>
        <w:pStyle w:val="Heading2"/>
        <w:rPr>
          <w:lang w:eastAsia="en-GB"/>
        </w:rPr>
      </w:pPr>
      <w:bookmarkStart w:id="16" w:name="_Toc201095836"/>
      <w:r w:rsidRPr="00066541">
        <w:rPr>
          <w:lang w:eastAsia="en-GB"/>
        </w:rPr>
        <w:lastRenderedPageBreak/>
        <w:t>3.5 Instrumen Penelitian</w:t>
      </w:r>
      <w:bookmarkEnd w:id="16"/>
    </w:p>
    <w:p w:rsidR="007104F1" w:rsidRPr="00066541" w:rsidRDefault="007104F1" w:rsidP="007104F1">
      <w:pPr>
        <w:ind w:firstLine="567"/>
        <w:jc w:val="both"/>
        <w:rPr>
          <w:color w:val="000000" w:themeColor="text1"/>
        </w:rPr>
      </w:pPr>
      <w:r w:rsidRPr="00066541">
        <w:rPr>
          <w:color w:val="000000" w:themeColor="text1"/>
        </w:rPr>
        <w:t>Menurut (Sugiyono, 2019), instrumen penelitian ialah alat guna mengukur fenomena alam dan sosial yang dapat diamati. Penelitian ini memakai dua variabel: kinerja keuangan (variabel dependen) dan likuiditas, solvabilitas, serta profitabilitas (variabel independen). Empat peralatan penelitian yang digunakan tercantum di bawah ini:</w:t>
      </w:r>
    </w:p>
    <w:p w:rsidR="007104F1" w:rsidRPr="00066541" w:rsidRDefault="007104F1" w:rsidP="007104F1">
      <w:pPr>
        <w:spacing w:after="0"/>
        <w:jc w:val="both"/>
        <w:rPr>
          <w:rFonts w:cstheme="majorBidi"/>
          <w:color w:val="000000" w:themeColor="text1"/>
        </w:rPr>
      </w:pPr>
      <w:r w:rsidRPr="00066541">
        <w:rPr>
          <w:rFonts w:cstheme="majorBidi"/>
          <w:color w:val="000000" w:themeColor="text1"/>
        </w:rPr>
        <w:t>1. Variabel Kinerja Keuangan (Y)</w:t>
      </w:r>
    </w:p>
    <w:p w:rsidR="007104F1" w:rsidRPr="00066541" w:rsidRDefault="007104F1" w:rsidP="007104F1">
      <w:pPr>
        <w:spacing w:after="0"/>
        <w:ind w:firstLine="567"/>
        <w:jc w:val="both"/>
        <w:rPr>
          <w:rFonts w:cstheme="majorBidi"/>
          <w:color w:val="000000" w:themeColor="text1"/>
        </w:rPr>
      </w:pPr>
      <w:r w:rsidRPr="00066541">
        <w:rPr>
          <w:rFonts w:cstheme="majorBidi"/>
          <w:color w:val="000000" w:themeColor="text1"/>
        </w:rPr>
        <w:t xml:space="preserve">Instrumen yang digunakan dalam kinerja keuangan kali ini ialah </w:t>
      </w:r>
      <w:r w:rsidRPr="00066541">
        <w:rPr>
          <w:rFonts w:cstheme="majorBidi"/>
          <w:i/>
          <w:iCs/>
          <w:color w:val="000000" w:themeColor="text1"/>
        </w:rPr>
        <w:t>Net Profit Margin</w:t>
      </w:r>
      <w:r w:rsidRPr="00066541">
        <w:rPr>
          <w:rFonts w:cstheme="majorBidi"/>
          <w:color w:val="000000" w:themeColor="text1"/>
        </w:rPr>
        <w:t xml:space="preserve"> (NPM). NPM diambil dengancara melihat laporan tahunan PT. Panji Anugerah Sentosa untuk menemukan sejauh mana perusahaan melakukan pengungkapan kinerja keuangan. Berikut adalah rumus NPM:</w:t>
      </w:r>
    </w:p>
    <w:p w:rsidR="007104F1" w:rsidRPr="00066541" w:rsidRDefault="007104F1" w:rsidP="007104F1">
      <w:pPr>
        <w:ind w:left="284"/>
        <w:jc w:val="both"/>
        <w:rPr>
          <w:rFonts w:cstheme="majorBidi"/>
          <w:color w:val="000000" w:themeColor="text1"/>
          <w:sz w:val="28"/>
          <w:szCs w:val="28"/>
        </w:rPr>
      </w:pPr>
      <w:r w:rsidRPr="00066541">
        <w:rPr>
          <w:rFonts w:cstheme="majorBidi"/>
          <w:i/>
          <w:iCs/>
          <w:color w:val="000000" w:themeColor="text1"/>
          <w:sz w:val="28"/>
          <w:szCs w:val="28"/>
          <w:lang w:eastAsia="en-GB"/>
        </w:rPr>
        <w:t>Net Profit Margin</w:t>
      </w:r>
      <w:r w:rsidRPr="00066541">
        <w:rPr>
          <w:rFonts w:cstheme="majorBidi"/>
          <w:color w:val="000000" w:themeColor="text1"/>
          <w:sz w:val="28"/>
          <w:szCs w:val="28"/>
          <w:lang w:eastAsia="en-GB"/>
        </w:rPr>
        <w:t xml:space="preserve"> =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Laba Setelah Bunga dan Pajak</m:t>
            </m:r>
          </m:num>
          <m:den>
            <m:r>
              <m:rPr>
                <m:sty m:val="p"/>
              </m:rPr>
              <w:rPr>
                <w:rFonts w:ascii="Cambria Math" w:hAnsi="Cambria Math" w:cstheme="majorBidi"/>
                <w:color w:val="000000" w:themeColor="text1"/>
                <w:sz w:val="28"/>
                <w:szCs w:val="28"/>
                <w:lang w:eastAsia="en-GB"/>
              </w:rPr>
              <m:t>Penjualan</m:t>
            </m:r>
          </m:den>
        </m:f>
      </m:oMath>
      <w:r w:rsidRPr="00066541">
        <w:rPr>
          <w:rFonts w:eastAsiaTheme="minorEastAsia" w:cstheme="majorBidi"/>
          <w:iCs/>
          <w:color w:val="000000" w:themeColor="text1"/>
          <w:sz w:val="28"/>
          <w:szCs w:val="28"/>
          <w:lang w:eastAsia="en-GB"/>
        </w:rPr>
        <w:t xml:space="preserve"> x 100%</w:t>
      </w:r>
    </w:p>
    <w:p w:rsidR="007104F1" w:rsidRPr="00066541" w:rsidRDefault="007104F1" w:rsidP="007104F1">
      <w:pPr>
        <w:spacing w:after="0"/>
        <w:rPr>
          <w:rFonts w:cstheme="majorBidi"/>
          <w:color w:val="000000" w:themeColor="text1"/>
          <w:lang w:eastAsia="en-GB"/>
        </w:rPr>
      </w:pPr>
      <w:r w:rsidRPr="00066541">
        <w:rPr>
          <w:rFonts w:cstheme="majorBidi"/>
          <w:color w:val="000000" w:themeColor="text1"/>
          <w:lang w:eastAsia="en-GB"/>
        </w:rPr>
        <w:t>2. Variabel Likuiditas (X</w:t>
      </w:r>
      <w:r w:rsidRPr="00066541">
        <w:rPr>
          <w:rFonts w:cstheme="majorBidi"/>
          <w:color w:val="000000" w:themeColor="text1"/>
          <w:vertAlign w:val="subscript"/>
          <w:lang w:eastAsia="en-GB"/>
        </w:rPr>
        <w:t>1</w:t>
      </w:r>
      <w:r w:rsidRPr="00066541">
        <w:rPr>
          <w:rFonts w:cstheme="majorBidi"/>
          <w:color w:val="000000" w:themeColor="text1"/>
          <w:lang w:eastAsia="en-GB"/>
        </w:rPr>
        <w:t>)</w:t>
      </w:r>
    </w:p>
    <w:p w:rsidR="007104F1" w:rsidRPr="00066541" w:rsidRDefault="007104F1" w:rsidP="007104F1">
      <w:pPr>
        <w:spacing w:after="0"/>
        <w:ind w:firstLine="567"/>
        <w:jc w:val="both"/>
        <w:rPr>
          <w:rFonts w:cstheme="majorBidi"/>
          <w:color w:val="000000" w:themeColor="text1"/>
        </w:rPr>
      </w:pPr>
      <w:r w:rsidRPr="00066541">
        <w:rPr>
          <w:rStyle w:val="Strong"/>
          <w:rFonts w:cstheme="majorBidi"/>
          <w:i/>
          <w:iCs/>
          <w:color w:val="000000" w:themeColor="text1"/>
        </w:rPr>
        <w:t>Current Ratio</w:t>
      </w:r>
      <w:r w:rsidRPr="00066541">
        <w:rPr>
          <w:rFonts w:cstheme="majorBidi"/>
          <w:color w:val="000000" w:themeColor="text1"/>
        </w:rPr>
        <w:t xml:space="preserve">merupakan </w:t>
      </w:r>
      <w:r w:rsidRPr="00066541">
        <w:rPr>
          <w:color w:val="000000" w:themeColor="text1"/>
        </w:rPr>
        <w:t xml:space="preserve">ukuran yang berguna untuk memantau kondisi likuiditas sebuah perusahaan. Rasio ini mungkin menghadirkan kapabilitas  perusahaan guna mematuhi kewajiban jangka pendek memakai aset yang ada. </w:t>
      </w:r>
      <w:r w:rsidRPr="00066541">
        <w:rPr>
          <w:rFonts w:cstheme="majorBidi"/>
          <w:color w:val="000000" w:themeColor="text1"/>
        </w:rPr>
        <w:t xml:space="preserve">Rumus </w:t>
      </w:r>
      <w:r w:rsidRPr="00066541">
        <w:rPr>
          <w:rFonts w:cstheme="majorBidi"/>
          <w:i/>
          <w:iCs/>
          <w:color w:val="000000" w:themeColor="text1"/>
        </w:rPr>
        <w:t>Current Ratio</w:t>
      </w:r>
      <w:r w:rsidRPr="00066541">
        <w:rPr>
          <w:rFonts w:cstheme="majorBidi"/>
          <w:color w:val="000000" w:themeColor="text1"/>
        </w:rPr>
        <w:t xml:space="preserve">: </w:t>
      </w:r>
    </w:p>
    <w:p w:rsidR="007104F1" w:rsidRPr="00066541" w:rsidRDefault="007104F1" w:rsidP="007104F1">
      <w:pPr>
        <w:pStyle w:val="ListParagraph"/>
        <w:spacing w:after="0"/>
        <w:ind w:left="426"/>
        <w:jc w:val="both"/>
        <w:rPr>
          <w:rFonts w:eastAsia="Times New Roman" w:cstheme="majorBidi"/>
          <w:iCs/>
          <w:noProof w:val="0"/>
          <w:color w:val="000000" w:themeColor="text1"/>
          <w:sz w:val="40"/>
          <w:szCs w:val="40"/>
          <w:lang w:eastAsia="en-GB"/>
        </w:rPr>
      </w:pPr>
      <w:r w:rsidRPr="00066541">
        <w:rPr>
          <w:rFonts w:eastAsia="Times New Roman" w:cstheme="majorBidi"/>
          <w:i/>
          <w:iCs/>
          <w:noProof w:val="0"/>
          <w:color w:val="000000" w:themeColor="text1"/>
          <w:sz w:val="32"/>
          <w:szCs w:val="32"/>
          <w:lang w:eastAsia="en-GB"/>
        </w:rPr>
        <w:t>Current Ratio</w:t>
      </w:r>
      <w:r w:rsidRPr="00066541">
        <w:rPr>
          <w:rFonts w:eastAsia="Times New Roman" w:cstheme="majorBidi"/>
          <w:noProof w:val="0"/>
          <w:color w:val="000000" w:themeColor="text1"/>
          <w:szCs w:val="24"/>
          <w:lang w:eastAsia="en-GB"/>
        </w:rPr>
        <w:t xml:space="preserve"> = </w:t>
      </w:r>
      <m:oMath>
        <m:f>
          <m:fPr>
            <m:ctrlPr>
              <w:rPr>
                <w:rFonts w:ascii="Cambria Math" w:eastAsia="Times New Roman" w:hAnsi="Cambria Math" w:cstheme="majorBidi"/>
                <w:iCs/>
                <w:noProof w:val="0"/>
                <w:color w:val="000000" w:themeColor="text1"/>
                <w:sz w:val="40"/>
                <w:szCs w:val="40"/>
                <w:lang w:eastAsia="en-GB"/>
              </w:rPr>
            </m:ctrlPr>
          </m:fPr>
          <m:num>
            <m:r>
              <m:rPr>
                <m:sty m:val="p"/>
              </m:rPr>
              <w:rPr>
                <w:rFonts w:ascii="Cambria Math" w:eastAsia="Times New Roman" w:hAnsi="Cambria Math" w:cstheme="majorBidi"/>
                <w:noProof w:val="0"/>
                <w:color w:val="000000" w:themeColor="text1"/>
                <w:sz w:val="40"/>
                <w:szCs w:val="40"/>
                <w:lang w:eastAsia="en-GB"/>
              </w:rPr>
              <m:t>Aset Lancar</m:t>
            </m:r>
          </m:num>
          <m:den>
            <m:r>
              <m:rPr>
                <m:sty m:val="p"/>
              </m:rPr>
              <w:rPr>
                <w:rFonts w:ascii="Cambria Math" w:eastAsia="Times New Roman" w:hAnsi="Cambria Math" w:cstheme="majorBidi"/>
                <w:noProof w:val="0"/>
                <w:color w:val="000000" w:themeColor="text1"/>
                <w:sz w:val="40"/>
                <w:szCs w:val="40"/>
                <w:lang w:eastAsia="en-GB"/>
              </w:rPr>
              <m:t>Utang Lancar</m:t>
            </m:r>
          </m:den>
        </m:f>
      </m:oMath>
    </w:p>
    <w:p w:rsidR="007104F1" w:rsidRPr="00066541" w:rsidRDefault="007104F1" w:rsidP="007104F1">
      <w:pPr>
        <w:spacing w:after="0"/>
        <w:jc w:val="both"/>
        <w:rPr>
          <w:rFonts w:eastAsia="Times New Roman" w:cstheme="majorBidi"/>
          <w:iCs/>
          <w:noProof w:val="0"/>
          <w:color w:val="000000" w:themeColor="text1"/>
          <w:szCs w:val="24"/>
          <w:lang w:eastAsia="en-GB"/>
        </w:rPr>
      </w:pPr>
      <w:r w:rsidRPr="00066541">
        <w:rPr>
          <w:rFonts w:eastAsia="Times New Roman" w:cstheme="majorBidi"/>
          <w:iCs/>
          <w:noProof w:val="0"/>
          <w:color w:val="000000" w:themeColor="text1"/>
          <w:szCs w:val="24"/>
          <w:lang w:eastAsia="en-GB"/>
        </w:rPr>
        <w:t>3. Variabel Solvabilitas (X</w:t>
      </w:r>
      <w:r w:rsidRPr="00066541">
        <w:rPr>
          <w:rFonts w:eastAsia="Times New Roman" w:cstheme="majorBidi"/>
          <w:iCs/>
          <w:noProof w:val="0"/>
          <w:color w:val="000000" w:themeColor="text1"/>
          <w:szCs w:val="24"/>
          <w:vertAlign w:val="subscript"/>
          <w:lang w:eastAsia="en-GB"/>
        </w:rPr>
        <w:t>2</w:t>
      </w:r>
      <w:r w:rsidRPr="00066541">
        <w:rPr>
          <w:rFonts w:eastAsia="Times New Roman" w:cstheme="majorBidi"/>
          <w:iCs/>
          <w:noProof w:val="0"/>
          <w:color w:val="000000" w:themeColor="text1"/>
          <w:szCs w:val="24"/>
          <w:lang w:eastAsia="en-GB"/>
        </w:rPr>
        <w:t>)</w:t>
      </w:r>
    </w:p>
    <w:p w:rsidR="007104F1" w:rsidRPr="00066541" w:rsidRDefault="007104F1" w:rsidP="007104F1">
      <w:pPr>
        <w:spacing w:after="0"/>
        <w:ind w:firstLine="567"/>
        <w:jc w:val="both"/>
        <w:rPr>
          <w:rFonts w:cstheme="majorBidi"/>
          <w:color w:val="000000" w:themeColor="text1"/>
        </w:rPr>
      </w:pPr>
      <w:r w:rsidRPr="00066541">
        <w:rPr>
          <w:rStyle w:val="Strong"/>
          <w:rFonts w:cstheme="majorBidi"/>
          <w:i/>
          <w:iCs/>
          <w:color w:val="000000" w:themeColor="text1"/>
        </w:rPr>
        <w:lastRenderedPageBreak/>
        <w:t>Debt to Equity Ratio</w:t>
      </w:r>
      <w:r w:rsidRPr="00066541">
        <w:rPr>
          <w:rStyle w:val="Strong"/>
          <w:rFonts w:cstheme="majorBidi"/>
          <w:color w:val="000000" w:themeColor="text1"/>
        </w:rPr>
        <w:t xml:space="preserve"> (DER)</w:t>
      </w:r>
      <w:r w:rsidRPr="00066541">
        <w:rPr>
          <w:rFonts w:cstheme="majorBidi"/>
          <w:color w:val="000000" w:themeColor="text1"/>
        </w:rPr>
        <w:t xml:space="preserve"> ialah indikator utama dalam mengukur tingkat </w:t>
      </w:r>
      <w:r w:rsidRPr="00066541">
        <w:rPr>
          <w:rStyle w:val="Strong"/>
          <w:rFonts w:cstheme="majorBidi"/>
          <w:color w:val="000000" w:themeColor="text1"/>
        </w:rPr>
        <w:t>solvabilitas perusahaan</w:t>
      </w:r>
      <w:r w:rsidRPr="00066541">
        <w:rPr>
          <w:rFonts w:cstheme="majorBidi"/>
          <w:color w:val="000000" w:themeColor="text1"/>
        </w:rPr>
        <w:t xml:space="preserve">, </w:t>
      </w:r>
      <w:r w:rsidRPr="00066541">
        <w:rPr>
          <w:color w:val="000000" w:themeColor="text1"/>
        </w:rPr>
        <w:t>ini adalah kapasitas bisnis untuk memenuhi utang jangka panjang</w:t>
      </w:r>
      <w:r w:rsidRPr="00066541">
        <w:rPr>
          <w:rFonts w:ascii="Arial" w:hAnsi="Arial" w:cs="Arial"/>
          <w:color w:val="000000" w:themeColor="text1"/>
          <w:sz w:val="27"/>
          <w:szCs w:val="27"/>
          <w:shd w:val="clear" w:color="auto" w:fill="F7F7F7"/>
        </w:rPr>
        <w:t>.</w:t>
      </w:r>
      <w:r w:rsidRPr="00066541">
        <w:rPr>
          <w:rFonts w:cstheme="majorBidi"/>
          <w:color w:val="000000" w:themeColor="text1"/>
        </w:rPr>
        <w:t xml:space="preserve"> Rumus DER : </w:t>
      </w:r>
    </w:p>
    <w:p w:rsidR="007104F1" w:rsidRPr="00066541" w:rsidRDefault="007104F1" w:rsidP="007104F1">
      <w:pPr>
        <w:pStyle w:val="ListParagraph"/>
        <w:ind w:left="426"/>
        <w:jc w:val="both"/>
        <w:rPr>
          <w:rFonts w:cstheme="majorBidi"/>
          <w:i/>
          <w:iCs/>
          <w:color w:val="000000" w:themeColor="text1"/>
          <w:sz w:val="32"/>
          <w:szCs w:val="32"/>
          <w:lang w:eastAsia="en-GB"/>
        </w:rPr>
      </w:pPr>
      <w:r w:rsidRPr="00066541">
        <w:rPr>
          <w:rFonts w:cstheme="majorBidi"/>
          <w:i/>
          <w:iCs/>
          <w:color w:val="000000" w:themeColor="text1"/>
          <w:sz w:val="32"/>
          <w:szCs w:val="32"/>
          <w:lang w:eastAsia="en-GB"/>
        </w:rPr>
        <w:t xml:space="preserve">Debt to Equity Ratio = </w:t>
      </w:r>
      <m:oMath>
        <m:f>
          <m:fPr>
            <m:ctrlPr>
              <w:rPr>
                <w:rFonts w:ascii="Cambria Math" w:hAnsi="Cambria Math" w:cstheme="majorBidi"/>
                <w:color w:val="000000" w:themeColor="text1"/>
                <w:sz w:val="32"/>
                <w:szCs w:val="32"/>
                <w:lang w:eastAsia="en-GB"/>
              </w:rPr>
            </m:ctrlPr>
          </m:fPr>
          <m:num>
            <m:r>
              <m:rPr>
                <m:sty m:val="p"/>
              </m:rPr>
              <w:rPr>
                <w:rFonts w:ascii="Cambria Math" w:hAnsi="Cambria Math" w:cstheme="majorBidi"/>
                <w:color w:val="000000" w:themeColor="text1"/>
                <w:sz w:val="32"/>
                <w:szCs w:val="32"/>
                <w:lang w:eastAsia="en-GB"/>
              </w:rPr>
              <m:t>Total Utang</m:t>
            </m:r>
          </m:num>
          <m:den>
            <m:r>
              <m:rPr>
                <m:sty m:val="p"/>
              </m:rPr>
              <w:rPr>
                <w:rFonts w:ascii="Cambria Math" w:hAnsi="Cambria Math" w:cstheme="majorBidi"/>
                <w:color w:val="000000" w:themeColor="text1"/>
                <w:sz w:val="32"/>
                <w:szCs w:val="32"/>
                <w:lang w:eastAsia="en-GB"/>
              </w:rPr>
              <m:t>Modal</m:t>
            </m:r>
          </m:den>
        </m:f>
      </m:oMath>
      <w:r w:rsidRPr="00066541">
        <w:rPr>
          <w:rFonts w:cstheme="majorBidi"/>
          <w:color w:val="000000" w:themeColor="text1"/>
          <w:sz w:val="32"/>
          <w:szCs w:val="32"/>
          <w:lang w:eastAsia="en-GB"/>
        </w:rPr>
        <w:t>x 100%</w:t>
      </w:r>
    </w:p>
    <w:p w:rsidR="007104F1" w:rsidRPr="00066541" w:rsidRDefault="007104F1" w:rsidP="007104F1">
      <w:pPr>
        <w:spacing w:after="0"/>
        <w:rPr>
          <w:rFonts w:cstheme="majorBidi"/>
          <w:color w:val="000000" w:themeColor="text1"/>
          <w:lang w:eastAsia="en-GB"/>
        </w:rPr>
      </w:pPr>
      <w:r w:rsidRPr="00066541">
        <w:rPr>
          <w:rFonts w:cstheme="majorBidi"/>
          <w:color w:val="000000" w:themeColor="text1"/>
          <w:lang w:eastAsia="en-GB"/>
        </w:rPr>
        <w:t>4. Variabel Profitabilitas (X</w:t>
      </w:r>
      <w:r w:rsidRPr="00066541">
        <w:rPr>
          <w:rFonts w:cstheme="majorBidi"/>
          <w:color w:val="000000" w:themeColor="text1"/>
          <w:vertAlign w:val="subscript"/>
          <w:lang w:eastAsia="en-GB"/>
        </w:rPr>
        <w:t>3</w:t>
      </w:r>
      <w:r w:rsidRPr="00066541">
        <w:rPr>
          <w:rFonts w:cstheme="majorBidi"/>
          <w:color w:val="000000" w:themeColor="text1"/>
          <w:lang w:eastAsia="en-GB"/>
        </w:rPr>
        <w:t>)</w:t>
      </w:r>
    </w:p>
    <w:p w:rsidR="007104F1" w:rsidRPr="00066541" w:rsidRDefault="007104F1" w:rsidP="007104F1">
      <w:pPr>
        <w:ind w:firstLine="567"/>
        <w:jc w:val="both"/>
        <w:rPr>
          <w:color w:val="000000" w:themeColor="text1"/>
        </w:rPr>
      </w:pPr>
      <w:r w:rsidRPr="00066541">
        <w:rPr>
          <w:color w:val="000000" w:themeColor="text1"/>
        </w:rPr>
        <w:t xml:space="preserve">Sebuah ukuran keuangan yang disebut </w:t>
      </w:r>
      <w:r w:rsidRPr="00066541">
        <w:rPr>
          <w:i/>
          <w:iCs/>
          <w:color w:val="000000" w:themeColor="text1"/>
        </w:rPr>
        <w:t>return on assets</w:t>
      </w:r>
      <w:r w:rsidRPr="00066541">
        <w:rPr>
          <w:color w:val="000000" w:themeColor="text1"/>
        </w:rPr>
        <w:t xml:space="preserve"> (ROA) dipakai guna mengaudit seberapa baik sebuah bisnis menggunakan semua asetnya untuk menghasilkan pendapatan bersih. Rumus untuk ROA:</w:t>
      </w:r>
    </w:p>
    <w:p w:rsidR="007104F1" w:rsidRPr="00066541" w:rsidRDefault="007104F1" w:rsidP="007104F1">
      <w:pPr>
        <w:ind w:left="284"/>
        <w:jc w:val="both"/>
        <w:rPr>
          <w:rFonts w:cstheme="majorBidi"/>
          <w:color w:val="000000" w:themeColor="text1"/>
          <w:sz w:val="28"/>
          <w:szCs w:val="28"/>
        </w:rPr>
      </w:pPr>
      <w:r w:rsidRPr="00066541">
        <w:rPr>
          <w:rFonts w:cstheme="majorBidi"/>
          <w:i/>
          <w:iCs/>
          <w:color w:val="000000" w:themeColor="text1"/>
          <w:sz w:val="28"/>
          <w:szCs w:val="28"/>
          <w:lang w:eastAsia="en-GB"/>
        </w:rPr>
        <w:t xml:space="preserve">Return On Assets </w:t>
      </w:r>
      <w:r w:rsidRPr="00066541">
        <w:rPr>
          <w:rFonts w:cstheme="majorBidi"/>
          <w:color w:val="000000" w:themeColor="text1"/>
          <w:sz w:val="28"/>
          <w:szCs w:val="28"/>
          <w:lang w:eastAsia="en-GB"/>
        </w:rPr>
        <w:t xml:space="preserve">= </w:t>
      </w:r>
      <m:oMath>
        <m:f>
          <m:fPr>
            <m:ctrlPr>
              <w:rPr>
                <w:rFonts w:ascii="Cambria Math" w:hAnsi="Cambria Math" w:cstheme="majorBidi"/>
                <w:iCs/>
                <w:color w:val="000000" w:themeColor="text1"/>
                <w:sz w:val="28"/>
                <w:szCs w:val="28"/>
                <w:lang w:eastAsia="en-GB"/>
              </w:rPr>
            </m:ctrlPr>
          </m:fPr>
          <m:num>
            <m:r>
              <m:rPr>
                <m:sty m:val="p"/>
              </m:rPr>
              <w:rPr>
                <w:rFonts w:ascii="Cambria Math" w:hAnsi="Cambria Math" w:cstheme="majorBidi"/>
                <w:color w:val="000000" w:themeColor="text1"/>
                <w:sz w:val="28"/>
                <w:szCs w:val="28"/>
                <w:lang w:eastAsia="en-GB"/>
              </w:rPr>
              <m:t>Laba Setelah Bunga dan Pajak</m:t>
            </m:r>
          </m:num>
          <m:den>
            <m:r>
              <m:rPr>
                <m:sty m:val="p"/>
              </m:rPr>
              <w:rPr>
                <w:rFonts w:ascii="Cambria Math" w:hAnsi="Cambria Math" w:cstheme="majorBidi"/>
                <w:color w:val="000000" w:themeColor="text1"/>
                <w:sz w:val="28"/>
                <w:szCs w:val="28"/>
                <w:lang w:eastAsia="en-GB"/>
              </w:rPr>
              <m:t>Total Aset</m:t>
            </m:r>
          </m:den>
        </m:f>
      </m:oMath>
      <w:r w:rsidRPr="00066541">
        <w:rPr>
          <w:rFonts w:eastAsiaTheme="minorEastAsia" w:cstheme="majorBidi"/>
          <w:iCs/>
          <w:color w:val="000000" w:themeColor="text1"/>
          <w:sz w:val="28"/>
          <w:szCs w:val="28"/>
          <w:lang w:eastAsia="en-GB"/>
        </w:rPr>
        <w:t xml:space="preserve"> x 100 %</w:t>
      </w:r>
    </w:p>
    <w:p w:rsidR="007104F1" w:rsidRPr="00066541" w:rsidRDefault="007104F1" w:rsidP="007104F1">
      <w:pPr>
        <w:pStyle w:val="Heading2"/>
        <w:rPr>
          <w:lang w:eastAsia="en-GB"/>
        </w:rPr>
      </w:pPr>
      <w:bookmarkStart w:id="17" w:name="_Toc201095837"/>
      <w:r w:rsidRPr="00066541">
        <w:rPr>
          <w:lang w:eastAsia="en-GB"/>
        </w:rPr>
        <w:t>3.6 Teknik Pengumpulan Data</w:t>
      </w:r>
      <w:bookmarkEnd w:id="17"/>
    </w:p>
    <w:p w:rsidR="007104F1" w:rsidRPr="00066541" w:rsidRDefault="007104F1" w:rsidP="007104F1">
      <w:pPr>
        <w:spacing w:after="0"/>
        <w:ind w:firstLine="567"/>
        <w:jc w:val="both"/>
        <w:rPr>
          <w:color w:val="000000" w:themeColor="text1"/>
        </w:rPr>
      </w:pPr>
      <w:r w:rsidRPr="00066541">
        <w:rPr>
          <w:color w:val="000000" w:themeColor="text1"/>
        </w:rPr>
        <w:t>Teknik pengumpulan data adalah fase yang paling krusial dalam penelitian karena tujuan utamanya adalah untuk memperoleh data (Sugiyono, 2019). Peneliti tidak akan dapat mendapatkan data yang memenuhi standar data yang ditetapkan jika mereka tidak akrab dengan metodologi pengumpulan data. Dalam studi ini, penulis menggunakan teknik dokumentasi dan wawancara.</w:t>
      </w:r>
    </w:p>
    <w:p w:rsidR="007104F1" w:rsidRPr="00066541" w:rsidRDefault="007104F1" w:rsidP="007104F1">
      <w:pPr>
        <w:spacing w:after="0"/>
        <w:ind w:firstLine="567"/>
        <w:jc w:val="both"/>
        <w:rPr>
          <w:color w:val="000000" w:themeColor="text1"/>
        </w:rPr>
      </w:pPr>
      <w:r w:rsidRPr="00066541">
        <w:rPr>
          <w:color w:val="000000" w:themeColor="text1"/>
        </w:rPr>
        <w:t>Metode dokumenter/dokumentasi ialah teknik pengumpulan dan menginterpretasikan data dari berbagai sumber, seperti arsip, laporan, atau buku. Data untuk studi ini dikumpulkan dari laporan keuangan PT. Panji Anugerah Sentosa Medan (neraca dan laporan laba rugi) untuk tahun fiskal 2022–2024.</w:t>
      </w:r>
    </w:p>
    <w:p w:rsidR="007104F1" w:rsidRPr="00066541" w:rsidRDefault="007104F1" w:rsidP="007104F1">
      <w:pPr>
        <w:spacing w:after="0"/>
        <w:ind w:firstLine="567"/>
        <w:jc w:val="both"/>
        <w:rPr>
          <w:color w:val="000000" w:themeColor="text1"/>
        </w:rPr>
      </w:pPr>
      <w:bookmarkStart w:id="18" w:name="_Toc201095838"/>
      <w:r w:rsidRPr="00066541">
        <w:rPr>
          <w:color w:val="000000" w:themeColor="text1"/>
        </w:rPr>
        <w:t xml:space="preserve">Teknik wawancara adalah salah satu jenis pendekatan pengumpulan data yang melibatkan interaksi langsung antara peneliti (pewawancara) dan responden </w:t>
      </w:r>
      <w:r w:rsidRPr="00066541">
        <w:rPr>
          <w:color w:val="000000" w:themeColor="text1"/>
        </w:rPr>
        <w:lastRenderedPageBreak/>
        <w:t>(sumber). Tujuannya adalah untuk menyelidiki informasi yang terkait dengan topik atau topik yang sedang dipertimbangkan sehingga data yang diperoleh dapat membantu proses analisis mendalam.</w:t>
      </w:r>
    </w:p>
    <w:p w:rsidR="007104F1" w:rsidRPr="00066541" w:rsidRDefault="007104F1" w:rsidP="007104F1">
      <w:pPr>
        <w:pStyle w:val="Heading2"/>
        <w:spacing w:before="0"/>
        <w:rPr>
          <w:lang w:eastAsia="en-GB"/>
        </w:rPr>
      </w:pPr>
      <w:r w:rsidRPr="00066541">
        <w:rPr>
          <w:lang w:eastAsia="en-GB"/>
        </w:rPr>
        <w:t>3.7 Teknik Analisis Data</w:t>
      </w:r>
      <w:bookmarkEnd w:id="18"/>
    </w:p>
    <w:p w:rsidR="007104F1" w:rsidRPr="00066541" w:rsidRDefault="007104F1" w:rsidP="007104F1">
      <w:pPr>
        <w:pStyle w:val="Heading3"/>
        <w:spacing w:before="0"/>
      </w:pPr>
      <w:bookmarkStart w:id="19" w:name="_TOC_250034"/>
      <w:bookmarkStart w:id="20" w:name="_Toc201095839"/>
      <w:r w:rsidRPr="00066541">
        <w:t>3.7.1 UjiAsumsi</w:t>
      </w:r>
      <w:bookmarkEnd w:id="19"/>
      <w:r w:rsidRPr="00066541">
        <w:rPr>
          <w:spacing w:val="-2"/>
        </w:rPr>
        <w:t>Klasik</w:t>
      </w:r>
      <w:bookmarkEnd w:id="20"/>
    </w:p>
    <w:p w:rsidR="007104F1" w:rsidRPr="00066541" w:rsidRDefault="007104F1" w:rsidP="007104F1">
      <w:pPr>
        <w:spacing w:after="0"/>
        <w:ind w:firstLine="567"/>
        <w:jc w:val="both"/>
        <w:rPr>
          <w:b/>
          <w:bCs/>
          <w:iCs/>
          <w:color w:val="000000" w:themeColor="text1"/>
        </w:rPr>
      </w:pPr>
      <w:r w:rsidRPr="00066541">
        <w:rPr>
          <w:color w:val="000000" w:themeColor="text1"/>
        </w:rPr>
        <w:t>Uji asumsi klasik memegang peranan fundamental guna mengonfirmasi validitas struktural dari model regresi yang diimplementasikan dalam studi ini, guna memastikan bahwasanya estimasi parameter yang dihasilkan bersifat tidak bias, efisien, dan dapat diandalkan secara statistik dalam merepresentasikan hubungan antar variabel. Tiga pengujian utama dilakukan pada penelitian kali ini, uji heteroskedastisitas guna menentukan varians residual sama, uji multikolinearitas untuk menemukan korelasi antara variabel independen, dan uji normalitas untuk memverifikasi distribusi data.</w:t>
      </w:r>
    </w:p>
    <w:p w:rsidR="007104F1" w:rsidRPr="00066541" w:rsidRDefault="007104F1" w:rsidP="007104F1">
      <w:pPr>
        <w:pStyle w:val="Heading4"/>
        <w:spacing w:before="0"/>
      </w:pPr>
      <w:r w:rsidRPr="00066541">
        <w:t>3.7.1.1 Uji Normalitas</w:t>
      </w:r>
    </w:p>
    <w:p w:rsidR="007104F1" w:rsidRPr="00066541" w:rsidRDefault="007104F1" w:rsidP="007104F1">
      <w:pPr>
        <w:spacing w:after="0"/>
        <w:ind w:firstLine="567"/>
        <w:jc w:val="both"/>
        <w:rPr>
          <w:color w:val="000000" w:themeColor="text1"/>
        </w:rPr>
      </w:pPr>
      <w:r w:rsidRPr="00066541">
        <w:rPr>
          <w:color w:val="000000" w:themeColor="text1"/>
        </w:rPr>
        <w:t xml:space="preserve">Menurut (Sugiyono, 2019), salah satu persyaratan utama dalam analisis regresi adalah bahwasanya data residual memenuhi asumsi normalitas, itulah sebabnya pengujian ini penting. Proses pengujian normalitas dapat dilakukan dengan dua pendekatan: pertama, melalui metode grafis seperti grafik </w:t>
      </w:r>
      <w:r w:rsidRPr="00066541">
        <w:rPr>
          <w:i/>
          <w:iCs/>
          <w:color w:val="000000" w:themeColor="text1"/>
        </w:rPr>
        <w:t>normal probability plot (P-P Plot)</w:t>
      </w:r>
      <w:r w:rsidRPr="00066541">
        <w:rPr>
          <w:color w:val="000000" w:themeColor="text1"/>
        </w:rPr>
        <w:t xml:space="preserve">, dan kedua, dengan memakai metode statistik seperti uji </w:t>
      </w:r>
      <w:r w:rsidRPr="00066541">
        <w:rPr>
          <w:i/>
          <w:iCs/>
          <w:color w:val="000000" w:themeColor="text1"/>
        </w:rPr>
        <w:t>Kolmogorov-Smirnov</w:t>
      </w:r>
      <w:r w:rsidRPr="00066541">
        <w:rPr>
          <w:color w:val="000000" w:themeColor="text1"/>
        </w:rPr>
        <w:t>. Data dapat dianggap terdistribusi secara teratur jika uji statistik mendapatkan nilai signifikansi &gt; dari 0,05.</w:t>
      </w:r>
    </w:p>
    <w:p w:rsidR="007104F1" w:rsidRPr="00066541" w:rsidRDefault="007104F1" w:rsidP="007104F1">
      <w:pPr>
        <w:pStyle w:val="Heading4"/>
        <w:spacing w:before="0"/>
      </w:pPr>
      <w:r w:rsidRPr="00066541">
        <w:lastRenderedPageBreak/>
        <w:t>3.7.1.2 Uji Multikoliniearitas</w:t>
      </w:r>
    </w:p>
    <w:p w:rsidR="007104F1" w:rsidRPr="00066541" w:rsidRDefault="007104F1" w:rsidP="007104F1">
      <w:pPr>
        <w:spacing w:after="0"/>
        <w:ind w:firstLine="567"/>
        <w:jc w:val="both"/>
        <w:rPr>
          <w:rFonts w:cstheme="majorBidi"/>
          <w:color w:val="000000" w:themeColor="text1"/>
        </w:rPr>
      </w:pPr>
      <w:r w:rsidRPr="00066541">
        <w:rPr>
          <w:rFonts w:cstheme="majorBidi"/>
          <w:color w:val="000000" w:themeColor="text1"/>
        </w:rPr>
        <w:t xml:space="preserve">Uji multikolinearitas bertujuan guna mengidentifikasi adanya korelasi antar variabel bebas (independen) dalam model regresi atau tidak. Idealnya, variabel-variabel independen (bebas) dalam model regresi tidak saling berkorelasi, sehingga masing-masing variabel dapat memberikan kontribusi yang unik dalam menjelaskan variabel dependen. </w:t>
      </w:r>
      <w:bookmarkStart w:id="21" w:name="_TOC_250031"/>
    </w:p>
    <w:p w:rsidR="007104F1" w:rsidRPr="00066541" w:rsidRDefault="007104F1" w:rsidP="007104F1">
      <w:pPr>
        <w:spacing w:after="0"/>
        <w:ind w:firstLine="720"/>
        <w:jc w:val="both"/>
        <w:rPr>
          <w:color w:val="000000" w:themeColor="text1"/>
        </w:rPr>
      </w:pPr>
      <w:r w:rsidRPr="00066541">
        <w:rPr>
          <w:color w:val="000000" w:themeColor="text1"/>
        </w:rPr>
        <w:t xml:space="preserve">Menurut Sugiyono (2019), deteksi terhadap gejala multikolinearitas dalam model regresi dapat dilakukan dengan cara interpretasi terhadap nilai </w:t>
      </w:r>
      <w:r w:rsidRPr="00066541">
        <w:rPr>
          <w:i/>
          <w:iCs/>
          <w:color w:val="000000" w:themeColor="text1"/>
        </w:rPr>
        <w:t>Variance Inflation Factor</w:t>
      </w:r>
      <w:r w:rsidRPr="00066541">
        <w:rPr>
          <w:color w:val="000000" w:themeColor="text1"/>
        </w:rPr>
        <w:t xml:space="preserve"> (VIF) dan tingkat toleransi. Suatu model regresi dinyatakan bebas dari indikasi multikolinearitas jika nilai toleransi melebihi ambang batas 0,10 dan VIF berada di bawah angka 10. Sebaliknya, apabila toleransi berada di bawah 0,10 atau VIF melampaui nilai 10, maka dapat disimpulkan bahwasanya multikolinearitas hadir secara signifikan dalam struktur model yang diuji.</w:t>
      </w:r>
    </w:p>
    <w:p w:rsidR="007104F1" w:rsidRPr="00066541" w:rsidRDefault="007104F1" w:rsidP="007104F1">
      <w:pPr>
        <w:spacing w:after="0"/>
        <w:ind w:firstLine="567"/>
        <w:jc w:val="both"/>
        <w:rPr>
          <w:rFonts w:cstheme="majorBidi"/>
          <w:color w:val="000000" w:themeColor="text1"/>
        </w:rPr>
      </w:pPr>
      <w:r w:rsidRPr="00066541">
        <w:rPr>
          <w:rFonts w:cstheme="majorBidi"/>
          <w:color w:val="000000" w:themeColor="text1"/>
        </w:rPr>
        <w:t xml:space="preserve">Multikolinearitas dapat menyebabkan </w:t>
      </w:r>
      <w:r w:rsidRPr="00066541">
        <w:rPr>
          <w:rStyle w:val="Strong"/>
          <w:rFonts w:cstheme="majorBidi"/>
          <w:color w:val="000000" w:themeColor="text1"/>
        </w:rPr>
        <w:t>koefisien regresi menjadi tidak stabil</w:t>
      </w:r>
      <w:r w:rsidRPr="00066541">
        <w:rPr>
          <w:rFonts w:cstheme="majorBidi"/>
          <w:color w:val="000000" w:themeColor="text1"/>
        </w:rPr>
        <w:t xml:space="preserve">dan meningkatkan </w:t>
      </w:r>
      <w:r w:rsidRPr="00066541">
        <w:rPr>
          <w:rStyle w:val="Strong"/>
          <w:rFonts w:cstheme="majorBidi"/>
          <w:color w:val="000000" w:themeColor="text1"/>
        </w:rPr>
        <w:t>standar error</w:t>
      </w:r>
      <w:r w:rsidRPr="00066541">
        <w:rPr>
          <w:rFonts w:cstheme="majorBidi"/>
          <w:b/>
          <w:bCs/>
          <w:color w:val="000000" w:themeColor="text1"/>
        </w:rPr>
        <w:t>,</w:t>
      </w:r>
      <w:r w:rsidRPr="00066541">
        <w:rPr>
          <w:rFonts w:cstheme="majorBidi"/>
          <w:color w:val="000000" w:themeColor="text1"/>
        </w:rPr>
        <w:t xml:space="preserve"> sehingga hasil estimasi model menjadi tidak dapat dipercaya. Oleh karena itu, pengujian terhadap gejala ini penting dilakukan agar model regresi mematuhi asumsi dasar dan hasilnya valid untuk digunakan dalam pengambilan keputusan.</w:t>
      </w:r>
    </w:p>
    <w:p w:rsidR="007104F1" w:rsidRPr="00066541" w:rsidRDefault="007104F1" w:rsidP="007104F1">
      <w:pPr>
        <w:pStyle w:val="Heading4"/>
        <w:spacing w:before="0"/>
      </w:pPr>
      <w:r w:rsidRPr="00066541">
        <w:t>3.7.1.3 Uji</w:t>
      </w:r>
      <w:bookmarkEnd w:id="21"/>
      <w:r w:rsidRPr="00066541">
        <w:t xml:space="preserve"> Heteroskedastisitas</w:t>
      </w:r>
    </w:p>
    <w:p w:rsidR="007104F1" w:rsidRPr="00066541" w:rsidRDefault="007104F1" w:rsidP="007104F1">
      <w:pPr>
        <w:spacing w:after="0"/>
        <w:ind w:firstLine="567"/>
        <w:jc w:val="both"/>
        <w:rPr>
          <w:color w:val="000000" w:themeColor="text1"/>
        </w:rPr>
      </w:pPr>
      <w:bookmarkStart w:id="22" w:name="_Toc201095840"/>
      <w:r w:rsidRPr="00066541">
        <w:rPr>
          <w:color w:val="000000" w:themeColor="text1"/>
        </w:rPr>
        <w:t xml:space="preserve">Dilakukannya uji heteroskedastisitas ialah guna mengetahui apakah residual dalam setiap pengamatan model regresi memperlihatkan ketidaksamaan varians (Sugiyono, 2019). Kondisi ini dikenal sebagai homoskedastisitas ketika varians residual adalah konstan, dan heteroskedastisitas ketika varians residual tidak </w:t>
      </w:r>
      <w:r w:rsidRPr="00066541">
        <w:rPr>
          <w:color w:val="000000" w:themeColor="text1"/>
        </w:rPr>
        <w:lastRenderedPageBreak/>
        <w:t>konstan. Estimasi parameter yang tidak efektif dapat diakibatkan oleh heteroskedastisitas pada model regresi. Ada dua cara untuk menemukan heteroskedastisitas.Yang pertama, grafik scatterplot ZPRED dan SRESID digunakan sebagai alat bantu visual. Tidak adanya pola dan titik-titik tersebar secara acak di sepanjang sumbu horizontal, maka tidak ada heteroskedastisitas.</w:t>
      </w:r>
    </w:p>
    <w:p w:rsidR="007104F1" w:rsidRPr="00066541" w:rsidRDefault="007104F1" w:rsidP="007104F1">
      <w:pPr>
        <w:spacing w:after="0"/>
        <w:ind w:firstLine="567"/>
        <w:jc w:val="both"/>
        <w:rPr>
          <w:color w:val="000000" w:themeColor="text1"/>
          <w:bdr w:val="single" w:sz="2" w:space="0" w:color="E4E4E7" w:frame="1"/>
          <w:shd w:val="clear" w:color="auto" w:fill="FFFFFF"/>
        </w:rPr>
      </w:pPr>
      <w:r w:rsidRPr="00066541">
        <w:rPr>
          <w:color w:val="000000" w:themeColor="text1"/>
        </w:rPr>
        <w:t xml:space="preserve">Kedua, uji statistik yang meregresikan nilai absolut residual terhadap variabel independen, seperti uji Glejser. Heteroskedastisitas tidak ada dalam model jika tingkat signifikansi melampaui 0,05. Model regresi yang memenuhi asumsi homoskedastisitas dianggap baik. </w:t>
      </w:r>
      <w:r w:rsidRPr="00066541">
        <w:rPr>
          <w:rFonts w:cstheme="majorBidi"/>
          <w:color w:val="000000" w:themeColor="text1"/>
          <w:lang w:val="en-GB" w:eastAsia="en-GB"/>
        </w:rPr>
        <w:t>Dengan demikian, model regresi yang baik adalah model yang memenuhi asumsi homoskedastisitas</w:t>
      </w:r>
      <w:r w:rsidRPr="00066541">
        <w:rPr>
          <w:rFonts w:cstheme="majorBidi"/>
          <w:color w:val="000000" w:themeColor="text1"/>
          <w:lang w:eastAsia="en-GB"/>
        </w:rPr>
        <w:t>.</w:t>
      </w:r>
    </w:p>
    <w:p w:rsidR="007104F1" w:rsidRPr="00066541" w:rsidRDefault="007104F1" w:rsidP="007104F1">
      <w:pPr>
        <w:pStyle w:val="Heading3"/>
        <w:spacing w:before="0"/>
        <w:jc w:val="both"/>
      </w:pPr>
      <w:r w:rsidRPr="00066541">
        <w:t>3.7.2 Uji Analisis</w:t>
      </w:r>
      <w:r w:rsidRPr="00066541">
        <w:rPr>
          <w:spacing w:val="-3"/>
        </w:rPr>
        <w:t xml:space="preserve"> Persamaan </w:t>
      </w:r>
      <w:r w:rsidRPr="00066541">
        <w:t>RegresiLinearBerganda</w:t>
      </w:r>
      <w:bookmarkEnd w:id="22"/>
    </w:p>
    <w:p w:rsidR="007104F1" w:rsidRPr="00066541" w:rsidRDefault="007104F1" w:rsidP="007104F1">
      <w:pPr>
        <w:spacing w:after="0"/>
        <w:ind w:firstLine="567"/>
        <w:jc w:val="both"/>
        <w:rPr>
          <w:color w:val="000000" w:themeColor="text1"/>
        </w:rPr>
      </w:pPr>
      <w:r w:rsidRPr="00066541">
        <w:rPr>
          <w:color w:val="000000" w:themeColor="text1"/>
        </w:rPr>
        <w:t>Regresi linier berganda, seperti yang didefinisikan oleh (Sugiyono, 2019), adalah metode statistik untuk menyelidiki dan memperkirakan efek simultan dari berbagai variabel independen terhadap satu variabel dependen. Dalam penelitian ini, analisis regresi digunakan sebagai metode inferensial untuk menentukan sejauh mana dimensi likuiditas, solvabilitas, dan profitabilitas dapat menjelaskan perbedaan dalam kinerja keuangan perusahaan (Y) sebagai variabel dependen. Bentuk matematis dari model regresi linier berganda yang dipakai dalam penyelidikan ini dapat diuraikan sebagai berikut:</w:t>
      </w:r>
    </w:p>
    <w:p w:rsidR="007104F1" w:rsidRPr="00066541" w:rsidRDefault="007104F1" w:rsidP="007104F1">
      <w:pPr>
        <w:spacing w:after="0"/>
        <w:rPr>
          <w:rFonts w:cstheme="majorBidi"/>
          <w:color w:val="000000" w:themeColor="text1"/>
        </w:rPr>
      </w:pPr>
      <w:r w:rsidRPr="00066541">
        <w:rPr>
          <w:rStyle w:val="mord"/>
          <w:rFonts w:cstheme="majorBidi"/>
          <w:color w:val="000000" w:themeColor="text1"/>
        </w:rPr>
        <w:t xml:space="preserve">Y </w:t>
      </w:r>
      <w:r w:rsidRPr="00066541">
        <w:rPr>
          <w:rStyle w:val="mrel"/>
          <w:rFonts w:cstheme="majorBidi"/>
          <w:color w:val="000000" w:themeColor="text1"/>
        </w:rPr>
        <w:t xml:space="preserve">= </w:t>
      </w:r>
      <w:r w:rsidRPr="00066541">
        <w:rPr>
          <w:rStyle w:val="mord"/>
          <w:rFonts w:cstheme="majorBidi"/>
          <w:color w:val="000000" w:themeColor="text1"/>
        </w:rPr>
        <w:t xml:space="preserve">α </w:t>
      </w:r>
      <w:r w:rsidRPr="00066541">
        <w:rPr>
          <w:rStyle w:val="mbin"/>
          <w:rFonts w:cstheme="majorBidi"/>
          <w:color w:val="000000" w:themeColor="text1"/>
        </w:rPr>
        <w:t xml:space="preserve">+ </w:t>
      </w:r>
      <w:r w:rsidRPr="00066541">
        <w:rPr>
          <w:rStyle w:val="mord"/>
          <w:rFonts w:cstheme="majorBidi"/>
          <w:color w:val="000000" w:themeColor="text1"/>
        </w:rPr>
        <w:t>β1</w:t>
      </w:r>
      <w:r w:rsidRPr="00066541">
        <w:rPr>
          <w:rStyle w:val="vlist-s"/>
          <w:rFonts w:cstheme="majorBidi"/>
          <w:color w:val="000000" w:themeColor="text1"/>
        </w:rPr>
        <w:t>​</w:t>
      </w:r>
      <w:r w:rsidRPr="00066541">
        <w:rPr>
          <w:rStyle w:val="mord"/>
          <w:rFonts w:cstheme="majorBidi"/>
          <w:color w:val="000000" w:themeColor="text1"/>
        </w:rPr>
        <w:t>X1</w:t>
      </w:r>
      <w:r w:rsidRPr="00066541">
        <w:rPr>
          <w:rStyle w:val="vlist-s"/>
          <w:rFonts w:cstheme="majorBidi"/>
          <w:color w:val="000000" w:themeColor="text1"/>
        </w:rPr>
        <w:t>​</w:t>
      </w:r>
      <w:r w:rsidRPr="00066541">
        <w:rPr>
          <w:rStyle w:val="mbin"/>
          <w:rFonts w:cstheme="majorBidi"/>
          <w:color w:val="000000" w:themeColor="text1"/>
        </w:rPr>
        <w:t>+</w:t>
      </w:r>
      <w:r w:rsidRPr="00066541">
        <w:rPr>
          <w:rStyle w:val="mord"/>
          <w:rFonts w:cstheme="majorBidi"/>
          <w:color w:val="000000" w:themeColor="text1"/>
        </w:rPr>
        <w:t>β2</w:t>
      </w:r>
      <w:r w:rsidRPr="00066541">
        <w:rPr>
          <w:rStyle w:val="vlist-s"/>
          <w:rFonts w:cstheme="majorBidi"/>
          <w:color w:val="000000" w:themeColor="text1"/>
        </w:rPr>
        <w:t>​</w:t>
      </w:r>
      <w:r w:rsidRPr="00066541">
        <w:rPr>
          <w:rStyle w:val="mord"/>
          <w:rFonts w:cstheme="majorBidi"/>
          <w:color w:val="000000" w:themeColor="text1"/>
        </w:rPr>
        <w:t>X2</w:t>
      </w:r>
      <w:r w:rsidRPr="00066541">
        <w:rPr>
          <w:rStyle w:val="vlist-s"/>
          <w:rFonts w:cstheme="majorBidi"/>
          <w:color w:val="000000" w:themeColor="text1"/>
        </w:rPr>
        <w:t>​</w:t>
      </w:r>
      <w:r w:rsidRPr="00066541">
        <w:rPr>
          <w:rStyle w:val="mbin"/>
          <w:rFonts w:cstheme="majorBidi"/>
          <w:color w:val="000000" w:themeColor="text1"/>
        </w:rPr>
        <w:t>+</w:t>
      </w:r>
      <w:r w:rsidRPr="00066541">
        <w:rPr>
          <w:rStyle w:val="mord"/>
          <w:rFonts w:cstheme="majorBidi"/>
          <w:color w:val="000000" w:themeColor="text1"/>
        </w:rPr>
        <w:t>β3</w:t>
      </w:r>
      <w:r w:rsidRPr="00066541">
        <w:rPr>
          <w:rStyle w:val="vlist-s"/>
          <w:rFonts w:cstheme="majorBidi"/>
          <w:color w:val="000000" w:themeColor="text1"/>
        </w:rPr>
        <w:t>​</w:t>
      </w:r>
      <w:r w:rsidRPr="00066541">
        <w:rPr>
          <w:rStyle w:val="mord"/>
          <w:rFonts w:cstheme="majorBidi"/>
          <w:color w:val="000000" w:themeColor="text1"/>
        </w:rPr>
        <w:t>X3</w:t>
      </w:r>
      <w:r w:rsidRPr="00066541">
        <w:rPr>
          <w:rStyle w:val="mbin"/>
          <w:rFonts w:cstheme="majorBidi"/>
          <w:color w:val="000000" w:themeColor="text1"/>
        </w:rPr>
        <w:t>+</w:t>
      </w:r>
      <w:r w:rsidRPr="00066541">
        <w:rPr>
          <w:rStyle w:val="mord"/>
          <w:rFonts w:cstheme="majorBidi"/>
          <w:color w:val="000000" w:themeColor="text1"/>
        </w:rPr>
        <w:t xml:space="preserve"> e</w:t>
      </w:r>
    </w:p>
    <w:p w:rsidR="007104F1" w:rsidRPr="00066541" w:rsidRDefault="007104F1" w:rsidP="007104F1">
      <w:pPr>
        <w:spacing w:after="0"/>
        <w:rPr>
          <w:rFonts w:cstheme="majorBidi"/>
          <w:color w:val="000000" w:themeColor="text1"/>
        </w:rPr>
      </w:pPr>
      <w:r w:rsidRPr="00066541">
        <w:rPr>
          <w:rFonts w:cstheme="majorBidi"/>
          <w:color w:val="000000" w:themeColor="text1"/>
        </w:rPr>
        <w:t>Keterangan:</w:t>
      </w:r>
    </w:p>
    <w:p w:rsidR="007104F1" w:rsidRPr="00066541" w:rsidRDefault="007104F1" w:rsidP="007104F1">
      <w:pPr>
        <w:spacing w:after="0"/>
        <w:rPr>
          <w:rFonts w:cstheme="majorBidi"/>
          <w:color w:val="000000" w:themeColor="text1"/>
        </w:rPr>
      </w:pPr>
      <w:r w:rsidRPr="00066541">
        <w:rPr>
          <w:rStyle w:val="Strong"/>
          <w:rFonts w:cstheme="majorBidi"/>
          <w:color w:val="000000" w:themeColor="text1"/>
        </w:rPr>
        <w:t>Y</w:t>
      </w:r>
      <w:r w:rsidRPr="00066541">
        <w:rPr>
          <w:rFonts w:cstheme="majorBidi"/>
          <w:color w:val="000000" w:themeColor="text1"/>
        </w:rPr>
        <w:tab/>
        <w:t>: Variabel dependen (Kinerja Keuangan)</w:t>
      </w:r>
    </w:p>
    <w:p w:rsidR="007104F1" w:rsidRPr="00066541" w:rsidRDefault="007104F1" w:rsidP="007104F1">
      <w:pPr>
        <w:spacing w:after="0"/>
        <w:rPr>
          <w:rFonts w:cstheme="majorBidi"/>
          <w:color w:val="000000" w:themeColor="text1"/>
        </w:rPr>
      </w:pPr>
      <w:r w:rsidRPr="00066541">
        <w:rPr>
          <w:rStyle w:val="Strong"/>
          <w:rFonts w:cstheme="majorBidi"/>
          <w:color w:val="000000" w:themeColor="text1"/>
        </w:rPr>
        <w:t>α</w:t>
      </w:r>
      <w:r w:rsidRPr="00066541">
        <w:rPr>
          <w:rStyle w:val="Strong"/>
          <w:rFonts w:cstheme="majorBidi"/>
          <w:color w:val="000000" w:themeColor="text1"/>
        </w:rPr>
        <w:tab/>
        <w:t xml:space="preserve">: </w:t>
      </w:r>
      <w:r w:rsidRPr="00066541">
        <w:rPr>
          <w:rFonts w:cstheme="majorBidi"/>
          <w:color w:val="000000" w:themeColor="text1"/>
        </w:rPr>
        <w:t>Konstanta regresi (intersep)</w:t>
      </w:r>
    </w:p>
    <w:p w:rsidR="007104F1" w:rsidRPr="00066541" w:rsidRDefault="007104F1" w:rsidP="007104F1">
      <w:pPr>
        <w:spacing w:after="0"/>
        <w:rPr>
          <w:rFonts w:cstheme="majorBidi"/>
          <w:color w:val="000000" w:themeColor="text1"/>
        </w:rPr>
      </w:pPr>
      <w:r w:rsidRPr="00066541">
        <w:rPr>
          <w:rStyle w:val="Strong"/>
          <w:rFonts w:cstheme="majorBidi"/>
          <w:color w:val="000000" w:themeColor="text1"/>
        </w:rPr>
        <w:lastRenderedPageBreak/>
        <w:t>β₁X</w:t>
      </w:r>
      <w:r w:rsidRPr="00066541">
        <w:rPr>
          <w:rStyle w:val="Strong"/>
          <w:rFonts w:cstheme="majorBidi"/>
          <w:color w:val="000000" w:themeColor="text1"/>
          <w:vertAlign w:val="subscript"/>
        </w:rPr>
        <w:t>1</w:t>
      </w:r>
      <w:r w:rsidRPr="00066541">
        <w:rPr>
          <w:rFonts w:cstheme="majorBidi"/>
          <w:color w:val="000000" w:themeColor="text1"/>
        </w:rPr>
        <w:tab/>
        <w:t>: Nilai Koefisien  variabel Likuiditas</w:t>
      </w:r>
    </w:p>
    <w:p w:rsidR="007104F1" w:rsidRPr="00066541" w:rsidRDefault="007104F1" w:rsidP="007104F1">
      <w:pPr>
        <w:spacing w:after="0"/>
        <w:rPr>
          <w:rFonts w:cstheme="majorBidi"/>
          <w:color w:val="000000" w:themeColor="text1"/>
        </w:rPr>
      </w:pPr>
      <w:r w:rsidRPr="00066541">
        <w:rPr>
          <w:rStyle w:val="Strong"/>
          <w:rFonts w:cstheme="majorBidi"/>
          <w:color w:val="000000" w:themeColor="text1"/>
        </w:rPr>
        <w:t>β</w:t>
      </w:r>
      <w:r w:rsidRPr="00066541">
        <w:rPr>
          <w:rStyle w:val="Strong"/>
          <w:rFonts w:cstheme="majorBidi"/>
          <w:color w:val="000000" w:themeColor="text1"/>
          <w:vertAlign w:val="subscript"/>
        </w:rPr>
        <w:t>2</w:t>
      </w:r>
      <w:r w:rsidRPr="00066541">
        <w:rPr>
          <w:rStyle w:val="Strong"/>
          <w:rFonts w:cstheme="majorBidi"/>
          <w:color w:val="000000" w:themeColor="text1"/>
        </w:rPr>
        <w:t>X</w:t>
      </w:r>
      <w:r w:rsidRPr="00066541">
        <w:rPr>
          <w:rStyle w:val="Strong"/>
          <w:rFonts w:cstheme="majorBidi"/>
          <w:color w:val="000000" w:themeColor="text1"/>
          <w:vertAlign w:val="subscript"/>
        </w:rPr>
        <w:t>2</w:t>
      </w:r>
      <w:r w:rsidRPr="00066541">
        <w:rPr>
          <w:rFonts w:cstheme="majorBidi"/>
          <w:color w:val="000000" w:themeColor="text1"/>
        </w:rPr>
        <w:tab/>
        <w:t>: Nilai Koefisien variabel Solvabilitas</w:t>
      </w:r>
    </w:p>
    <w:p w:rsidR="007104F1" w:rsidRPr="00066541" w:rsidRDefault="007104F1" w:rsidP="007104F1">
      <w:pPr>
        <w:spacing w:after="0"/>
        <w:rPr>
          <w:rFonts w:cstheme="majorBidi"/>
          <w:color w:val="000000" w:themeColor="text1"/>
        </w:rPr>
      </w:pPr>
      <w:r w:rsidRPr="00066541">
        <w:rPr>
          <w:rStyle w:val="Strong"/>
          <w:rFonts w:cstheme="majorBidi"/>
          <w:color w:val="000000" w:themeColor="text1"/>
        </w:rPr>
        <w:t>β</w:t>
      </w:r>
      <w:r w:rsidRPr="00066541">
        <w:rPr>
          <w:rStyle w:val="Strong"/>
          <w:rFonts w:cstheme="majorBidi"/>
          <w:color w:val="000000" w:themeColor="text1"/>
          <w:vertAlign w:val="subscript"/>
        </w:rPr>
        <w:t>3</w:t>
      </w:r>
      <w:r w:rsidRPr="00066541">
        <w:rPr>
          <w:rStyle w:val="Strong"/>
          <w:rFonts w:cstheme="majorBidi"/>
          <w:color w:val="000000" w:themeColor="text1"/>
        </w:rPr>
        <w:t>X</w:t>
      </w:r>
      <w:r w:rsidRPr="00066541">
        <w:rPr>
          <w:rStyle w:val="Strong"/>
          <w:rFonts w:cstheme="majorBidi"/>
          <w:color w:val="000000" w:themeColor="text1"/>
          <w:vertAlign w:val="subscript"/>
        </w:rPr>
        <w:t>3</w:t>
      </w:r>
      <w:r w:rsidRPr="00066541">
        <w:rPr>
          <w:rFonts w:cstheme="majorBidi"/>
          <w:color w:val="000000" w:themeColor="text1"/>
        </w:rPr>
        <w:tab/>
        <w:t>: Nilai Koefisien variabel Profitabilitas</w:t>
      </w:r>
    </w:p>
    <w:p w:rsidR="007104F1" w:rsidRPr="00066541" w:rsidRDefault="007104F1" w:rsidP="007104F1">
      <w:pPr>
        <w:spacing w:after="0"/>
        <w:rPr>
          <w:rFonts w:cstheme="majorBidi"/>
          <w:color w:val="000000" w:themeColor="text1"/>
        </w:rPr>
      </w:pPr>
      <w:r w:rsidRPr="00066541">
        <w:rPr>
          <w:rFonts w:cstheme="majorBidi"/>
          <w:color w:val="000000" w:themeColor="text1"/>
        </w:rPr>
        <w:t xml:space="preserve">e </w:t>
      </w:r>
      <w:r w:rsidRPr="00066541">
        <w:rPr>
          <w:rFonts w:cstheme="majorBidi"/>
          <w:color w:val="000000" w:themeColor="text1"/>
        </w:rPr>
        <w:tab/>
        <w:t>: Error</w:t>
      </w:r>
    </w:p>
    <w:p w:rsidR="007104F1" w:rsidRPr="00066541" w:rsidRDefault="007104F1" w:rsidP="007104F1">
      <w:pPr>
        <w:pStyle w:val="Heading3"/>
        <w:spacing w:before="0"/>
      </w:pPr>
      <w:bookmarkStart w:id="23" w:name="_Toc201095841"/>
      <w:r w:rsidRPr="00066541">
        <w:t>3.7.3 Uji Hipotesis</w:t>
      </w:r>
      <w:bookmarkEnd w:id="23"/>
    </w:p>
    <w:p w:rsidR="007104F1" w:rsidRPr="00066541" w:rsidRDefault="007104F1" w:rsidP="007104F1">
      <w:pPr>
        <w:spacing w:after="0"/>
        <w:ind w:firstLine="567"/>
        <w:jc w:val="both"/>
        <w:rPr>
          <w:color w:val="000000" w:themeColor="text1"/>
        </w:rPr>
      </w:pPr>
      <w:r w:rsidRPr="00066541">
        <w:rPr>
          <w:color w:val="000000" w:themeColor="text1"/>
        </w:rPr>
        <w:t>Menurut (Sugiyono, 2019), ini dilihat sebagai klaim tentang keadaan populasi (parameter), yang akan divalidasi menggunakan data dari sampel studi (statistik). Berikut ini dianggap untuk menentukan kriteria menerima atau menolak hipotesis.</w:t>
      </w:r>
    </w:p>
    <w:p w:rsidR="007104F1" w:rsidRPr="00066541" w:rsidRDefault="007104F1" w:rsidP="007104F1">
      <w:pPr>
        <w:pStyle w:val="Heading4"/>
        <w:spacing w:before="0"/>
      </w:pPr>
      <w:r w:rsidRPr="00066541">
        <w:t xml:space="preserve">3.7.3.1 Uji F </w:t>
      </w:r>
    </w:p>
    <w:p w:rsidR="007104F1" w:rsidRPr="00066541" w:rsidRDefault="007104F1" w:rsidP="007104F1">
      <w:pPr>
        <w:ind w:firstLine="567"/>
        <w:jc w:val="both"/>
        <w:rPr>
          <w:color w:val="000000" w:themeColor="text1"/>
        </w:rPr>
      </w:pPr>
      <w:r w:rsidRPr="00066541">
        <w:rPr>
          <w:color w:val="000000" w:themeColor="text1"/>
        </w:rPr>
        <w:t>Uji F adalah alat statistik guna menentukan pentingnya kumulatif variabel independen terhadap variabel dependen dalam model regresi. Menurut (Sugiyono, 2019), uji ini bertujuan guna mengetahui apakah semua prediktor model berkontribusi secara signifikan terhadap perubahan variabel respons secara bersamaan. Pengujian ini menggunakan α sebesar 0,05 sebagai tingkat signifikansi untuk pengambilan keputusan inferensial.</w:t>
      </w:r>
    </w:p>
    <w:p w:rsidR="007104F1" w:rsidRPr="00066541" w:rsidRDefault="007104F1" w:rsidP="007104F1">
      <w:pPr>
        <w:pStyle w:val="ListParagraph"/>
        <w:numPr>
          <w:ilvl w:val="0"/>
          <w:numId w:val="15"/>
        </w:numPr>
        <w:ind w:left="284" w:hanging="284"/>
        <w:jc w:val="both"/>
        <w:rPr>
          <w:color w:val="000000" w:themeColor="text1"/>
        </w:rPr>
      </w:pPr>
      <w:r w:rsidRPr="00066541">
        <w:rPr>
          <w:rFonts w:cstheme="majorBidi"/>
          <w:color w:val="000000" w:themeColor="text1"/>
        </w:rPr>
        <w:t xml:space="preserve">Jika </w:t>
      </w:r>
      <w:r w:rsidRPr="00066541">
        <w:rPr>
          <w:rStyle w:val="Strong"/>
          <w:rFonts w:cstheme="majorBidi"/>
          <w:color w:val="000000" w:themeColor="text1"/>
        </w:rPr>
        <w:t>F</w:t>
      </w:r>
      <w:r w:rsidRPr="00066541">
        <w:rPr>
          <w:rStyle w:val="Strong"/>
          <w:rFonts w:cstheme="majorBidi"/>
          <w:color w:val="000000" w:themeColor="text1"/>
          <w:vertAlign w:val="subscript"/>
        </w:rPr>
        <w:t>hitung</w:t>
      </w:r>
      <w:r w:rsidRPr="00066541">
        <w:rPr>
          <w:rStyle w:val="Strong"/>
          <w:rFonts w:cstheme="majorBidi"/>
          <w:color w:val="000000" w:themeColor="text1"/>
        </w:rPr>
        <w:t xml:space="preserve">&gt; F tabel, </w:t>
      </w:r>
      <w:r w:rsidRPr="00066541">
        <w:rPr>
          <w:rFonts w:cstheme="majorBidi"/>
          <w:color w:val="000000" w:themeColor="text1"/>
        </w:rPr>
        <w:t xml:space="preserve">maka </w:t>
      </w:r>
      <w:r w:rsidRPr="00066541">
        <w:rPr>
          <w:rStyle w:val="Strong"/>
          <w:rFonts w:cstheme="majorBidi"/>
          <w:color w:val="000000" w:themeColor="text1"/>
        </w:rPr>
        <w:t>H₀ ditolak</w:t>
      </w:r>
      <w:r w:rsidRPr="00066541">
        <w:rPr>
          <w:rFonts w:cstheme="majorBidi"/>
          <w:color w:val="000000" w:themeColor="text1"/>
        </w:rPr>
        <w:t>, artinya model regresi secara keseluruhan signifikan.</w:t>
      </w:r>
    </w:p>
    <w:p w:rsidR="007104F1" w:rsidRPr="00066541" w:rsidRDefault="007104F1" w:rsidP="007104F1">
      <w:pPr>
        <w:pStyle w:val="ListParagraph"/>
        <w:numPr>
          <w:ilvl w:val="0"/>
          <w:numId w:val="15"/>
        </w:numPr>
        <w:spacing w:after="0"/>
        <w:ind w:left="284" w:hanging="284"/>
        <w:jc w:val="both"/>
        <w:rPr>
          <w:rFonts w:cstheme="majorBidi"/>
          <w:color w:val="000000" w:themeColor="text1"/>
          <w:lang w:eastAsia="en-GB"/>
        </w:rPr>
      </w:pPr>
      <w:r w:rsidRPr="00066541">
        <w:rPr>
          <w:rFonts w:cstheme="majorBidi"/>
          <w:color w:val="000000" w:themeColor="text1"/>
          <w:lang w:val="en-US"/>
        </w:rPr>
        <w:t>Jika F</w:t>
      </w:r>
      <w:r w:rsidRPr="00066541">
        <w:rPr>
          <w:rFonts w:cstheme="majorBidi"/>
          <w:color w:val="000000" w:themeColor="text1"/>
          <w:vertAlign w:val="subscript"/>
          <w:lang w:val="en-US"/>
        </w:rPr>
        <w:t>hitung</w:t>
      </w:r>
      <m:oMath>
        <m:r>
          <w:rPr>
            <w:rFonts w:ascii="Cambria Math" w:hAnsi="Cambria Math" w:cstheme="majorBidi"/>
            <w:color w:val="000000" w:themeColor="text1"/>
            <w:lang w:val="en-US"/>
          </w:rPr>
          <m:t>≤</m:t>
        </m:r>
      </m:oMath>
      <w:r w:rsidRPr="00066541">
        <w:rPr>
          <w:rFonts w:cstheme="majorBidi"/>
          <w:color w:val="000000" w:themeColor="text1"/>
          <w:lang w:val="en-US"/>
        </w:rPr>
        <w:t xml:space="preserve"> F tabel, </w:t>
      </w:r>
      <w:r w:rsidRPr="00066541">
        <w:rPr>
          <w:rFonts w:cstheme="majorBidi"/>
          <w:color w:val="000000" w:themeColor="text1"/>
        </w:rPr>
        <w:t xml:space="preserve">maka </w:t>
      </w:r>
      <w:r w:rsidRPr="00066541">
        <w:rPr>
          <w:rStyle w:val="Strong"/>
          <w:rFonts w:cstheme="majorBidi"/>
          <w:color w:val="000000" w:themeColor="text1"/>
        </w:rPr>
        <w:t xml:space="preserve">H₀ diterima, </w:t>
      </w:r>
      <w:r w:rsidRPr="00066541">
        <w:rPr>
          <w:rFonts w:cstheme="majorBidi"/>
          <w:color w:val="000000" w:themeColor="text1"/>
        </w:rPr>
        <w:t>artinya model regresi secara keseluruhan tidak signifikan.</w:t>
      </w:r>
    </w:p>
    <w:p w:rsidR="007104F1" w:rsidRPr="00066541" w:rsidRDefault="007104F1" w:rsidP="007104F1">
      <w:pPr>
        <w:pStyle w:val="Heading4"/>
        <w:spacing w:before="0"/>
        <w:rPr>
          <w:lang w:eastAsia="en-GB"/>
        </w:rPr>
      </w:pPr>
      <w:r w:rsidRPr="00066541">
        <w:rPr>
          <w:lang w:eastAsia="en-GB"/>
        </w:rPr>
        <w:t>3.7.3.2 Uji t</w:t>
      </w:r>
    </w:p>
    <w:p w:rsidR="007104F1" w:rsidRPr="00066541" w:rsidRDefault="007104F1" w:rsidP="007104F1">
      <w:pPr>
        <w:ind w:firstLine="284"/>
        <w:jc w:val="both"/>
        <w:rPr>
          <w:color w:val="000000" w:themeColor="text1"/>
        </w:rPr>
      </w:pPr>
      <w:r w:rsidRPr="00066541">
        <w:rPr>
          <w:color w:val="000000" w:themeColor="text1"/>
        </w:rPr>
        <w:t xml:space="preserve">Uji t ialah metode analisis yang menilai sejauh mana setiap variabel independen memengaruhi variabel dependen secara independen, klaim (Sugiyono,  </w:t>
      </w:r>
      <w:r w:rsidRPr="00066541">
        <w:rPr>
          <w:color w:val="000000" w:themeColor="text1"/>
        </w:rPr>
        <w:lastRenderedPageBreak/>
        <w:t>2019). Persyaratan berikut harus dipenuhi untuk menggunakan uji t pada tingkat signifikansi 0,05 (α = 5%).</w:t>
      </w:r>
    </w:p>
    <w:p w:rsidR="007104F1" w:rsidRPr="00066541" w:rsidRDefault="007104F1" w:rsidP="007104F1">
      <w:pPr>
        <w:pStyle w:val="ListParagraph"/>
        <w:numPr>
          <w:ilvl w:val="6"/>
          <w:numId w:val="14"/>
        </w:numPr>
        <w:spacing w:after="0"/>
        <w:ind w:left="284" w:hanging="284"/>
        <w:jc w:val="both"/>
        <w:rPr>
          <w:rFonts w:cstheme="majorBidi"/>
          <w:color w:val="000000" w:themeColor="text1"/>
          <w:lang w:val="en-US"/>
        </w:rPr>
      </w:pPr>
      <w:r w:rsidRPr="00066541">
        <w:rPr>
          <w:rFonts w:cstheme="majorBidi"/>
          <w:color w:val="000000" w:themeColor="text1"/>
          <w:lang w:val="en-US"/>
        </w:rPr>
        <w:t>Jika t</w:t>
      </w:r>
      <w:r w:rsidRPr="00066541">
        <w:rPr>
          <w:rFonts w:cstheme="majorBidi"/>
          <w:color w:val="000000" w:themeColor="text1"/>
          <w:vertAlign w:val="subscript"/>
        </w:rPr>
        <w:t xml:space="preserve"> hitung</w:t>
      </w:r>
      <w:r w:rsidRPr="00066541">
        <w:rPr>
          <w:rFonts w:cstheme="majorBidi"/>
          <w:color w:val="000000" w:themeColor="text1"/>
          <w:lang w:val="en-US"/>
        </w:rPr>
        <w:t>&gt; t</w:t>
      </w:r>
      <w:r w:rsidRPr="00066541">
        <w:rPr>
          <w:rFonts w:cstheme="majorBidi"/>
          <w:color w:val="000000" w:themeColor="text1"/>
          <w:vertAlign w:val="subscript"/>
          <w:lang w:val="en-US"/>
        </w:rPr>
        <w:t>tabel</w:t>
      </w:r>
      <w:r w:rsidRPr="00066541">
        <w:rPr>
          <w:rFonts w:cstheme="majorBidi"/>
          <w:color w:val="000000" w:themeColor="text1"/>
          <w:lang w:val="en-US"/>
        </w:rPr>
        <w:t xml:space="preserve"> pada </w:t>
      </w:r>
      <m:oMath>
        <m:r>
          <w:rPr>
            <w:rFonts w:ascii="Cambria Math" w:hAnsi="Cambria Math" w:cstheme="majorBidi"/>
            <w:color w:val="000000" w:themeColor="text1"/>
            <w:lang w:val="en-US"/>
          </w:rPr>
          <m:t>α</m:t>
        </m:r>
      </m:oMath>
      <w:r w:rsidRPr="00066541">
        <w:rPr>
          <w:rFonts w:cstheme="majorBidi"/>
          <w:color w:val="000000" w:themeColor="text1"/>
          <w:lang w:val="en-US"/>
        </w:rPr>
        <w:t xml:space="preserve"> = 5% maka H</w:t>
      </w:r>
      <w:r w:rsidRPr="00066541">
        <w:rPr>
          <w:rFonts w:cstheme="majorBidi"/>
          <w:color w:val="000000" w:themeColor="text1"/>
          <w:vertAlign w:val="subscript"/>
          <w:lang w:val="en-US"/>
        </w:rPr>
        <w:t>0</w:t>
      </w:r>
      <w:r w:rsidRPr="00066541">
        <w:rPr>
          <w:rFonts w:cstheme="majorBidi"/>
          <w:color w:val="000000" w:themeColor="text1"/>
          <w:lang w:val="en-US"/>
        </w:rPr>
        <w:t xml:space="preserve"> ditolak dan H1 diterima (berpengaruh).</w:t>
      </w:r>
    </w:p>
    <w:p w:rsidR="007104F1" w:rsidRPr="00066541" w:rsidRDefault="007104F1" w:rsidP="007104F1">
      <w:pPr>
        <w:numPr>
          <w:ilvl w:val="6"/>
          <w:numId w:val="14"/>
        </w:numPr>
        <w:spacing w:after="0"/>
        <w:ind w:left="284" w:hanging="284"/>
        <w:jc w:val="both"/>
        <w:rPr>
          <w:rFonts w:cstheme="majorBidi"/>
          <w:color w:val="000000" w:themeColor="text1"/>
          <w:lang w:val="en-US"/>
        </w:rPr>
      </w:pPr>
      <w:r w:rsidRPr="00066541">
        <w:rPr>
          <w:rFonts w:cstheme="majorBidi"/>
          <w:color w:val="000000" w:themeColor="text1"/>
          <w:lang w:val="en-US"/>
        </w:rPr>
        <w:t>Jika t</w:t>
      </w:r>
      <w:r w:rsidRPr="00066541">
        <w:rPr>
          <w:rFonts w:cstheme="majorBidi"/>
          <w:color w:val="000000" w:themeColor="text1"/>
          <w:vertAlign w:val="subscript"/>
          <w:lang w:val="en-US"/>
        </w:rPr>
        <w:t>hitung</w:t>
      </w:r>
      <w:r w:rsidRPr="00066541">
        <w:rPr>
          <w:rFonts w:cstheme="majorBidi"/>
          <w:color w:val="000000" w:themeColor="text1"/>
          <w:lang w:val="en-US"/>
        </w:rPr>
        <w:t>&lt; t</w:t>
      </w:r>
      <w:r w:rsidRPr="00066541">
        <w:rPr>
          <w:rFonts w:cstheme="majorBidi"/>
          <w:color w:val="000000" w:themeColor="text1"/>
          <w:vertAlign w:val="subscript"/>
          <w:lang w:val="en-US"/>
        </w:rPr>
        <w:t>tabel</w:t>
      </w:r>
      <w:r w:rsidRPr="00066541">
        <w:rPr>
          <w:rFonts w:cstheme="majorBidi"/>
          <w:color w:val="000000" w:themeColor="text1"/>
          <w:lang w:val="en-US"/>
        </w:rPr>
        <w:t xml:space="preserve"> pada </w:t>
      </w:r>
      <m:oMath>
        <m:r>
          <w:rPr>
            <w:rFonts w:ascii="Cambria Math" w:hAnsi="Cambria Math" w:cstheme="majorBidi"/>
            <w:color w:val="000000" w:themeColor="text1"/>
            <w:lang w:val="en-US"/>
          </w:rPr>
          <m:t>α</m:t>
        </m:r>
      </m:oMath>
      <w:r w:rsidRPr="00066541">
        <w:rPr>
          <w:rFonts w:cstheme="majorBidi"/>
          <w:color w:val="000000" w:themeColor="text1"/>
          <w:lang w:val="en-US"/>
        </w:rPr>
        <w:t xml:space="preserve"> = 5% maka H</w:t>
      </w:r>
      <w:r w:rsidRPr="00066541">
        <w:rPr>
          <w:rFonts w:cstheme="majorBidi"/>
          <w:color w:val="000000" w:themeColor="text1"/>
          <w:vertAlign w:val="subscript"/>
          <w:lang w:val="en-US"/>
        </w:rPr>
        <w:t>0</w:t>
      </w:r>
      <w:r w:rsidRPr="00066541">
        <w:rPr>
          <w:rFonts w:cstheme="majorBidi"/>
          <w:color w:val="000000" w:themeColor="text1"/>
          <w:lang w:val="en-US"/>
        </w:rPr>
        <w:t xml:space="preserve"> diterima dan H1, ditolak (tidak berpengaruh)</w:t>
      </w:r>
    </w:p>
    <w:p w:rsidR="007104F1" w:rsidRPr="00066541" w:rsidRDefault="007104F1" w:rsidP="007104F1">
      <w:pPr>
        <w:pStyle w:val="Heading4"/>
        <w:spacing w:before="0"/>
      </w:pPr>
      <w:r w:rsidRPr="00066541">
        <w:t>3.7.3.3 Koefisien Determinasi (R</w:t>
      </w:r>
      <w:r w:rsidRPr="00066541">
        <w:rPr>
          <w:vertAlign w:val="superscript"/>
        </w:rPr>
        <w:t>2</w:t>
      </w:r>
      <w:r w:rsidRPr="00066541">
        <w:t>)</w:t>
      </w:r>
    </w:p>
    <w:p w:rsidR="00CE2AFA" w:rsidRPr="007104F1" w:rsidRDefault="007104F1" w:rsidP="007104F1">
      <w:r w:rsidRPr="00066541">
        <w:rPr>
          <w:color w:val="000000" w:themeColor="text1"/>
        </w:rPr>
        <w:t>Koefisien determinasi (R2) dalam analisis regresi menunjukkan seberapa banyak varians dalam variabel dependen dapat diuraikan oleh variabel independen model (Sugiyono, 2019).Skor ini merupakan ukuran kuantitatif seberapa baik model statistik yang digunakan dapat secara eksperimental dan substantif menggambarkan variasi data.</w:t>
      </w:r>
    </w:p>
    <w:sectPr w:rsidR="00CE2AFA" w:rsidRPr="007104F1" w:rsidSect="00E76007">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700" w:rsidRDefault="00062700" w:rsidP="006751B6">
      <w:pPr>
        <w:spacing w:after="0" w:line="240" w:lineRule="auto"/>
      </w:pPr>
      <w:r>
        <w:separator/>
      </w:r>
    </w:p>
  </w:endnote>
  <w:endnote w:type="continuationSeparator" w:id="1">
    <w:p w:rsidR="00062700" w:rsidRDefault="00062700" w:rsidP="00675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75" w:rsidRDefault="00FF23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28846300"/>
      <w:docPartObj>
        <w:docPartGallery w:val="Page Numbers (Bottom of Page)"/>
        <w:docPartUnique/>
      </w:docPartObj>
    </w:sdtPr>
    <w:sdtEndPr>
      <w:rPr>
        <w:noProof/>
      </w:rPr>
    </w:sdtEndPr>
    <w:sdtContent>
      <w:p w:rsidR="004C6F3B" w:rsidRDefault="006751B6">
        <w:pPr>
          <w:pStyle w:val="Footer"/>
          <w:jc w:val="center"/>
        </w:pPr>
        <w:r>
          <w:rPr>
            <w:noProof w:val="0"/>
          </w:rPr>
          <w:fldChar w:fldCharType="begin"/>
        </w:r>
        <w:r w:rsidR="007104F1">
          <w:instrText xml:space="preserve"> PAGE   \* MERGEFORMAT </w:instrText>
        </w:r>
        <w:r>
          <w:rPr>
            <w:noProof w:val="0"/>
          </w:rPr>
          <w:fldChar w:fldCharType="separate"/>
        </w:r>
        <w:r w:rsidR="00FF2375">
          <w:t>11</w:t>
        </w:r>
        <w:r>
          <w:fldChar w:fldCharType="end"/>
        </w:r>
      </w:p>
    </w:sdtContent>
  </w:sdt>
  <w:p w:rsidR="004C6F3B" w:rsidRDefault="00062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75" w:rsidRDefault="00FF23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700" w:rsidRDefault="00062700" w:rsidP="006751B6">
      <w:pPr>
        <w:spacing w:after="0" w:line="240" w:lineRule="auto"/>
      </w:pPr>
      <w:r>
        <w:separator/>
      </w:r>
    </w:p>
  </w:footnote>
  <w:footnote w:type="continuationSeparator" w:id="1">
    <w:p w:rsidR="00062700" w:rsidRDefault="00062700" w:rsidP="006751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6751B6">
    <w:pPr>
      <w:pStyle w:val="Header"/>
    </w:pPr>
    <w:r w:rsidRPr="006751B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3"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75" w:rsidRDefault="00FF2375" w:rsidP="00FF2375">
    <w:pPr>
      <w:pStyle w:val="Header"/>
      <w:jc w:val="right"/>
    </w:pPr>
    <w:r>
      <w:t>PUBLISH: 19/11/2025 15:42:39</w:t>
    </w:r>
  </w:p>
  <w:p w:rsidR="004C6F3B" w:rsidRDefault="006751B6" w:rsidP="00F01602">
    <w:pPr>
      <w:pStyle w:val="Header"/>
      <w:jc w:val="right"/>
    </w:pPr>
    <w:r w:rsidRPr="006751B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4"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4C6F3B" w:rsidRDefault="00062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6751B6">
    <w:pPr>
      <w:pStyle w:val="Header"/>
    </w:pPr>
    <w:r w:rsidRPr="006751B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2"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6ED679C2"/>
    <w:lvl w:ilvl="0">
      <w:start w:val="1"/>
      <w:numFmt w:val="none"/>
      <w:lvlText w:val="3.7.1"/>
      <w:lvlJc w:val="left"/>
      <w:pPr>
        <w:ind w:left="360" w:hanging="360"/>
      </w:pPr>
    </w:lvl>
    <w:lvl w:ilvl="1">
      <w:start w:val="1"/>
      <w:numFmt w:val="none"/>
      <w:lvlText w:val="3.7.2"/>
      <w:lvlJc w:val="left"/>
      <w:pPr>
        <w:ind w:left="720" w:hanging="360"/>
      </w:p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ajorBidi" w:eastAsiaTheme="minorHAnsi" w:hAnsiTheme="majorBidi" w:cstheme="maj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220637"/>
    <w:multiLevelType w:val="hybridMultilevel"/>
    <w:tmpl w:val="25A8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8B4482"/>
    <w:multiLevelType w:val="hybridMultilevel"/>
    <w:tmpl w:val="ACCC9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92D01DE"/>
    <w:multiLevelType w:val="hybridMultilevel"/>
    <w:tmpl w:val="83C210FE"/>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7F6616"/>
    <w:multiLevelType w:val="hybridMultilevel"/>
    <w:tmpl w:val="55BCA7DA"/>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1154FC"/>
    <w:multiLevelType w:val="multilevel"/>
    <w:tmpl w:val="43080EA0"/>
    <w:lvl w:ilvl="0">
      <w:start w:val="1"/>
      <w:numFmt w:val="decimal"/>
      <w:lvlText w:val="%1."/>
      <w:lvlJc w:val="left"/>
      <w:pPr>
        <w:ind w:left="502" w:hanging="360"/>
      </w:pPr>
      <w:rPr>
        <w:rFonts w:hint="default"/>
      </w:rPr>
    </w:lvl>
    <w:lvl w:ilvl="1">
      <w:start w:val="7"/>
      <w:numFmt w:val="decimal"/>
      <w:isLgl/>
      <w:lvlText w:val="%1.%2"/>
      <w:lvlJc w:val="left"/>
      <w:pPr>
        <w:ind w:left="622" w:hanging="48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nsid w:val="45DB1F19"/>
    <w:multiLevelType w:val="hybridMultilevel"/>
    <w:tmpl w:val="06A42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6139B0"/>
    <w:multiLevelType w:val="hybridMultilevel"/>
    <w:tmpl w:val="E272B576"/>
    <w:lvl w:ilvl="0" w:tplc="0809000F">
      <w:start w:val="1"/>
      <w:numFmt w:val="decimal"/>
      <w:lvlText w:val="%1."/>
      <w:lvlJc w:val="left"/>
      <w:pPr>
        <w:ind w:left="720" w:hanging="360"/>
      </w:pPr>
    </w:lvl>
    <w:lvl w:ilvl="1" w:tplc="DF184C00">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4A6E23"/>
    <w:multiLevelType w:val="hybridMultilevel"/>
    <w:tmpl w:val="0C4AD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A300F5"/>
    <w:multiLevelType w:val="hybridMultilevel"/>
    <w:tmpl w:val="BAD2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B80518"/>
    <w:multiLevelType w:val="hybridMultilevel"/>
    <w:tmpl w:val="157C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B53A9F"/>
    <w:multiLevelType w:val="multilevel"/>
    <w:tmpl w:val="5D0AC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0E5A4F"/>
    <w:multiLevelType w:val="hybridMultilevel"/>
    <w:tmpl w:val="5BB001E2"/>
    <w:lvl w:ilvl="0" w:tplc="14D2FA00">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6DDE25C4"/>
    <w:multiLevelType w:val="hybridMultilevel"/>
    <w:tmpl w:val="2266E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D22A79"/>
    <w:multiLevelType w:val="hybridMultilevel"/>
    <w:tmpl w:val="38243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9"/>
  </w:num>
  <w:num w:numId="5">
    <w:abstractNumId w:val="7"/>
  </w:num>
  <w:num w:numId="6">
    <w:abstractNumId w:val="14"/>
  </w:num>
  <w:num w:numId="7">
    <w:abstractNumId w:val="13"/>
  </w:num>
  <w:num w:numId="8">
    <w:abstractNumId w:val="2"/>
  </w:num>
  <w:num w:numId="9">
    <w:abstractNumId w:val="10"/>
  </w:num>
  <w:num w:numId="10">
    <w:abstractNumId w:val="1"/>
  </w:num>
  <w:num w:numId="11">
    <w:abstractNumId w:val="5"/>
  </w:num>
  <w:num w:numId="12">
    <w:abstractNumId w:val="12"/>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OH41RdATpTQpjlCB6SLw9oFRqYY=" w:salt="svcJG2JbO3EmsG/IoBmQJ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007"/>
    <w:rsid w:val="00062700"/>
    <w:rsid w:val="0057063E"/>
    <w:rsid w:val="006751B6"/>
    <w:rsid w:val="007104F1"/>
    <w:rsid w:val="0092107C"/>
    <w:rsid w:val="00A41A7C"/>
    <w:rsid w:val="00B03184"/>
    <w:rsid w:val="00B5047F"/>
    <w:rsid w:val="00E76007"/>
    <w:rsid w:val="00FF23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val="id"/>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2025-11-19T08:45:00Z</dcterms:created>
  <dcterms:modified xsi:type="dcterms:W3CDTF">2025-11-19T08:45:00Z</dcterms:modified>
</cp:coreProperties>
</file>