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7C" w:rsidRPr="00066541" w:rsidRDefault="00A41A7C" w:rsidP="00A41A7C">
      <w:pPr>
        <w:pStyle w:val="Heading1"/>
        <w:spacing w:before="0"/>
      </w:pPr>
      <w:bookmarkStart w:id="0" w:name="_Toc201095815"/>
      <w:r w:rsidRPr="00066541">
        <w:t>BAB II</w:t>
      </w:r>
      <w:r w:rsidRPr="00066541">
        <w:br/>
        <w:t>TINJAUAN PUSTAKA</w:t>
      </w:r>
      <w:bookmarkEnd w:id="0"/>
    </w:p>
    <w:p w:rsidR="00A41A7C" w:rsidRPr="00066541" w:rsidRDefault="00A41A7C" w:rsidP="00A41A7C">
      <w:pPr>
        <w:pStyle w:val="Heading2"/>
        <w:spacing w:before="0"/>
      </w:pPr>
      <w:bookmarkStart w:id="1" w:name="_Toc201095816"/>
      <w:r w:rsidRPr="00066541">
        <w:t>2.1 Landasan Teori</w:t>
      </w:r>
      <w:bookmarkEnd w:id="1"/>
    </w:p>
    <w:p w:rsidR="00A41A7C" w:rsidRPr="00066541" w:rsidRDefault="00A41A7C" w:rsidP="00A41A7C">
      <w:pPr>
        <w:pStyle w:val="Heading3"/>
        <w:spacing w:before="0"/>
      </w:pPr>
      <w:bookmarkStart w:id="2" w:name="_Toc201095817"/>
      <w:r w:rsidRPr="00066541">
        <w:t>2.1.1 Rasio Likuiditas</w:t>
      </w:r>
      <w:bookmarkEnd w:id="2"/>
    </w:p>
    <w:p w:rsidR="00A41A7C" w:rsidRPr="00066541" w:rsidRDefault="00A41A7C" w:rsidP="00A41A7C">
      <w:pPr>
        <w:pStyle w:val="Heading4"/>
        <w:spacing w:before="0"/>
      </w:pPr>
      <w:r w:rsidRPr="00066541">
        <w:t>2.1.1.1 Pengertian Likuiditas</w:t>
      </w:r>
    </w:p>
    <w:p w:rsidR="00A41A7C" w:rsidRPr="00066541" w:rsidRDefault="00A41A7C" w:rsidP="00A41A7C">
      <w:pPr>
        <w:spacing w:after="0"/>
        <w:ind w:firstLine="567"/>
        <w:jc w:val="both"/>
        <w:rPr>
          <w:color w:val="000000" w:themeColor="text1"/>
        </w:rPr>
      </w:pPr>
      <w:r w:rsidRPr="00066541">
        <w:rPr>
          <w:color w:val="000000" w:themeColor="text1"/>
        </w:rPr>
        <w:t>Sebagaimana dikemukakan oleh (Kasmir, 2019), rasio likuiditas merupakan salah satu indikator esensial yang merefleksikan kapasitas entitas dalam memenuhi kewajiban finansial jangka pendek. Dalam arti lain, ketika perusahaan menghadapi tuntutan pelunasan utang yang telah jatuh tempo, keberadaan likuiditas yang memadai menjadi prasyarat krusial untuk menghindari potensi gagal bayar dan menjaga kredibilitas operasional.</w:t>
      </w:r>
    </w:p>
    <w:p w:rsidR="00A41A7C" w:rsidRPr="00066541" w:rsidRDefault="00A41A7C" w:rsidP="00A41A7C">
      <w:pPr>
        <w:spacing w:after="0"/>
        <w:ind w:firstLine="567"/>
        <w:jc w:val="both"/>
        <w:rPr>
          <w:rFonts w:cstheme="majorBidi"/>
          <w:color w:val="000000" w:themeColor="text1"/>
        </w:rPr>
      </w:pPr>
      <w:r w:rsidRPr="00066541">
        <w:rPr>
          <w:rFonts w:cstheme="majorBidi"/>
          <w:color w:val="000000" w:themeColor="text1"/>
        </w:rPr>
        <w:t xml:space="preserve">Sedangkan menurut </w:t>
      </w:r>
      <w:r w:rsidR="00986164" w:rsidRPr="00066541">
        <w:rPr>
          <w:rFonts w:cstheme="majorBidi"/>
          <w:color w:val="000000" w:themeColor="text1"/>
        </w:rPr>
        <w:fldChar w:fldCharType="begin" w:fldLock="1"/>
      </w:r>
      <w:r w:rsidRPr="00066541">
        <w:rPr>
          <w:rFonts w:cstheme="majorBidi"/>
          <w:color w:val="000000" w:themeColor="text1"/>
        </w:rPr>
        <w:instrText>ADDIN CSL_CITATION {"citationItems":[{"id":"ITEM-1","itemData":{"abstract":"Terdapat tiga sektor manufaktur yang ada di BEI 2023 antara lain sektor industri dasar dan kimia, aneka industri, dan industri barang konsumsi. Berikut daftar lengkap saham manufaktur yang terdaftar di BEI sesuai sektornya masing-masing.","author":[{"dropping-particle":"","family":"Wijayanti","given":"Ratih Ika","non-dropping-particle":"","parse-names":false,"suffix":""}],"container-title":"IDX Channel","id":"ITEM-1","issued":{"date-parts":[["2023"]]},"title":"Daftar Perusahaan Manufaktur yang Terdaftar di BEI 2023","type":"article-journal"},"uris":["http://www.mendeley.com/documents/?uuid=81ae52af-f730-48cd-9c09-958e8c663289"]}],"mendeley":{"formattedCitation":"(Wijayanti, 2023)","plainTextFormattedCitation":"(Wijayanti, 2023)","previouslyFormattedCitation":"(Wijayanti, 2023)"},"properties":{"noteIndex":0},"schema":"https://github.com/citation-style-language/schema/raw/master/csl-citation.json"}</w:instrText>
      </w:r>
      <w:r w:rsidR="00986164" w:rsidRPr="00066541">
        <w:rPr>
          <w:rFonts w:cstheme="majorBidi"/>
          <w:color w:val="000000" w:themeColor="text1"/>
        </w:rPr>
        <w:fldChar w:fldCharType="separate"/>
      </w:r>
      <w:r w:rsidRPr="00066541">
        <w:rPr>
          <w:rFonts w:cstheme="majorBidi"/>
          <w:color w:val="000000" w:themeColor="text1"/>
        </w:rPr>
        <w:t>(Wijayanti, 2023)</w:t>
      </w:r>
      <w:r w:rsidR="00986164" w:rsidRPr="00066541">
        <w:rPr>
          <w:rFonts w:cstheme="majorBidi"/>
          <w:color w:val="000000" w:themeColor="text1"/>
        </w:rPr>
        <w:fldChar w:fldCharType="end"/>
      </w:r>
      <w:r w:rsidRPr="00066541">
        <w:rPr>
          <w:rFonts w:cstheme="majorBidi"/>
          <w:color w:val="000000" w:themeColor="text1"/>
        </w:rPr>
        <w:t>, Rasio Likuiditas (</w:t>
      </w:r>
      <w:r w:rsidRPr="00066541">
        <w:rPr>
          <w:rFonts w:cstheme="majorBidi"/>
          <w:i/>
          <w:iCs/>
          <w:color w:val="000000" w:themeColor="text1"/>
        </w:rPr>
        <w:t>liquidity ratio</w:t>
      </w:r>
      <w:r w:rsidRPr="00066541">
        <w:rPr>
          <w:rFonts w:cstheme="majorBidi"/>
          <w:color w:val="000000" w:themeColor="text1"/>
        </w:rPr>
        <w:t xml:space="preserve">) adalah rasio yang menginterpretasikan kapabilitas perusahaan dalam mematuhi kewajiban (utang) jangka pendeknya yang akan jatuh tempo. Rasio likuiditas dibutuhkan untuk keperluan analisis kredit atau analisis risiko keuangan. </w:t>
      </w:r>
    </w:p>
    <w:p w:rsidR="00A41A7C" w:rsidRPr="00066541" w:rsidRDefault="00A41A7C" w:rsidP="00A41A7C">
      <w:pPr>
        <w:spacing w:after="0"/>
        <w:ind w:firstLine="567"/>
        <w:jc w:val="both"/>
        <w:rPr>
          <w:rFonts w:cstheme="majorBidi"/>
          <w:color w:val="000000" w:themeColor="text1"/>
        </w:rPr>
      </w:pPr>
      <w:r w:rsidRPr="00066541">
        <w:rPr>
          <w:rFonts w:cstheme="majorBidi"/>
          <w:color w:val="000000" w:themeColor="text1"/>
        </w:rPr>
        <w:t>Diketahui bahwa perusahaan yang memiliki rasio likuiditas yang besar berarti memiliki kapabilitas dalam melunasi utang jangka pendek atau dengan kata lain perusahaan tersebut disebut “Perusahaan yang Likuid”. Sedangkan perusahaan yang di nilai rasio nya  tidak memiliki kapabilitas cukup dalam melunasi utang jangka pendek nya perusahaan tersebut dapat dikatakan “Perusahaan yang iLikuid atau tidak Likuid”</w:t>
      </w:r>
    </w:p>
    <w:p w:rsidR="00A41A7C" w:rsidRPr="00066541" w:rsidRDefault="00A41A7C" w:rsidP="00A41A7C">
      <w:pPr>
        <w:pStyle w:val="Heading4"/>
        <w:spacing w:before="0"/>
        <w:sectPr w:rsidR="00A41A7C" w:rsidRPr="00066541" w:rsidSect="003B3F52">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docGrid w:linePitch="360"/>
        </w:sectPr>
      </w:pPr>
    </w:p>
    <w:p w:rsidR="00A41A7C" w:rsidRPr="00066541" w:rsidRDefault="00A41A7C" w:rsidP="00A41A7C">
      <w:pPr>
        <w:pStyle w:val="Heading4"/>
        <w:spacing w:before="0"/>
      </w:pPr>
      <w:r w:rsidRPr="00066541">
        <w:lastRenderedPageBreak/>
        <w:t>2.1.1.2 Pengukuran Rasio Likuiditas</w:t>
      </w:r>
    </w:p>
    <w:p w:rsidR="00A41A7C" w:rsidRPr="00066541" w:rsidRDefault="00A41A7C" w:rsidP="00A41A7C">
      <w:pPr>
        <w:tabs>
          <w:tab w:val="left" w:pos="567"/>
        </w:tabs>
        <w:spacing w:after="0"/>
        <w:rPr>
          <w:rFonts w:cstheme="majorBidi"/>
          <w:color w:val="000000" w:themeColor="text1"/>
        </w:rPr>
      </w:pPr>
      <w:r w:rsidRPr="00066541">
        <w:rPr>
          <w:rFonts w:cstheme="majorBidi"/>
          <w:color w:val="000000" w:themeColor="text1"/>
        </w:rPr>
        <w:tab/>
        <w:t xml:space="preserve">Menurut </w:t>
      </w:r>
      <w:r w:rsidR="00986164" w:rsidRPr="00066541">
        <w:rPr>
          <w:rFonts w:cstheme="majorBidi"/>
          <w:color w:val="000000" w:themeColor="text1"/>
        </w:rPr>
        <w:fldChar w:fldCharType="begin" w:fldLock="1"/>
      </w:r>
      <w:r w:rsidRPr="00066541">
        <w:rPr>
          <w:rFonts w:cstheme="majorBidi"/>
          <w:color w:val="000000" w:themeColor="text1"/>
        </w:rPr>
        <w:instrText>ADDIN CSL_CITATION {"citationItems":[{"id":"ITEM-1","itemData":{"ISBN":"978-623-362-279-0","abstract":"Seiring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Kata","author":[{"dropping-particle":"","family":"Sembiring","given":"Lenny Dermawan","non-dropping-particle":"","parse-names":false,"suffix":""}],"id":"ITEM-1","issued":{"date-parts":[["2021"]]},"number-of-pages":"167","title":"Analisis Laporan Keuangan","type":"book"},"uris":["http://www.mendeley.com/documents/?uuid=5bc6f384-9542-4e0c-8167-c220ed130e6c"]}],"mendeley":{"formattedCitation":"(Sembiring, 2021)","plainTextFormattedCitation":"(Sembiring, 2021)","previouslyFormattedCitation":"(Sembiring, 2021)"},"properties":{"noteIndex":0},"schema":"https://github.com/citation-style-language/schema/raw/master/csl-citation.json"}</w:instrText>
      </w:r>
      <w:r w:rsidR="00986164" w:rsidRPr="00066541">
        <w:rPr>
          <w:rFonts w:cstheme="majorBidi"/>
          <w:color w:val="000000" w:themeColor="text1"/>
        </w:rPr>
        <w:fldChar w:fldCharType="separate"/>
      </w:r>
      <w:r w:rsidRPr="00066541">
        <w:rPr>
          <w:rFonts w:cstheme="majorBidi"/>
          <w:color w:val="000000" w:themeColor="text1"/>
        </w:rPr>
        <w:t>(Sembiring, 2021)</w:t>
      </w:r>
      <w:r w:rsidR="00986164" w:rsidRPr="00066541">
        <w:rPr>
          <w:rFonts w:cstheme="majorBidi"/>
          <w:color w:val="000000" w:themeColor="text1"/>
        </w:rPr>
        <w:fldChar w:fldCharType="end"/>
      </w:r>
      <w:r w:rsidRPr="00066541">
        <w:rPr>
          <w:rFonts w:cstheme="majorBidi"/>
          <w:color w:val="000000" w:themeColor="text1"/>
        </w:rPr>
        <w:t xml:space="preserve"> Rasio likuiditas digunakan untuk kepentingan analisis kredit atau analisis risiko keuangan. Pengukuran rasio likuiditas terdiri atas: </w:t>
      </w:r>
    </w:p>
    <w:p w:rsidR="00A41A7C" w:rsidRPr="00066541" w:rsidRDefault="00A41A7C" w:rsidP="00A41A7C">
      <w:pPr>
        <w:pStyle w:val="ListParagraph"/>
        <w:numPr>
          <w:ilvl w:val="0"/>
          <w:numId w:val="10"/>
        </w:numPr>
        <w:spacing w:after="0"/>
        <w:ind w:left="426"/>
        <w:jc w:val="both"/>
        <w:rPr>
          <w:rFonts w:eastAsia="Times New Roman" w:cstheme="majorBidi"/>
          <w:noProof w:val="0"/>
          <w:color w:val="000000" w:themeColor="text1"/>
          <w:szCs w:val="24"/>
          <w:lang w:eastAsia="en-GB"/>
        </w:rPr>
      </w:pPr>
      <w:r w:rsidRPr="00066541">
        <w:rPr>
          <w:color w:val="000000" w:themeColor="text1"/>
        </w:rPr>
        <w:t>Rasio lancar mengukur kapabilitas perusahaan untuk mematuhi kewajiban jangka pendek yang segera jatuh tempo menggunakan aset lancar yang ada (Sembiring, 2021)..</w:t>
      </w:r>
      <w:r w:rsidRPr="00066541">
        <w:rPr>
          <w:rFonts w:eastAsia="Times New Roman" w:cstheme="majorBidi"/>
          <w:noProof w:val="0"/>
          <w:color w:val="000000" w:themeColor="text1"/>
          <w:szCs w:val="24"/>
          <w:lang w:val="en-GB" w:eastAsia="en-GB"/>
        </w:rPr>
        <w:t>Rasio ini dapat dihitung menggunakan rumus</w:t>
      </w:r>
      <w:r w:rsidR="00986164" w:rsidRPr="00066541">
        <w:rPr>
          <w:rFonts w:eastAsia="Times New Roman" w:cstheme="majorBidi"/>
          <w:noProof w:val="0"/>
          <w:color w:val="000000" w:themeColor="text1"/>
          <w:szCs w:val="24"/>
          <w:lang w:eastAsia="en-GB"/>
        </w:rPr>
        <w:fldChar w:fldCharType="begin" w:fldLock="1"/>
      </w:r>
      <w:r w:rsidRPr="00066541">
        <w:rPr>
          <w:rFonts w:eastAsia="Times New Roman" w:cstheme="majorBidi"/>
          <w:noProof w:val="0"/>
          <w:color w:val="000000" w:themeColor="text1"/>
          <w:szCs w:val="24"/>
          <w:lang w:eastAsia="en-GB"/>
        </w:rPr>
        <w:instrText>ADDIN CSL_CITATION {"citationItems":[{"id":"ITEM-1","itemData":{"ISSN":"2338-3631","abstract":"This study aims to determine the company's financial performance using financial ratio analysis. The financial ratios used are the ratios of liquidity, solvency, activity and profitability. The data analysis method used is descriptive analysis using quantitative data calculations in the form of financial statements. Based on the results of the overall liquidity ratio, the company's state is in good condition. Based on the sovability ratio in PT. Indofood CBP Sukses Makmur Tbk in 2016-2019 was declared in good condition because it was considered capable of meeting its long-term debt. For solvency ratios in PT. Indofood CBP Sukses Makmur Tbk in 2020-2021 was declared in a bad state because it could not meet its long-term debt. Based on the ratio of Activity as measured by receivable turn over, Fixed Asset Turn Over, Inventory Turn Over in PT. Indofood CBP Sukses Makmur Tbk in 2016-2021 was declared in good condition. However, the ratio measured by total assets turn over is considered less than optimal because in 2020-2021 there has been an increase in total assets. Based on profitability asio at PT. Indofood CBP Sukses Makmur Tbk in 2016-2021 was declared in a bad state. PT. Indofood CBP Sukses Makmur Tbk, must be able to manage its assets properly in order to be able to generate maximum profit from sales. PT. Indofood CBP Sukses Makmur Tbk, must be able to manage the company's assets and capital to increase sales so that the profits generated exceed the assets and capital owned.","author":[{"dropping-particle":"","family":"Irawan","given":"Riyan","non-dropping-particle":"","parse-names":false,"suffix":""},{"dropping-particle":"","family":"Suherman","given":"Enjang","non-dropping-particle":"","parse-names":false,"suffix":""},{"dropping-particle":"","family":"Hidayati","given":"Dwi Epty","non-dropping-particle":"","parse-names":false,"suffix":""}],"container-title":"International Journal of Applied Finance and Business Studies","id":"ITEM-1","issue":"2","issued":{"date-parts":[["2022"]]},"page":"92-103","title":"Analysis Of Liquidity Ratio, Solvency, Activity And Profitability In Assessing Financial Performance At Pt. Indofood Cbp Success Makmur Tbk","type":"article-journal","volume":"10"},"uris":["http://www.mendeley.com/documents/?uuid=2cf5c8bc-2162-46e8-9b92-7a97d5005797"]}],"mendeley":{"formattedCitation":"(Irawan et al., 2022)","plainTextFormattedCitation":"(Irawan et al., 2022)","previouslyFormattedCitation":"(Irawan et al., 2022)"},"properties":{"noteIndex":0},"schema":"https://github.com/citation-style-language/schema/raw/master/csl-citation.json"}</w:instrText>
      </w:r>
      <w:r w:rsidR="00986164" w:rsidRPr="00066541">
        <w:rPr>
          <w:rFonts w:eastAsia="Times New Roman" w:cstheme="majorBidi"/>
          <w:noProof w:val="0"/>
          <w:color w:val="000000" w:themeColor="text1"/>
          <w:szCs w:val="24"/>
          <w:lang w:eastAsia="en-GB"/>
        </w:rPr>
        <w:fldChar w:fldCharType="separate"/>
      </w:r>
      <w:r w:rsidRPr="00066541">
        <w:rPr>
          <w:rFonts w:eastAsia="Times New Roman" w:cstheme="majorBidi"/>
          <w:color w:val="000000" w:themeColor="text1"/>
          <w:szCs w:val="24"/>
          <w:lang w:eastAsia="en-GB"/>
        </w:rPr>
        <w:t>(Irawan et al., 2022)</w:t>
      </w:r>
      <w:r w:rsidR="00986164" w:rsidRPr="00066541">
        <w:rPr>
          <w:rFonts w:eastAsia="Times New Roman" w:cstheme="majorBidi"/>
          <w:noProof w:val="0"/>
          <w:color w:val="000000" w:themeColor="text1"/>
          <w:szCs w:val="24"/>
          <w:lang w:eastAsia="en-GB"/>
        </w:rPr>
        <w:fldChar w:fldCharType="end"/>
      </w:r>
      <w:r w:rsidRPr="00066541">
        <w:rPr>
          <w:rFonts w:eastAsia="Times New Roman" w:cstheme="majorBidi"/>
          <w:noProof w:val="0"/>
          <w:color w:val="000000" w:themeColor="text1"/>
          <w:szCs w:val="24"/>
          <w:lang w:val="en-GB" w:eastAsia="en-GB"/>
        </w:rPr>
        <w:t>:</w:t>
      </w:r>
    </w:p>
    <w:p w:rsidR="00A41A7C" w:rsidRPr="00066541" w:rsidRDefault="00A41A7C" w:rsidP="00A41A7C">
      <w:pPr>
        <w:pStyle w:val="ListParagraph"/>
        <w:spacing w:after="0"/>
        <w:ind w:left="426"/>
        <w:jc w:val="both"/>
        <w:rPr>
          <w:rFonts w:eastAsia="Times New Roman" w:cstheme="majorBidi"/>
          <w:iCs/>
          <w:noProof w:val="0"/>
          <w:color w:val="000000" w:themeColor="text1"/>
          <w:sz w:val="28"/>
          <w:szCs w:val="28"/>
          <w:lang w:eastAsia="en-GB"/>
        </w:rPr>
      </w:pPr>
      <w:r w:rsidRPr="00066541">
        <w:rPr>
          <w:rFonts w:eastAsia="Times New Roman" w:cstheme="majorBidi"/>
          <w:i/>
          <w:iCs/>
          <w:noProof w:val="0"/>
          <w:color w:val="000000" w:themeColor="text1"/>
          <w:sz w:val="28"/>
          <w:szCs w:val="28"/>
          <w:lang w:eastAsia="en-GB"/>
        </w:rPr>
        <w:t>Current Ratio</w:t>
      </w:r>
      <w:r w:rsidRPr="00066541">
        <w:rPr>
          <w:rFonts w:eastAsia="Times New Roman" w:cstheme="majorBidi"/>
          <w:noProof w:val="0"/>
          <w:color w:val="000000" w:themeColor="text1"/>
          <w:sz w:val="28"/>
          <w:szCs w:val="28"/>
          <w:lang w:eastAsia="en-GB"/>
        </w:rPr>
        <w:t xml:space="preserve"> = </w:t>
      </w:r>
      <m:oMath>
        <m:f>
          <m:fPr>
            <m:ctrlPr>
              <w:rPr>
                <w:rFonts w:ascii="Cambria Math" w:eastAsia="Times New Roman" w:hAnsi="Cambria Math" w:cstheme="majorBidi"/>
                <w:iCs/>
                <w:noProof w:val="0"/>
                <w:color w:val="000000" w:themeColor="text1"/>
                <w:sz w:val="28"/>
                <w:szCs w:val="28"/>
                <w:lang w:eastAsia="en-GB"/>
              </w:rPr>
            </m:ctrlPr>
          </m:fPr>
          <m:num>
            <m:r>
              <m:rPr>
                <m:sty m:val="p"/>
              </m:rPr>
              <w:rPr>
                <w:rFonts w:ascii="Cambria Math" w:eastAsia="Times New Roman" w:hAnsi="Cambria Math" w:cstheme="majorBidi"/>
                <w:noProof w:val="0"/>
                <w:color w:val="000000" w:themeColor="text1"/>
                <w:sz w:val="28"/>
                <w:szCs w:val="28"/>
                <w:lang w:eastAsia="en-GB"/>
              </w:rPr>
              <m:t>Aset Lancar</m:t>
            </m:r>
          </m:num>
          <m:den>
            <m:r>
              <m:rPr>
                <m:sty m:val="p"/>
              </m:rPr>
              <w:rPr>
                <w:rFonts w:ascii="Cambria Math" w:eastAsia="Times New Roman" w:hAnsi="Cambria Math" w:cstheme="majorBidi"/>
                <w:noProof w:val="0"/>
                <w:color w:val="000000" w:themeColor="text1"/>
                <w:sz w:val="28"/>
                <w:szCs w:val="28"/>
                <w:lang w:eastAsia="en-GB"/>
              </w:rPr>
              <m:t>Utang Lancar</m:t>
            </m:r>
          </m:den>
        </m:f>
      </m:oMath>
    </w:p>
    <w:p w:rsidR="00A41A7C" w:rsidRPr="00066541" w:rsidRDefault="00A41A7C" w:rsidP="00A41A7C">
      <w:pPr>
        <w:pStyle w:val="ListParagraph"/>
        <w:numPr>
          <w:ilvl w:val="0"/>
          <w:numId w:val="10"/>
        </w:numPr>
        <w:spacing w:after="0"/>
        <w:ind w:left="426"/>
        <w:jc w:val="both"/>
        <w:rPr>
          <w:rFonts w:cstheme="majorBidi"/>
          <w:color w:val="000000" w:themeColor="text1"/>
        </w:rPr>
      </w:pPr>
      <w:r w:rsidRPr="00066541">
        <w:rPr>
          <w:color w:val="000000" w:themeColor="text1"/>
        </w:rPr>
        <w:t>Rasio Cepat (</w:t>
      </w:r>
      <w:r w:rsidRPr="00066541">
        <w:rPr>
          <w:i/>
          <w:iCs/>
          <w:color w:val="000000" w:themeColor="text1"/>
        </w:rPr>
        <w:t>Quick Ratio</w:t>
      </w:r>
      <w:r w:rsidRPr="00066541">
        <w:rPr>
          <w:color w:val="000000" w:themeColor="text1"/>
        </w:rPr>
        <w:t xml:space="preserve">), adalah rasio yang memperlihatkan kapasitas perusahaan untuk mematuhi komitmen jangka pendeknya (utang) yang segera jatuh tempo segera dengan menggunakan aset likuid yang sangat tinggi, mengecualikan persediaan barang dan aset lancar lainnya (Sembiring, 2021). </w:t>
      </w:r>
      <w:r w:rsidRPr="00066541">
        <w:rPr>
          <w:rFonts w:eastAsia="Times New Roman" w:cstheme="majorBidi"/>
          <w:noProof w:val="0"/>
          <w:color w:val="000000" w:themeColor="text1"/>
          <w:szCs w:val="24"/>
          <w:lang w:val="en-GB" w:eastAsia="en-GB"/>
        </w:rPr>
        <w:t>Rasio ini dapat dihitung menggunakan rumus</w:t>
      </w:r>
      <w:r w:rsidR="00986164" w:rsidRPr="00066541">
        <w:rPr>
          <w:rFonts w:eastAsia="Times New Roman" w:cstheme="majorBidi"/>
          <w:noProof w:val="0"/>
          <w:color w:val="000000" w:themeColor="text1"/>
          <w:szCs w:val="24"/>
          <w:lang w:eastAsia="en-GB"/>
        </w:rPr>
        <w:fldChar w:fldCharType="begin" w:fldLock="1"/>
      </w:r>
      <w:r w:rsidRPr="00066541">
        <w:rPr>
          <w:rFonts w:eastAsia="Times New Roman" w:cstheme="majorBidi"/>
          <w:noProof w:val="0"/>
          <w:color w:val="000000" w:themeColor="text1"/>
          <w:szCs w:val="24"/>
          <w:lang w:eastAsia="en-GB"/>
        </w:rPr>
        <w:instrText>ADDIN CSL_CITATION {"citationItems":[{"id":"ITEM-1","itemData":{"ISSN":"2338-3631","abstract":"This study aims to determine the company's financial performance using financial ratio analysis. The financial ratios used are the ratios of liquidity, solvency, activity and profitability. The data analysis method used is descriptive analysis using quantitative data calculations in the form of financial statements. Based on the results of the overall liquidity ratio, the company's state is in good condition. Based on the sovability ratio in PT. Indofood CBP Sukses Makmur Tbk in 2016-2019 was declared in good condition because it was considered capable of meeting its long-term debt. For solvency ratios in PT. Indofood CBP Sukses Makmur Tbk in 2020-2021 was declared in a bad state because it could not meet its long-term debt. Based on the ratio of Activity as measured by receivable turn over, Fixed Asset Turn Over, Inventory Turn Over in PT. Indofood CBP Sukses Makmur Tbk in 2016-2021 was declared in good condition. However, the ratio measured by total assets turn over is considered less than optimal because in 2020-2021 there has been an increase in total assets. Based on profitability asio at PT. Indofood CBP Sukses Makmur Tbk in 2016-2021 was declared in a bad state. PT. Indofood CBP Sukses Makmur Tbk, must be able to manage its assets properly in order to be able to generate maximum profit from sales. PT. Indofood CBP Sukses Makmur Tbk, must be able to manage the company's assets and capital to increase sales so that the profits generated exceed the assets and capital owned.","author":[{"dropping-particle":"","family":"Irawan","given":"Riyan","non-dropping-particle":"","parse-names":false,"suffix":""},{"dropping-particle":"","family":"Suherman","given":"Enjang","non-dropping-particle":"","parse-names":false,"suffix":""},{"dropping-particle":"","family":"Hidayati","given":"Dwi Epty","non-dropping-particle":"","parse-names":false,"suffix":""}],"container-title":"International Journal of Applied Finance and Business Studies","id":"ITEM-1","issue":"2","issued":{"date-parts":[["2022"]]},"page":"92-103","title":"Analysis Of Liquidity Ratio, Solvency, Activity And Profitability In Assessing Financial Performance At Pt. Indofood Cbp Success Makmur Tbk","type":"article-journal","volume":"10"},"uris":["http://www.mendeley.com/documents/?uuid=2cf5c8bc-2162-46e8-9b92-7a97d5005797"]}],"mendeley":{"formattedCitation":"(Irawan et al., 2022)","plainTextFormattedCitation":"(Irawan et al., 2022)","previouslyFormattedCitation":"(Irawan et al., 2022)"},"properties":{"noteIndex":0},"schema":"https://github.com/citation-style-language/schema/raw/master/csl-citation.json"}</w:instrText>
      </w:r>
      <w:r w:rsidR="00986164" w:rsidRPr="00066541">
        <w:rPr>
          <w:rFonts w:eastAsia="Times New Roman" w:cstheme="majorBidi"/>
          <w:noProof w:val="0"/>
          <w:color w:val="000000" w:themeColor="text1"/>
          <w:szCs w:val="24"/>
          <w:lang w:eastAsia="en-GB"/>
        </w:rPr>
        <w:fldChar w:fldCharType="separate"/>
      </w:r>
      <w:r w:rsidRPr="00066541">
        <w:rPr>
          <w:rFonts w:eastAsia="Times New Roman" w:cstheme="majorBidi"/>
          <w:color w:val="000000" w:themeColor="text1"/>
          <w:szCs w:val="24"/>
          <w:lang w:eastAsia="en-GB"/>
        </w:rPr>
        <w:t>(Irawan et al., 2022)</w:t>
      </w:r>
      <w:r w:rsidR="00986164" w:rsidRPr="00066541">
        <w:rPr>
          <w:rFonts w:eastAsia="Times New Roman" w:cstheme="majorBidi"/>
          <w:noProof w:val="0"/>
          <w:color w:val="000000" w:themeColor="text1"/>
          <w:szCs w:val="24"/>
          <w:lang w:eastAsia="en-GB"/>
        </w:rPr>
        <w:fldChar w:fldCharType="end"/>
      </w:r>
      <w:r w:rsidRPr="00066541">
        <w:rPr>
          <w:rFonts w:eastAsia="Times New Roman" w:cstheme="majorBidi"/>
          <w:noProof w:val="0"/>
          <w:color w:val="000000" w:themeColor="text1"/>
          <w:szCs w:val="24"/>
          <w:lang w:eastAsia="en-GB"/>
        </w:rPr>
        <w:t xml:space="preserve"> :</w:t>
      </w:r>
    </w:p>
    <w:p w:rsidR="00A41A7C" w:rsidRPr="00066541" w:rsidRDefault="00A41A7C" w:rsidP="00A41A7C">
      <w:pPr>
        <w:pStyle w:val="ListParagraph"/>
        <w:ind w:left="426"/>
        <w:jc w:val="both"/>
        <w:rPr>
          <w:rFonts w:cstheme="majorBidi"/>
          <w:color w:val="000000" w:themeColor="text1"/>
          <w:sz w:val="22"/>
          <w:szCs w:val="20"/>
        </w:rPr>
      </w:pPr>
      <w:r w:rsidRPr="00066541">
        <w:rPr>
          <w:rFonts w:cstheme="majorBidi"/>
          <w:i/>
          <w:iCs/>
          <w:color w:val="000000" w:themeColor="text1"/>
          <w:sz w:val="28"/>
          <w:szCs w:val="28"/>
        </w:rPr>
        <w:t>Quick Ratio</w:t>
      </w:r>
      <w:r w:rsidRPr="00066541">
        <w:rPr>
          <w:rFonts w:cstheme="majorBidi"/>
          <w:color w:val="000000" w:themeColor="text1"/>
          <w:sz w:val="28"/>
          <w:szCs w:val="28"/>
        </w:rPr>
        <w:t xml:space="preserve"> =</w:t>
      </w:r>
      <m:oMath>
        <m:f>
          <m:fPr>
            <m:ctrlPr>
              <w:rPr>
                <w:rFonts w:ascii="Cambria Math" w:hAnsi="Cambria Math" w:cstheme="majorBidi"/>
                <w:iCs/>
                <w:color w:val="000000" w:themeColor="text1"/>
                <w:sz w:val="28"/>
                <w:szCs w:val="28"/>
              </w:rPr>
            </m:ctrlPr>
          </m:fPr>
          <m:num>
            <m:r>
              <m:rPr>
                <m:sty m:val="p"/>
              </m:rPr>
              <w:rPr>
                <w:rFonts w:ascii="Cambria Math" w:hAnsi="Cambria Math" w:cstheme="majorBidi"/>
                <w:color w:val="000000" w:themeColor="text1"/>
                <w:sz w:val="28"/>
                <w:szCs w:val="28"/>
              </w:rPr>
              <m:t>Aktiva Lancar-Persediaan</m:t>
            </m:r>
          </m:num>
          <m:den>
            <m:r>
              <m:rPr>
                <m:sty m:val="p"/>
              </m:rPr>
              <w:rPr>
                <w:rFonts w:ascii="Cambria Math" w:hAnsi="Cambria Math" w:cstheme="majorBidi"/>
                <w:color w:val="000000" w:themeColor="text1"/>
                <w:sz w:val="28"/>
                <w:szCs w:val="28"/>
              </w:rPr>
              <m:t>Utang Lancar</m:t>
            </m:r>
          </m:den>
        </m:f>
      </m:oMath>
    </w:p>
    <w:p w:rsidR="00A41A7C" w:rsidRPr="00066541" w:rsidRDefault="00A41A7C" w:rsidP="00A41A7C">
      <w:pPr>
        <w:pStyle w:val="ListParagraph"/>
        <w:numPr>
          <w:ilvl w:val="0"/>
          <w:numId w:val="10"/>
        </w:numPr>
        <w:ind w:left="426"/>
        <w:jc w:val="both"/>
        <w:rPr>
          <w:rFonts w:eastAsia="Times New Roman" w:cstheme="majorBidi"/>
          <w:noProof w:val="0"/>
          <w:color w:val="000000" w:themeColor="text1"/>
          <w:szCs w:val="24"/>
          <w:lang w:val="en-GB" w:eastAsia="en-GB"/>
        </w:rPr>
      </w:pPr>
      <w:r w:rsidRPr="00066541">
        <w:rPr>
          <w:color w:val="000000" w:themeColor="text1"/>
        </w:rPr>
        <w:t>Rasio Kas (</w:t>
      </w:r>
      <w:r w:rsidRPr="00066541">
        <w:rPr>
          <w:i/>
          <w:iCs/>
          <w:color w:val="000000" w:themeColor="text1"/>
        </w:rPr>
        <w:t>Cas Ratio</w:t>
      </w:r>
      <w:r w:rsidRPr="00066541">
        <w:rPr>
          <w:color w:val="000000" w:themeColor="text1"/>
        </w:rPr>
        <w:t xml:space="preserve">) adalah rasio yang menghitung jumlah kas atau setara kas yang tersedia guna menutupi pinjaman jangka pendek (Sembiring, 2021). </w:t>
      </w:r>
      <w:r w:rsidRPr="00066541">
        <w:rPr>
          <w:rFonts w:eastAsia="Times New Roman" w:cstheme="majorBidi"/>
          <w:noProof w:val="0"/>
          <w:color w:val="000000" w:themeColor="text1"/>
          <w:szCs w:val="24"/>
          <w:lang w:val="en-GB" w:eastAsia="en-GB"/>
        </w:rPr>
        <w:t xml:space="preserve">Rasio ini </w:t>
      </w:r>
      <w:r w:rsidRPr="00066541">
        <w:rPr>
          <w:rFonts w:eastAsia="Times New Roman" w:cstheme="majorBidi"/>
          <w:noProof w:val="0"/>
          <w:color w:val="000000" w:themeColor="text1"/>
          <w:szCs w:val="24"/>
          <w:lang w:eastAsia="en-GB"/>
        </w:rPr>
        <w:t xml:space="preserve">dapat dihitungmenggunakan rumus </w:t>
      </w:r>
      <w:r w:rsidR="00986164" w:rsidRPr="00066541">
        <w:rPr>
          <w:rFonts w:eastAsia="Times New Roman" w:cstheme="majorBidi"/>
          <w:noProof w:val="0"/>
          <w:color w:val="000000" w:themeColor="text1"/>
          <w:szCs w:val="24"/>
          <w:lang w:eastAsia="en-GB"/>
        </w:rPr>
        <w:fldChar w:fldCharType="begin" w:fldLock="1"/>
      </w:r>
      <w:r w:rsidRPr="00066541">
        <w:rPr>
          <w:rFonts w:eastAsia="Times New Roman" w:cstheme="majorBidi"/>
          <w:noProof w:val="0"/>
          <w:color w:val="000000" w:themeColor="text1"/>
          <w:szCs w:val="24"/>
          <w:lang w:eastAsia="en-GB"/>
        </w:rPr>
        <w:instrText>ADDIN CSL_CITATION {"citationItems":[{"id":"ITEM-1","itemData":{"ISSN":"2338-3631","abstract":"This study aims to determine the company's financial performance using financial ratio analysis. The financial ratios used are the ratios of liquidity, solvency, activity and profitability. The data analysis method used is descriptive analysis using quantitative data calculations in the form of financial statements. Based on the results of the overall liquidity ratio, the company's state is in good condition. Based on the sovability ratio in PT. Indofood CBP Sukses Makmur Tbk in 2016-2019 was declared in good condition because it was considered capable of meeting its long-term debt. For solvency ratios in PT. Indofood CBP Sukses Makmur Tbk in 2020-2021 was declared in a bad state because it could not meet its long-term debt. Based on the ratio of Activity as measured by receivable turn over, Fixed Asset Turn Over, Inventory Turn Over in PT. Indofood CBP Sukses Makmur Tbk in 2016-2021 was declared in good condition. However, the ratio measured by total assets turn over is considered less than optimal because in 2020-2021 there has been an increase in total assets. Based on profitability asio at PT. Indofood CBP Sukses Makmur Tbk in 2016-2021 was declared in a bad state. PT. Indofood CBP Sukses Makmur Tbk, must be able to manage its assets properly in order to be able to generate maximum profit from sales. PT. Indofood CBP Sukses Makmur Tbk, must be able to manage the company's assets and capital to increase sales so that the profits generated exceed the assets and capital owned.","author":[{"dropping-particle":"","family":"Irawan","given":"Riyan","non-dropping-particle":"","parse-names":false,"suffix":""},{"dropping-particle":"","family":"Suherman","given":"Enjang","non-dropping-particle":"","parse-names":false,"suffix":""},{"dropping-particle":"","family":"Hidayati","given":"Dwi Epty","non-dropping-particle":"","parse-names":false,"suffix":""}],"container-title":"International Journal of Applied Finance and Business Studies","id":"ITEM-1","issue":"2","issued":{"date-parts":[["2022"]]},"page":"92-103","title":"Analysis Of Liquidity Ratio, Solvency, Activity And Profitability In Assessing Financial Performance At Pt. Indofood Cbp Success Makmur Tbk","type":"article-journal","volume":"10"},"uris":["http://www.mendeley.com/documents/?uuid=2cf5c8bc-2162-46e8-9b92-7a97d5005797"]}],"mendeley":{"formattedCitation":"(Irawan et al., 2022)","plainTextFormattedCitation":"(Irawan et al., 2022)","previouslyFormattedCitation":"(Irawan et al., 2022)"},"properties":{"noteIndex":0},"schema":"https://github.com/citation-style-language/schema/raw/master/csl-citation.json"}</w:instrText>
      </w:r>
      <w:r w:rsidR="00986164" w:rsidRPr="00066541">
        <w:rPr>
          <w:rFonts w:eastAsia="Times New Roman" w:cstheme="majorBidi"/>
          <w:noProof w:val="0"/>
          <w:color w:val="000000" w:themeColor="text1"/>
          <w:szCs w:val="24"/>
          <w:lang w:eastAsia="en-GB"/>
        </w:rPr>
        <w:fldChar w:fldCharType="separate"/>
      </w:r>
      <w:r w:rsidRPr="00066541">
        <w:rPr>
          <w:rFonts w:eastAsia="Times New Roman" w:cstheme="majorBidi"/>
          <w:color w:val="000000" w:themeColor="text1"/>
          <w:szCs w:val="24"/>
          <w:lang w:eastAsia="en-GB"/>
        </w:rPr>
        <w:t>(Irawan et al., 2022)</w:t>
      </w:r>
      <w:r w:rsidR="00986164" w:rsidRPr="00066541">
        <w:rPr>
          <w:rFonts w:eastAsia="Times New Roman" w:cstheme="majorBidi"/>
          <w:noProof w:val="0"/>
          <w:color w:val="000000" w:themeColor="text1"/>
          <w:szCs w:val="24"/>
          <w:lang w:eastAsia="en-GB"/>
        </w:rPr>
        <w:fldChar w:fldCharType="end"/>
      </w:r>
      <w:r w:rsidRPr="00066541">
        <w:rPr>
          <w:rFonts w:eastAsia="Times New Roman" w:cstheme="majorBidi"/>
          <w:noProof w:val="0"/>
          <w:color w:val="000000" w:themeColor="text1"/>
          <w:szCs w:val="24"/>
          <w:lang w:eastAsia="en-GB"/>
        </w:rPr>
        <w:t xml:space="preserve"> :</w:t>
      </w:r>
    </w:p>
    <w:p w:rsidR="00A41A7C" w:rsidRPr="00066541" w:rsidRDefault="00A41A7C" w:rsidP="00A41A7C">
      <w:pPr>
        <w:pStyle w:val="ListParagraph"/>
        <w:ind w:left="426"/>
        <w:jc w:val="both"/>
        <w:rPr>
          <w:rFonts w:cstheme="majorBidi"/>
          <w:color w:val="000000" w:themeColor="text1"/>
          <w:sz w:val="28"/>
          <w:szCs w:val="28"/>
        </w:rPr>
      </w:pPr>
      <w:r w:rsidRPr="00066541">
        <w:rPr>
          <w:rFonts w:cstheme="majorBidi"/>
          <w:i/>
          <w:iCs/>
          <w:color w:val="000000" w:themeColor="text1"/>
          <w:sz w:val="28"/>
          <w:szCs w:val="28"/>
          <w:lang w:eastAsia="en-GB"/>
        </w:rPr>
        <w:t>Cash Ratio</w:t>
      </w:r>
      <w:r w:rsidRPr="00066541">
        <w:rPr>
          <w:rFonts w:cstheme="majorBidi"/>
          <w:color w:val="000000" w:themeColor="text1"/>
          <w:sz w:val="28"/>
          <w:szCs w:val="28"/>
          <w:lang w:eastAsia="en-GB"/>
        </w:rPr>
        <w:t xml:space="preserve"> =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Kas dan Setara Kas</m:t>
            </m:r>
          </m:num>
          <m:den>
            <m:r>
              <m:rPr>
                <m:sty m:val="p"/>
              </m:rPr>
              <w:rPr>
                <w:rFonts w:ascii="Cambria Math" w:hAnsi="Cambria Math" w:cstheme="majorBidi"/>
                <w:color w:val="000000" w:themeColor="text1"/>
                <w:sz w:val="28"/>
                <w:szCs w:val="28"/>
                <w:lang w:eastAsia="en-GB"/>
              </w:rPr>
              <m:t>Utang Lancar</m:t>
            </m:r>
          </m:den>
        </m:f>
      </m:oMath>
    </w:p>
    <w:p w:rsidR="00A41A7C" w:rsidRPr="00066541" w:rsidRDefault="00A41A7C" w:rsidP="00A41A7C">
      <w:pPr>
        <w:pStyle w:val="Heading3"/>
        <w:spacing w:before="0"/>
      </w:pPr>
      <w:bookmarkStart w:id="3" w:name="_Toc201095818"/>
      <w:r w:rsidRPr="00066541">
        <w:lastRenderedPageBreak/>
        <w:t>2.1.2 Rasio Solvabilitas</w:t>
      </w:r>
      <w:bookmarkEnd w:id="3"/>
    </w:p>
    <w:p w:rsidR="00A41A7C" w:rsidRPr="00066541" w:rsidRDefault="00A41A7C" w:rsidP="00A41A7C">
      <w:pPr>
        <w:pStyle w:val="Heading4"/>
        <w:spacing w:before="0"/>
      </w:pPr>
      <w:r w:rsidRPr="00066541">
        <w:t>2.1.2.1 Pengertian Rasio Solvabilitas</w:t>
      </w:r>
    </w:p>
    <w:p w:rsidR="00A41A7C" w:rsidRPr="00066541" w:rsidRDefault="00A41A7C" w:rsidP="00A41A7C">
      <w:pPr>
        <w:spacing w:after="0"/>
        <w:ind w:firstLine="567"/>
        <w:jc w:val="both"/>
        <w:rPr>
          <w:color w:val="000000" w:themeColor="text1"/>
        </w:rPr>
      </w:pPr>
      <w:r w:rsidRPr="00066541">
        <w:rPr>
          <w:color w:val="000000" w:themeColor="text1"/>
        </w:rPr>
        <w:t>Rasio solvabilitas, yang kerap diposisikan sebagai indikator leverage keuangan, berfungsi sebagai instrumen evaluatif untuk menakar sejauh mana struktur permodalan perusahaan ditopang oleh liabilitas (Kasmir, 2019). Secara substantif, rasio ini merefleksikan proporsi keterikatan aset korporasi terhadap beban utang, sehingga memberikan gambaran mengenai tingkat ketergantungan perusahaan terhadap sumber pembiayaan eksternal dalam menopang aktivitas operasional dan ekspansi bisnisnya.</w:t>
      </w:r>
    </w:p>
    <w:p w:rsidR="00A41A7C" w:rsidRPr="00066541" w:rsidRDefault="00A41A7C" w:rsidP="00A41A7C">
      <w:pPr>
        <w:spacing w:after="0"/>
        <w:ind w:firstLine="567"/>
        <w:jc w:val="both"/>
        <w:rPr>
          <w:rFonts w:cstheme="majorBidi"/>
          <w:color w:val="000000" w:themeColor="text1"/>
          <w:szCs w:val="24"/>
        </w:rPr>
      </w:pPr>
      <w:r w:rsidRPr="00066541">
        <w:rPr>
          <w:color w:val="000000" w:themeColor="text1"/>
        </w:rPr>
        <w:t xml:space="preserve">Banyaknya aset perusahaan yang ditanggung oleh utang ditunjukkan oleh rasio solvabilitas. Perusahaan yang </w:t>
      </w:r>
      <w:r w:rsidRPr="00066541">
        <w:rPr>
          <w:i/>
          <w:iCs/>
          <w:color w:val="000000" w:themeColor="text1"/>
        </w:rPr>
        <w:t>solvabel</w:t>
      </w:r>
      <w:r w:rsidRPr="00066541">
        <w:rPr>
          <w:color w:val="000000" w:themeColor="text1"/>
        </w:rPr>
        <w:t xml:space="preserve"> memiliki cukup kekayaan atau aset guna menutupi semua utangnya.</w:t>
      </w:r>
      <w:r w:rsidRPr="00066541">
        <w:rPr>
          <w:rFonts w:cstheme="majorBidi"/>
          <w:color w:val="000000" w:themeColor="text1"/>
          <w:szCs w:val="24"/>
        </w:rPr>
        <w:t xml:space="preserve"> Apabila suatu perusahaan tidak dapat melunasi keseluruhan utangnya dengan seluruh asetnya, maka perusahaan itu dapat dianggap bangkrut </w:t>
      </w:r>
      <w:r w:rsidR="00986164" w:rsidRPr="00066541">
        <w:rPr>
          <w:rFonts w:cstheme="majorBidi"/>
          <w:color w:val="000000" w:themeColor="text1"/>
          <w:szCs w:val="24"/>
        </w:rPr>
        <w:fldChar w:fldCharType="begin" w:fldLock="1"/>
      </w:r>
      <w:r w:rsidRPr="00066541">
        <w:rPr>
          <w:rFonts w:cstheme="majorBidi"/>
          <w:color w:val="000000" w:themeColor="text1"/>
          <w:szCs w:val="24"/>
        </w:rPr>
        <w:instrText>ADDIN CSL_CITATION {"citationItems":[{"id":"ITEM-1","itemData":{"abstract":"Terdapat tiga sektor manufaktur yang ada di BEI 2023 antara lain sektor industri dasar dan kimia, aneka industri, dan industri barang konsumsi. Berikut daftar lengkap saham manufaktur yang terdaftar di BEI sesuai sektornya masing-masing.","author":[{"dropping-particle":"","family":"Wijayanti","given":"Ratih Ika","non-dropping-particle":"","parse-names":false,"suffix":""}],"container-title":"IDX Channel","id":"ITEM-1","issued":{"date-parts":[["2023"]]},"title":"Daftar Perusahaan Manufaktur yang Terdaftar di BEI 2023","type":"article-journal"},"uris":["http://www.mendeley.com/documents/?uuid=81ae52af-f730-48cd-9c09-958e8c663289"]}],"mendeley":{"formattedCitation":"(Wijayanti, 2023)","plainTextFormattedCitation":"(Wijayanti, 2023)","previouslyFormattedCitation":"(Wijayanti, 2023)"},"properties":{"noteIndex":0},"schema":"https://github.com/citation-style-language/schema/raw/master/csl-citation.json"}</w:instrText>
      </w:r>
      <w:r w:rsidR="00986164" w:rsidRPr="00066541">
        <w:rPr>
          <w:rFonts w:cstheme="majorBidi"/>
          <w:color w:val="000000" w:themeColor="text1"/>
          <w:szCs w:val="24"/>
        </w:rPr>
        <w:fldChar w:fldCharType="separate"/>
      </w:r>
      <w:r w:rsidRPr="00066541">
        <w:rPr>
          <w:rFonts w:cstheme="majorBidi"/>
          <w:color w:val="000000" w:themeColor="text1"/>
          <w:szCs w:val="24"/>
        </w:rPr>
        <w:t>(Wijayanti, 2023)</w:t>
      </w:r>
      <w:r w:rsidR="00986164" w:rsidRPr="00066541">
        <w:rPr>
          <w:rFonts w:cstheme="majorBidi"/>
          <w:color w:val="000000" w:themeColor="text1"/>
          <w:szCs w:val="24"/>
        </w:rPr>
        <w:fldChar w:fldCharType="end"/>
      </w:r>
      <w:r w:rsidRPr="00066541">
        <w:rPr>
          <w:rFonts w:cstheme="majorBidi"/>
          <w:color w:val="000000" w:themeColor="text1"/>
          <w:szCs w:val="24"/>
        </w:rPr>
        <w:t>.</w:t>
      </w:r>
    </w:p>
    <w:p w:rsidR="00A41A7C" w:rsidRPr="00066541" w:rsidRDefault="00A41A7C" w:rsidP="00A41A7C">
      <w:pPr>
        <w:pStyle w:val="Heading4"/>
        <w:spacing w:before="0"/>
      </w:pPr>
      <w:r w:rsidRPr="00066541">
        <w:t>2.1.2.2 Pengukuran Rasio Solvabilitas</w:t>
      </w:r>
    </w:p>
    <w:p w:rsidR="00A41A7C" w:rsidRPr="00066541" w:rsidRDefault="00A41A7C" w:rsidP="00A41A7C">
      <w:pPr>
        <w:spacing w:after="0"/>
        <w:ind w:firstLine="567"/>
        <w:jc w:val="both"/>
        <w:rPr>
          <w:color w:val="000000" w:themeColor="text1"/>
        </w:rPr>
      </w:pPr>
      <w:r w:rsidRPr="00066541">
        <w:rPr>
          <w:color w:val="000000" w:themeColor="text1"/>
        </w:rPr>
        <w:t xml:space="preserve">Rasio ini dapat dipakai guna menilai kapabilitas perusahaan dalam mematuhi kewajiban jangka pendek dan jangka panjang (Irawan et al., 2022). Rasio solvabilitas, yang juga dikenal sebagai rasio </w:t>
      </w:r>
      <w:r w:rsidRPr="00066541">
        <w:rPr>
          <w:i/>
          <w:iCs/>
          <w:color w:val="000000" w:themeColor="text1"/>
        </w:rPr>
        <w:t>leverage</w:t>
      </w:r>
      <w:r w:rsidRPr="00066541">
        <w:rPr>
          <w:color w:val="000000" w:themeColor="text1"/>
        </w:rPr>
        <w:t xml:space="preserve">, </w:t>
      </w:r>
    </w:p>
    <w:p w:rsidR="00A41A7C" w:rsidRPr="00066541" w:rsidRDefault="00A41A7C" w:rsidP="00A41A7C">
      <w:pPr>
        <w:pStyle w:val="ListParagraph"/>
        <w:numPr>
          <w:ilvl w:val="0"/>
          <w:numId w:val="12"/>
        </w:numPr>
        <w:spacing w:after="0"/>
        <w:ind w:left="426" w:hanging="426"/>
        <w:jc w:val="both"/>
        <w:rPr>
          <w:rFonts w:cstheme="majorBidi"/>
          <w:i/>
          <w:iCs/>
          <w:color w:val="000000" w:themeColor="text1"/>
          <w:lang w:val="en-GB"/>
        </w:rPr>
      </w:pPr>
      <w:r w:rsidRPr="00066541">
        <w:rPr>
          <w:rFonts w:cstheme="majorBidi"/>
          <w:i/>
          <w:iCs/>
          <w:color w:val="000000" w:themeColor="text1"/>
          <w:lang w:val="en-GB"/>
        </w:rPr>
        <w:t>Debt</w:t>
      </w:r>
      <w:r w:rsidRPr="00066541">
        <w:rPr>
          <w:rFonts w:cstheme="majorBidi"/>
          <w:i/>
          <w:iCs/>
          <w:color w:val="000000" w:themeColor="text1"/>
        </w:rPr>
        <w:t xml:space="preserve"> toA</w:t>
      </w:r>
      <w:r w:rsidRPr="00066541">
        <w:rPr>
          <w:rFonts w:cstheme="majorBidi"/>
          <w:i/>
          <w:iCs/>
          <w:color w:val="000000" w:themeColor="text1"/>
          <w:lang w:val="en-GB"/>
        </w:rPr>
        <w:t xml:space="preserve">sset </w:t>
      </w:r>
      <w:r w:rsidRPr="00066541">
        <w:rPr>
          <w:rFonts w:cstheme="majorBidi"/>
          <w:i/>
          <w:iCs/>
          <w:color w:val="000000" w:themeColor="text1"/>
        </w:rPr>
        <w:t>Ratio</w:t>
      </w:r>
      <w:r w:rsidRPr="00066541">
        <w:rPr>
          <w:rFonts w:cstheme="majorBidi"/>
          <w:color w:val="000000" w:themeColor="text1"/>
        </w:rPr>
        <w:t>atau Debt Ratio</w:t>
      </w:r>
    </w:p>
    <w:p w:rsidR="00A41A7C" w:rsidRPr="00066541" w:rsidRDefault="00A41A7C" w:rsidP="00A41A7C">
      <w:pPr>
        <w:pStyle w:val="ListParagraph"/>
        <w:ind w:left="426"/>
        <w:jc w:val="both"/>
        <w:rPr>
          <w:rFonts w:cstheme="majorBidi"/>
          <w:color w:val="000000" w:themeColor="text1"/>
        </w:rPr>
      </w:pPr>
      <w:r w:rsidRPr="00066541">
        <w:rPr>
          <w:rFonts w:cstheme="majorBidi"/>
          <w:i/>
          <w:iCs/>
          <w:color w:val="000000" w:themeColor="text1"/>
          <w:lang w:val="en-GB"/>
        </w:rPr>
        <w:t>Debt</w:t>
      </w:r>
      <w:r w:rsidRPr="00066541">
        <w:rPr>
          <w:rFonts w:cstheme="majorBidi"/>
          <w:i/>
          <w:iCs/>
          <w:color w:val="000000" w:themeColor="text1"/>
        </w:rPr>
        <w:t xml:space="preserve"> toTotalA</w:t>
      </w:r>
      <w:r w:rsidRPr="00066541">
        <w:rPr>
          <w:rFonts w:cstheme="majorBidi"/>
          <w:i/>
          <w:iCs/>
          <w:color w:val="000000" w:themeColor="text1"/>
          <w:lang w:val="en-GB"/>
        </w:rPr>
        <w:t xml:space="preserve">sset  </w:t>
      </w:r>
      <w:r w:rsidRPr="00066541">
        <w:rPr>
          <w:rFonts w:cstheme="majorBidi"/>
          <w:color w:val="000000" w:themeColor="text1"/>
        </w:rPr>
        <w:t xml:space="preserve">atau </w:t>
      </w:r>
      <w:r w:rsidRPr="00066541">
        <w:rPr>
          <w:rFonts w:cstheme="majorBidi"/>
          <w:i/>
          <w:iCs/>
          <w:color w:val="000000" w:themeColor="text1"/>
        </w:rPr>
        <w:t>Debt Ratio</w:t>
      </w:r>
      <w:r w:rsidRPr="00066541">
        <w:rPr>
          <w:rFonts w:cstheme="majorBidi"/>
          <w:color w:val="000000" w:themeColor="text1"/>
        </w:rPr>
        <w:t xml:space="preserve"> adalah rasio untuk menunjukkan hubungan antara total utang dan total aset. Rasio ini dapat dihitung dengan menggunakan rumus berikut:</w:t>
      </w:r>
    </w:p>
    <w:p w:rsidR="00A41A7C" w:rsidRPr="00066541" w:rsidRDefault="00A41A7C" w:rsidP="00A41A7C">
      <w:pPr>
        <w:pStyle w:val="ListParagraph"/>
        <w:spacing w:after="0"/>
        <w:ind w:left="426"/>
        <w:jc w:val="both"/>
        <w:rPr>
          <w:rFonts w:cstheme="majorBidi"/>
          <w:color w:val="000000" w:themeColor="text1"/>
          <w:sz w:val="28"/>
          <w:szCs w:val="28"/>
        </w:rPr>
      </w:pPr>
      <w:r w:rsidRPr="00066541">
        <w:rPr>
          <w:rFonts w:cstheme="majorBidi"/>
          <w:i/>
          <w:iCs/>
          <w:color w:val="000000" w:themeColor="text1"/>
          <w:sz w:val="28"/>
          <w:szCs w:val="28"/>
          <w:lang w:eastAsia="en-GB"/>
        </w:rPr>
        <w:t>Debt to Asset Ratio</w:t>
      </w:r>
      <w:r w:rsidRPr="00066541">
        <w:rPr>
          <w:rFonts w:cstheme="majorBidi"/>
          <w:color w:val="000000" w:themeColor="text1"/>
          <w:sz w:val="28"/>
          <w:szCs w:val="28"/>
          <w:lang w:eastAsia="en-GB"/>
        </w:rPr>
        <w:t xml:space="preserve"> =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Total Utang</m:t>
            </m:r>
          </m:num>
          <m:den>
            <m:r>
              <m:rPr>
                <m:sty m:val="p"/>
              </m:rPr>
              <w:rPr>
                <w:rFonts w:ascii="Cambria Math" w:hAnsi="Cambria Math" w:cstheme="majorBidi"/>
                <w:color w:val="000000" w:themeColor="text1"/>
                <w:sz w:val="28"/>
                <w:szCs w:val="28"/>
                <w:lang w:eastAsia="en-GB"/>
              </w:rPr>
              <m:t>Total Aset</m:t>
            </m:r>
          </m:den>
        </m:f>
      </m:oMath>
      <w:r w:rsidRPr="00066541">
        <w:rPr>
          <w:rFonts w:eastAsiaTheme="minorEastAsia" w:cstheme="majorBidi"/>
          <w:iCs/>
          <w:color w:val="000000" w:themeColor="text1"/>
          <w:sz w:val="28"/>
          <w:szCs w:val="28"/>
          <w:lang w:eastAsia="en-GB"/>
        </w:rPr>
        <w:t xml:space="preserve"> x 100%</w:t>
      </w:r>
    </w:p>
    <w:p w:rsidR="00A41A7C" w:rsidRPr="00066541" w:rsidRDefault="00A41A7C" w:rsidP="00A41A7C">
      <w:pPr>
        <w:pStyle w:val="ListParagraph"/>
        <w:numPr>
          <w:ilvl w:val="0"/>
          <w:numId w:val="12"/>
        </w:numPr>
        <w:spacing w:after="0"/>
        <w:ind w:left="284" w:hanging="284"/>
        <w:jc w:val="both"/>
        <w:rPr>
          <w:rFonts w:cstheme="majorBidi"/>
          <w:i/>
          <w:iCs/>
          <w:color w:val="000000" w:themeColor="text1"/>
          <w:lang w:val="en-GB"/>
        </w:rPr>
      </w:pPr>
      <w:r w:rsidRPr="00066541">
        <w:rPr>
          <w:rFonts w:cstheme="majorBidi"/>
          <w:i/>
          <w:iCs/>
          <w:color w:val="000000" w:themeColor="text1"/>
          <w:lang w:val="en-GB"/>
        </w:rPr>
        <w:lastRenderedPageBreak/>
        <w:t xml:space="preserve">Debt to </w:t>
      </w:r>
      <w:r w:rsidRPr="00066541">
        <w:rPr>
          <w:rFonts w:cstheme="majorBidi"/>
          <w:i/>
          <w:iCs/>
          <w:color w:val="000000" w:themeColor="text1"/>
        </w:rPr>
        <w:t>E</w:t>
      </w:r>
      <w:r w:rsidRPr="00066541">
        <w:rPr>
          <w:rFonts w:cstheme="majorBidi"/>
          <w:i/>
          <w:iCs/>
          <w:color w:val="000000" w:themeColor="text1"/>
          <w:lang w:val="en-GB"/>
        </w:rPr>
        <w:t xml:space="preserve">quity </w:t>
      </w:r>
      <w:r w:rsidRPr="00066541">
        <w:rPr>
          <w:rFonts w:cstheme="majorBidi"/>
          <w:i/>
          <w:iCs/>
          <w:color w:val="000000" w:themeColor="text1"/>
        </w:rPr>
        <w:t>R</w:t>
      </w:r>
      <w:r w:rsidRPr="00066541">
        <w:rPr>
          <w:rFonts w:cstheme="majorBidi"/>
          <w:i/>
          <w:iCs/>
          <w:color w:val="000000" w:themeColor="text1"/>
          <w:lang w:val="en-GB"/>
        </w:rPr>
        <w:t xml:space="preserve">atio </w:t>
      </w:r>
    </w:p>
    <w:p w:rsidR="00A41A7C" w:rsidRPr="00066541" w:rsidRDefault="00A41A7C" w:rsidP="00A41A7C">
      <w:pPr>
        <w:ind w:left="426"/>
        <w:rPr>
          <w:color w:val="000000" w:themeColor="text1"/>
        </w:rPr>
      </w:pPr>
      <w:r w:rsidRPr="00066541">
        <w:rPr>
          <w:color w:val="000000" w:themeColor="text1"/>
        </w:rPr>
        <w:t>Salah satu ukuran yang dipakai guna mengaudit dana dibandingkan ekuitas adalah rasio utang terhadap ekuitas. Semua kewajiban, begitu juga utang jangka pendek, dibandingkan dengan ekuitas untuk menentukan rasio ini. Rumus berikut dapat digunakan untuk mendapatkan rasio ini:</w:t>
      </w:r>
    </w:p>
    <w:p w:rsidR="00A41A7C" w:rsidRPr="00066541" w:rsidRDefault="00A41A7C" w:rsidP="00A41A7C">
      <w:pPr>
        <w:pStyle w:val="ListParagraph"/>
        <w:ind w:left="426"/>
        <w:jc w:val="both"/>
        <w:rPr>
          <w:rFonts w:cstheme="majorBidi"/>
          <w:color w:val="000000" w:themeColor="text1"/>
          <w:sz w:val="28"/>
          <w:szCs w:val="28"/>
        </w:rPr>
      </w:pPr>
      <w:r w:rsidRPr="00066541">
        <w:rPr>
          <w:rFonts w:cstheme="majorBidi"/>
          <w:i/>
          <w:iCs/>
          <w:color w:val="000000" w:themeColor="text1"/>
          <w:sz w:val="28"/>
          <w:szCs w:val="28"/>
          <w:lang w:eastAsia="en-GB"/>
        </w:rPr>
        <w:t xml:space="preserve">Debt to Equity Ratio = </w:t>
      </w:r>
      <m:oMath>
        <m:f>
          <m:fPr>
            <m:ctrlPr>
              <w:rPr>
                <w:rFonts w:ascii="Cambria Math" w:hAnsi="Cambria Math" w:cstheme="majorBidi"/>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Total Utang</m:t>
            </m:r>
          </m:num>
          <m:den>
            <m:r>
              <m:rPr>
                <m:sty m:val="p"/>
              </m:rPr>
              <w:rPr>
                <w:rFonts w:ascii="Cambria Math" w:hAnsi="Cambria Math" w:cstheme="majorBidi"/>
                <w:color w:val="000000" w:themeColor="text1"/>
                <w:sz w:val="28"/>
                <w:szCs w:val="28"/>
                <w:lang w:eastAsia="en-GB"/>
              </w:rPr>
              <m:t>Total Modal</m:t>
            </m:r>
          </m:den>
        </m:f>
      </m:oMath>
      <w:r w:rsidRPr="00066541">
        <w:rPr>
          <w:rFonts w:cstheme="majorBidi"/>
          <w:color w:val="000000" w:themeColor="text1"/>
          <w:sz w:val="28"/>
          <w:szCs w:val="28"/>
          <w:lang w:eastAsia="en-GB"/>
        </w:rPr>
        <w:t>x 100%</w:t>
      </w:r>
    </w:p>
    <w:p w:rsidR="00A41A7C" w:rsidRPr="00066541" w:rsidRDefault="00A41A7C" w:rsidP="00A41A7C">
      <w:pPr>
        <w:pStyle w:val="Heading3"/>
        <w:spacing w:before="0"/>
      </w:pPr>
      <w:bookmarkStart w:id="4" w:name="_Toc201095819"/>
      <w:r w:rsidRPr="00066541">
        <w:t>2.1.3 Rasio Profitabilitas</w:t>
      </w:r>
      <w:bookmarkEnd w:id="4"/>
    </w:p>
    <w:p w:rsidR="00A41A7C" w:rsidRPr="00066541" w:rsidRDefault="00A41A7C" w:rsidP="00A41A7C">
      <w:pPr>
        <w:pStyle w:val="Heading4"/>
        <w:spacing w:before="0"/>
      </w:pPr>
      <w:r w:rsidRPr="00066541">
        <w:t>2.1.3.1 Pengertian Rasio Profitabilitas</w:t>
      </w:r>
    </w:p>
    <w:p w:rsidR="00A41A7C" w:rsidRPr="00066541" w:rsidRDefault="00A41A7C" w:rsidP="00A41A7C">
      <w:pPr>
        <w:spacing w:after="0"/>
        <w:ind w:firstLine="567"/>
        <w:jc w:val="both"/>
        <w:rPr>
          <w:rFonts w:cstheme="majorBidi"/>
          <w:color w:val="000000" w:themeColor="text1"/>
        </w:rPr>
      </w:pPr>
      <w:r w:rsidRPr="00066541">
        <w:rPr>
          <w:rFonts w:cstheme="majorBidi"/>
          <w:color w:val="000000" w:themeColor="text1"/>
        </w:rPr>
        <w:t xml:space="preserve">“Rasio profitabilitas merupakan rasio untuk menilai kemampuan perusahaan dalam mencari keuntungan. Rasio ini juga memberikan ukuran tingkat efektivitas manajemen dalam suatu perusahaan” </w:t>
      </w:r>
      <w:r w:rsidR="00986164" w:rsidRPr="00066541">
        <w:rPr>
          <w:rFonts w:cstheme="majorBidi"/>
          <w:color w:val="000000" w:themeColor="text1"/>
        </w:rPr>
        <w:fldChar w:fldCharType="begin" w:fldLock="1"/>
      </w:r>
      <w:r w:rsidRPr="00066541">
        <w:rPr>
          <w:rFonts w:cstheme="majorBidi"/>
          <w:color w:val="000000" w:themeColor="text1"/>
        </w:rPr>
        <w:instrText>ADDIN CSL_CITATION {"citationItems":[{"id":"ITEM-1","itemData":{"author":[{"dropping-particle":"","family":"Kasmir","given":"","non-dropping-particle":"","parse-names":false,"suffix":""}],"id":"ITEM-1","issued":{"date-parts":[["2019"]]},"title":"Pengantar Manajemen Keuangan Kasmir 2019","type":"article"},"uris":["http://www.mendeley.com/documents/?uuid=10423014-b1ac-4333-bbe4-a8a92667374b"]}],"mendeley":{"formattedCitation":"(Kasmir, 2019)","plainTextFormattedCitation":"(Kasmir, 2019)","previouslyFormattedCitation":"(Kasmir, 2019)"},"properties":{"noteIndex":0},"schema":"https://github.com/citation-style-language/schema/raw/master/csl-citation.json"}</w:instrText>
      </w:r>
      <w:r w:rsidR="00986164" w:rsidRPr="00066541">
        <w:rPr>
          <w:rFonts w:cstheme="majorBidi"/>
          <w:color w:val="000000" w:themeColor="text1"/>
        </w:rPr>
        <w:fldChar w:fldCharType="separate"/>
      </w:r>
      <w:r w:rsidRPr="00066541">
        <w:rPr>
          <w:rFonts w:cstheme="majorBidi"/>
          <w:color w:val="000000" w:themeColor="text1"/>
        </w:rPr>
        <w:t>(Kasmir, 2019)</w:t>
      </w:r>
      <w:r w:rsidR="00986164" w:rsidRPr="00066541">
        <w:rPr>
          <w:rFonts w:cstheme="majorBidi"/>
          <w:color w:val="000000" w:themeColor="text1"/>
        </w:rPr>
        <w:fldChar w:fldCharType="end"/>
      </w:r>
      <w:r w:rsidRPr="00066541">
        <w:rPr>
          <w:rFonts w:cstheme="majorBidi"/>
          <w:color w:val="000000" w:themeColor="text1"/>
        </w:rPr>
        <w:t>.</w:t>
      </w:r>
    </w:p>
    <w:p w:rsidR="00A41A7C" w:rsidRPr="00066541" w:rsidRDefault="00A41A7C" w:rsidP="00A41A7C">
      <w:pPr>
        <w:ind w:firstLine="567"/>
        <w:jc w:val="both"/>
        <w:rPr>
          <w:color w:val="000000" w:themeColor="text1"/>
        </w:rPr>
      </w:pPr>
      <w:r w:rsidRPr="00066541">
        <w:rPr>
          <w:color w:val="000000" w:themeColor="text1"/>
        </w:rPr>
        <w:t>Menurut (Wijayanti, 2023), rasio profitabilitas ialah pengukuran kapabilitas bisnis untuk menghadirkan laba relatif terhadap modal, aset, dan penjualannya. Rasio ini dapat berfungsi sebagai indikator atau gambaran seberapa baik kinerja manajemen dalam mengawasi operasi perusahaan, selain menilai kapasitas perusahaan untuk memperoleh keuntungan pada periode waktu tertentu. Hal tersebut terlihat dari keuntungan yang diraih dari investasi perusahaan dan angka penjualan.</w:t>
      </w:r>
    </w:p>
    <w:p w:rsidR="00A41A7C" w:rsidRPr="00066541" w:rsidRDefault="00A41A7C" w:rsidP="00A41A7C">
      <w:pPr>
        <w:pStyle w:val="Heading4"/>
        <w:spacing w:before="0"/>
      </w:pPr>
      <w:r w:rsidRPr="00066541">
        <w:t>2.1.3.2 Pengukuran Rasio Profitabilitas</w:t>
      </w:r>
    </w:p>
    <w:p w:rsidR="00A41A7C" w:rsidRPr="00066541" w:rsidRDefault="00A41A7C" w:rsidP="00A41A7C">
      <w:pPr>
        <w:spacing w:after="0"/>
        <w:ind w:firstLine="567"/>
        <w:jc w:val="both"/>
        <w:rPr>
          <w:rFonts w:cstheme="majorBidi"/>
          <w:color w:val="000000" w:themeColor="text1"/>
        </w:rPr>
      </w:pPr>
      <w:r w:rsidRPr="00066541">
        <w:rPr>
          <w:rFonts w:cstheme="majorBidi"/>
          <w:color w:val="000000" w:themeColor="text1"/>
        </w:rPr>
        <w:t xml:space="preserve">“Profitabilitas adalah rasio yang digunakan untuk mengevaluasi potensi keuntungan perusahaan. Rasio ini juga menunjukkan seberapa baik manajemen perusahaan bekerja” </w:t>
      </w:r>
      <w:r w:rsidR="00986164" w:rsidRPr="00066541">
        <w:rPr>
          <w:rFonts w:cstheme="majorBidi"/>
          <w:color w:val="000000" w:themeColor="text1"/>
        </w:rPr>
        <w:fldChar w:fldCharType="begin" w:fldLock="1"/>
      </w:r>
      <w:r w:rsidRPr="00066541">
        <w:rPr>
          <w:rFonts w:cstheme="majorBidi"/>
          <w:color w:val="000000" w:themeColor="text1"/>
        </w:rPr>
        <w:instrText>ADDIN CSL_CITATION {"citationItems":[{"id":"ITEM-1","itemData":{"abstract":"… Penelititan ini bertujuan untuk mengetahui pengaruh rasio likuiditas, rasio solvabilitas dan rasio aktivitas terhadap rasio profitabilitas pada perusahaan subsektor otomotif dan …","author":[{"dropping-particle":"","family":"F.A","given":"Saputra M.I &amp; Albastiah","non-dropping-particle":"","parse-names":false,"suffix":""}],"id":"ITEM-1","issue":"9","issued":{"date-parts":[["2024"]]},"page":"304-316","title":"Pengaruh Likuiditas, Solvabilitas dan Aktivitas Terhadap Profitabilitas Pada Perusahaan Sub Sektor Otomotif dan Komponen Yang Terdaftar di Bursa Efek Indonesia …","type":"article-journal","volume":"2"},"uris":["http://www.mendeley.com/documents/?uuid=8595ca8b-05a1-4776-9e54-90ec617bb3bd"]}],"mendeley":{"formattedCitation":"(F.A, 2024)","plainTextFormattedCitation":"(F.A, 2024)","previouslyFormattedCitation":"(F.A, 2024)"},"properties":{"noteIndex":0},"schema":"https://github.com/citation-style-language/schema/raw/master/csl-citation.json"}</w:instrText>
      </w:r>
      <w:r w:rsidR="00986164" w:rsidRPr="00066541">
        <w:rPr>
          <w:rFonts w:cstheme="majorBidi"/>
          <w:color w:val="000000" w:themeColor="text1"/>
        </w:rPr>
        <w:fldChar w:fldCharType="separate"/>
      </w:r>
      <w:r w:rsidRPr="00066541">
        <w:rPr>
          <w:rFonts w:cstheme="majorBidi"/>
          <w:color w:val="000000" w:themeColor="text1"/>
        </w:rPr>
        <w:t>(F.A, 2024)</w:t>
      </w:r>
      <w:r w:rsidR="00986164" w:rsidRPr="00066541">
        <w:rPr>
          <w:rFonts w:cstheme="majorBidi"/>
          <w:color w:val="000000" w:themeColor="text1"/>
        </w:rPr>
        <w:fldChar w:fldCharType="end"/>
      </w:r>
      <w:r w:rsidRPr="00066541">
        <w:rPr>
          <w:rFonts w:cstheme="majorBidi"/>
          <w:color w:val="000000" w:themeColor="text1"/>
        </w:rPr>
        <w:t xml:space="preserve">. </w:t>
      </w:r>
    </w:p>
    <w:p w:rsidR="00A41A7C" w:rsidRPr="00066541" w:rsidRDefault="00A41A7C" w:rsidP="00A41A7C">
      <w:pPr>
        <w:pStyle w:val="ListParagraph"/>
        <w:numPr>
          <w:ilvl w:val="0"/>
          <w:numId w:val="11"/>
        </w:numPr>
        <w:spacing w:after="0"/>
        <w:ind w:left="284" w:hanging="284"/>
        <w:jc w:val="both"/>
        <w:rPr>
          <w:rFonts w:cstheme="majorBidi"/>
          <w:i/>
          <w:iCs/>
          <w:color w:val="000000" w:themeColor="text1"/>
        </w:rPr>
      </w:pPr>
      <w:r w:rsidRPr="00066541">
        <w:rPr>
          <w:rFonts w:cstheme="majorBidi"/>
          <w:i/>
          <w:iCs/>
          <w:color w:val="000000" w:themeColor="text1"/>
        </w:rPr>
        <w:lastRenderedPageBreak/>
        <w:t xml:space="preserve">Net Profit Margin </w:t>
      </w:r>
    </w:p>
    <w:p w:rsidR="00A41A7C" w:rsidRPr="00066541" w:rsidRDefault="00A41A7C" w:rsidP="00A41A7C">
      <w:pPr>
        <w:ind w:left="284"/>
        <w:rPr>
          <w:color w:val="000000" w:themeColor="text1"/>
        </w:rPr>
      </w:pPr>
      <w:r w:rsidRPr="00066541">
        <w:rPr>
          <w:color w:val="000000" w:themeColor="text1"/>
        </w:rPr>
        <w:t>Adanya perbandingan keuntungan setelah bunga dan pajak terhadap penjualan, margin keuntungan bersih berfungsi sebagai standar untuk keuntungan. Rumusnya</w:t>
      </w:r>
    </w:p>
    <w:p w:rsidR="00A41A7C" w:rsidRPr="00066541" w:rsidRDefault="00A41A7C" w:rsidP="00A41A7C">
      <w:pPr>
        <w:ind w:left="284"/>
        <w:jc w:val="both"/>
        <w:rPr>
          <w:rFonts w:cstheme="majorBidi"/>
          <w:color w:val="000000" w:themeColor="text1"/>
          <w:sz w:val="28"/>
          <w:szCs w:val="28"/>
        </w:rPr>
      </w:pPr>
      <w:r w:rsidRPr="00066541">
        <w:rPr>
          <w:rFonts w:cstheme="majorBidi"/>
          <w:i/>
          <w:iCs/>
          <w:color w:val="000000" w:themeColor="text1"/>
          <w:sz w:val="28"/>
          <w:szCs w:val="28"/>
          <w:lang w:eastAsia="en-GB"/>
        </w:rPr>
        <w:t>Net Profit Margin</w:t>
      </w:r>
      <w:r w:rsidRPr="00066541">
        <w:rPr>
          <w:rFonts w:cstheme="majorBidi"/>
          <w:color w:val="000000" w:themeColor="text1"/>
          <w:sz w:val="28"/>
          <w:szCs w:val="28"/>
          <w:lang w:eastAsia="en-GB"/>
        </w:rPr>
        <w:t xml:space="preserve"> =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Laba Setelah Bunga dan Pajak</m:t>
            </m:r>
          </m:num>
          <m:den>
            <m:r>
              <m:rPr>
                <m:sty m:val="p"/>
              </m:rPr>
              <w:rPr>
                <w:rFonts w:ascii="Cambria Math" w:hAnsi="Cambria Math" w:cstheme="majorBidi"/>
                <w:color w:val="000000" w:themeColor="text1"/>
                <w:sz w:val="28"/>
                <w:szCs w:val="28"/>
                <w:lang w:eastAsia="en-GB"/>
              </w:rPr>
              <m:t>Penjualan</m:t>
            </m:r>
          </m:den>
        </m:f>
      </m:oMath>
      <w:r w:rsidRPr="00066541">
        <w:rPr>
          <w:rFonts w:eastAsiaTheme="minorEastAsia" w:cstheme="majorBidi"/>
          <w:iCs/>
          <w:color w:val="000000" w:themeColor="text1"/>
          <w:sz w:val="28"/>
          <w:szCs w:val="28"/>
          <w:lang w:eastAsia="en-GB"/>
        </w:rPr>
        <w:t xml:space="preserve"> x 100%</w:t>
      </w:r>
    </w:p>
    <w:p w:rsidR="00A41A7C" w:rsidRPr="00066541" w:rsidRDefault="00A41A7C" w:rsidP="00A41A7C">
      <w:pPr>
        <w:pStyle w:val="ListParagraph"/>
        <w:numPr>
          <w:ilvl w:val="0"/>
          <w:numId w:val="11"/>
        </w:numPr>
        <w:spacing w:after="0"/>
        <w:ind w:left="284" w:hanging="284"/>
        <w:jc w:val="both"/>
        <w:rPr>
          <w:rFonts w:cstheme="majorBidi"/>
          <w:i/>
          <w:iCs/>
          <w:color w:val="000000" w:themeColor="text1"/>
        </w:rPr>
      </w:pPr>
      <w:r w:rsidRPr="00066541">
        <w:rPr>
          <w:rFonts w:cstheme="majorBidi"/>
          <w:i/>
          <w:iCs/>
          <w:color w:val="000000" w:themeColor="text1"/>
        </w:rPr>
        <w:t>Return on Assets</w:t>
      </w:r>
    </w:p>
    <w:p w:rsidR="00A41A7C" w:rsidRPr="00066541" w:rsidRDefault="00A41A7C" w:rsidP="00A41A7C">
      <w:pPr>
        <w:spacing w:after="0"/>
        <w:ind w:left="284"/>
        <w:jc w:val="both"/>
        <w:rPr>
          <w:rFonts w:cstheme="majorBidi"/>
          <w:color w:val="000000" w:themeColor="text1"/>
        </w:rPr>
      </w:pPr>
      <w:r w:rsidRPr="00066541">
        <w:rPr>
          <w:rStyle w:val="Strong"/>
          <w:rFonts w:cstheme="majorBidi"/>
          <w:i/>
          <w:iCs/>
          <w:color w:val="000000" w:themeColor="text1"/>
        </w:rPr>
        <w:t>Return on Assets</w:t>
      </w:r>
      <w:r w:rsidRPr="00066541">
        <w:rPr>
          <w:rStyle w:val="Strong"/>
          <w:rFonts w:cstheme="majorBidi"/>
          <w:color w:val="000000" w:themeColor="text1"/>
        </w:rPr>
        <w:t xml:space="preserve"> (ROA)</w:t>
      </w:r>
      <w:r w:rsidRPr="00066541">
        <w:rPr>
          <w:rFonts w:cstheme="majorBidi"/>
          <w:color w:val="000000" w:themeColor="text1"/>
        </w:rPr>
        <w:t xml:space="preserve"> adalah rasio keuangan yang dipakai guna menilai seberapa efisien perusahaan memanfaatkan seluruh aset yang dimilikinya dalam menghadirkan laba bersih. Rasio ini menggambarkan kemampuan manajemen dalam mengelola aset untuk menciptakan keuntungan secara optimal. Rumus:</w:t>
      </w:r>
    </w:p>
    <w:p w:rsidR="00A41A7C" w:rsidRPr="00066541" w:rsidRDefault="00A41A7C" w:rsidP="00A41A7C">
      <w:pPr>
        <w:ind w:left="284"/>
        <w:jc w:val="both"/>
        <w:rPr>
          <w:rFonts w:cstheme="majorBidi"/>
          <w:color w:val="000000" w:themeColor="text1"/>
          <w:sz w:val="28"/>
          <w:szCs w:val="28"/>
        </w:rPr>
      </w:pPr>
      <w:r w:rsidRPr="00066541">
        <w:rPr>
          <w:rFonts w:cstheme="majorBidi"/>
          <w:i/>
          <w:iCs/>
          <w:color w:val="000000" w:themeColor="text1"/>
          <w:sz w:val="28"/>
          <w:szCs w:val="28"/>
          <w:lang w:eastAsia="en-GB"/>
        </w:rPr>
        <w:t xml:space="preserve">Return On Assets </w:t>
      </w:r>
      <w:r w:rsidRPr="00066541">
        <w:rPr>
          <w:rFonts w:cstheme="majorBidi"/>
          <w:color w:val="000000" w:themeColor="text1"/>
          <w:sz w:val="28"/>
          <w:szCs w:val="28"/>
          <w:lang w:eastAsia="en-GB"/>
        </w:rPr>
        <w:t xml:space="preserve">=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Laba Setelah Bunga dan Pajak</m:t>
            </m:r>
          </m:num>
          <m:den>
            <m:r>
              <m:rPr>
                <m:sty m:val="p"/>
              </m:rPr>
              <w:rPr>
                <w:rFonts w:ascii="Cambria Math" w:hAnsi="Cambria Math" w:cstheme="majorBidi"/>
                <w:color w:val="000000" w:themeColor="text1"/>
                <w:sz w:val="28"/>
                <w:szCs w:val="28"/>
                <w:lang w:eastAsia="en-GB"/>
              </w:rPr>
              <m:t>Total Aset</m:t>
            </m:r>
          </m:den>
        </m:f>
      </m:oMath>
      <w:r w:rsidRPr="00066541">
        <w:rPr>
          <w:rFonts w:eastAsiaTheme="minorEastAsia" w:cstheme="majorBidi"/>
          <w:iCs/>
          <w:color w:val="000000" w:themeColor="text1"/>
          <w:sz w:val="28"/>
          <w:szCs w:val="28"/>
          <w:lang w:eastAsia="en-GB"/>
        </w:rPr>
        <w:t xml:space="preserve"> x 100 %</w:t>
      </w:r>
    </w:p>
    <w:p w:rsidR="00A41A7C" w:rsidRPr="00066541" w:rsidRDefault="00A41A7C" w:rsidP="00A41A7C">
      <w:pPr>
        <w:pStyle w:val="ListParagraph"/>
        <w:numPr>
          <w:ilvl w:val="0"/>
          <w:numId w:val="11"/>
        </w:numPr>
        <w:spacing w:after="0"/>
        <w:ind w:left="284" w:hanging="284"/>
        <w:jc w:val="both"/>
        <w:rPr>
          <w:rFonts w:cstheme="majorBidi"/>
          <w:i/>
          <w:iCs/>
          <w:color w:val="000000" w:themeColor="text1"/>
        </w:rPr>
      </w:pPr>
      <w:r w:rsidRPr="00066541">
        <w:rPr>
          <w:rFonts w:cstheme="majorBidi"/>
          <w:i/>
          <w:iCs/>
          <w:color w:val="000000" w:themeColor="text1"/>
        </w:rPr>
        <w:t xml:space="preserve">Return on Equity </w:t>
      </w:r>
    </w:p>
    <w:p w:rsidR="00A41A7C" w:rsidRPr="00066541" w:rsidRDefault="00A41A7C" w:rsidP="00A41A7C">
      <w:pPr>
        <w:spacing w:after="0"/>
        <w:ind w:left="284"/>
        <w:jc w:val="both"/>
        <w:rPr>
          <w:rFonts w:cstheme="majorBidi"/>
          <w:color w:val="000000" w:themeColor="text1"/>
        </w:rPr>
      </w:pPr>
      <w:r w:rsidRPr="00066541">
        <w:rPr>
          <w:i/>
          <w:iCs/>
          <w:color w:val="000000" w:themeColor="text1"/>
        </w:rPr>
        <w:t>Return on Equity</w:t>
      </w:r>
      <w:r w:rsidRPr="00066541">
        <w:rPr>
          <w:color w:val="000000" w:themeColor="text1"/>
        </w:rPr>
        <w:t xml:space="preserve"> adalah metrik yang dipakai gunaa menghitung laba bersih setelah pajak yang dihasilkan oleh ekuitas. Rasio ini menunjukkan seberapa efektif ekuitas digunakan.Ru</w:t>
      </w:r>
      <w:r w:rsidRPr="00066541">
        <w:rPr>
          <w:rFonts w:cstheme="majorBidi"/>
          <w:color w:val="000000" w:themeColor="text1"/>
        </w:rPr>
        <w:t>mus:</w:t>
      </w:r>
    </w:p>
    <w:p w:rsidR="00A41A7C" w:rsidRPr="00066541" w:rsidRDefault="00A41A7C" w:rsidP="00A41A7C">
      <w:pPr>
        <w:ind w:left="284"/>
        <w:jc w:val="both"/>
        <w:rPr>
          <w:rFonts w:cstheme="majorBidi"/>
          <w:color w:val="000000" w:themeColor="text1"/>
          <w:sz w:val="28"/>
          <w:szCs w:val="28"/>
        </w:rPr>
      </w:pPr>
      <w:r w:rsidRPr="00066541">
        <w:rPr>
          <w:rFonts w:cstheme="majorBidi"/>
          <w:i/>
          <w:iCs/>
          <w:color w:val="000000" w:themeColor="text1"/>
          <w:sz w:val="28"/>
          <w:szCs w:val="28"/>
          <w:lang w:eastAsia="en-GB"/>
        </w:rPr>
        <w:t>Return On Equity</w:t>
      </w:r>
      <w:r w:rsidRPr="00066541">
        <w:rPr>
          <w:rFonts w:cstheme="majorBidi"/>
          <w:color w:val="000000" w:themeColor="text1"/>
          <w:sz w:val="28"/>
          <w:szCs w:val="28"/>
          <w:lang w:eastAsia="en-GB"/>
        </w:rPr>
        <w:t xml:space="preserve"> =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Laba Setelah Bunga dan Pajak</m:t>
            </m:r>
          </m:num>
          <m:den>
            <m:r>
              <m:rPr>
                <m:sty m:val="p"/>
              </m:rPr>
              <w:rPr>
                <w:rFonts w:ascii="Cambria Math" w:hAnsi="Cambria Math" w:cstheme="majorBidi"/>
                <w:color w:val="000000" w:themeColor="text1"/>
                <w:sz w:val="28"/>
                <w:szCs w:val="28"/>
                <w:lang w:eastAsia="en-GB"/>
              </w:rPr>
              <m:t>Total Ekuitas</m:t>
            </m:r>
          </m:den>
        </m:f>
      </m:oMath>
      <w:r w:rsidRPr="00066541">
        <w:rPr>
          <w:rFonts w:eastAsiaTheme="minorEastAsia" w:cstheme="majorBidi"/>
          <w:iCs/>
          <w:color w:val="000000" w:themeColor="text1"/>
          <w:sz w:val="28"/>
          <w:szCs w:val="28"/>
          <w:lang w:eastAsia="en-GB"/>
        </w:rPr>
        <w:t xml:space="preserve"> x 100%</w:t>
      </w:r>
    </w:p>
    <w:p w:rsidR="00A41A7C" w:rsidRPr="00066541" w:rsidRDefault="00A41A7C" w:rsidP="00A41A7C">
      <w:pPr>
        <w:pStyle w:val="Heading3"/>
        <w:spacing w:before="0"/>
      </w:pPr>
      <w:bookmarkStart w:id="5" w:name="_Toc201095820"/>
      <w:r w:rsidRPr="00066541">
        <w:lastRenderedPageBreak/>
        <w:t>2.1.4 Kinerja Keuangan</w:t>
      </w:r>
      <w:bookmarkEnd w:id="5"/>
    </w:p>
    <w:p w:rsidR="00A41A7C" w:rsidRPr="00066541" w:rsidRDefault="00A41A7C" w:rsidP="00A41A7C">
      <w:pPr>
        <w:pStyle w:val="Heading4"/>
        <w:spacing w:before="0"/>
      </w:pPr>
      <w:r w:rsidRPr="00066541">
        <w:t>2.1.4.1 Pengertian Kinerja Keuangan</w:t>
      </w:r>
    </w:p>
    <w:p w:rsidR="00A41A7C" w:rsidRPr="00066541" w:rsidRDefault="00A41A7C" w:rsidP="00A41A7C">
      <w:pPr>
        <w:spacing w:after="0"/>
        <w:ind w:firstLine="567"/>
        <w:jc w:val="both"/>
        <w:rPr>
          <w:color w:val="000000" w:themeColor="text1"/>
        </w:rPr>
      </w:pPr>
      <w:r w:rsidRPr="00066541">
        <w:rPr>
          <w:color w:val="000000" w:themeColor="text1"/>
        </w:rPr>
        <w:t>Guna menentukan seberapa baik suatu perusahaan telah menerapkan prinsip-prinsip keuangan, adanya pemeriksaan kinerja keuangan yang dilakukan.. Dalam konteks manajemen, kinerja (performance) dapat diartikan sebagai pengukuran dari efektivitas operasional bisnis selama periode tertentu. Kinerja keuangan berperan sebagai alat ukur diagnostik yang merefleksikan tingkat kepatuhan dan efektivitas perusahaan dalam mengaktualisasikan prinsip-prinsip tata kelola keuangan yang telah ditetapkan, sekaligus menjadi cerminan atas kualitas pengelolaan sumber daya ekonomi dalam mencapai tujuan korporasi secara berkelanjutan (Affi &amp; As’ari, 2023).</w:t>
      </w:r>
    </w:p>
    <w:p w:rsidR="00A41A7C" w:rsidRPr="00066541" w:rsidRDefault="00A41A7C" w:rsidP="00A41A7C">
      <w:pPr>
        <w:spacing w:after="0"/>
        <w:ind w:firstLine="567"/>
        <w:jc w:val="both"/>
        <w:rPr>
          <w:rFonts w:ascii="Arial" w:hAnsi="Arial" w:cs="Arial"/>
          <w:color w:val="000000" w:themeColor="text1"/>
          <w:sz w:val="27"/>
          <w:szCs w:val="27"/>
          <w:shd w:val="clear" w:color="auto" w:fill="F7F7F7"/>
        </w:rPr>
      </w:pPr>
      <w:r w:rsidRPr="00066541">
        <w:rPr>
          <w:color w:val="000000" w:themeColor="text1"/>
        </w:rPr>
        <w:t>Menurut Wijayanti (2023), Upaya formal untuk mengaudit efektivitas dan efisiensi perusahaan dalam menghadirkan uang dan mempertahankan posisi kas tertentu dikenal sebagai kinerja keuangan. Pengukuran kinerja keuangan memungkinkan prospek perkembangan dan kenaikan finansial perusahaan untuk diaudit sehubungan dengan sumber daya yang tersedia. Sebuah korporasi dianggap sukses jika memenuhi ambang batas kinerja yang telah ditentukan</w:t>
      </w:r>
      <w:r w:rsidRPr="00066541">
        <w:rPr>
          <w:rFonts w:ascii="Arial" w:hAnsi="Arial" w:cs="Arial"/>
          <w:color w:val="000000" w:themeColor="text1"/>
          <w:sz w:val="27"/>
          <w:szCs w:val="27"/>
          <w:shd w:val="clear" w:color="auto" w:fill="F7F7F7"/>
        </w:rPr>
        <w:t>.</w:t>
      </w:r>
    </w:p>
    <w:p w:rsidR="00A41A7C" w:rsidRPr="00066541" w:rsidRDefault="00A41A7C" w:rsidP="00A41A7C">
      <w:pPr>
        <w:ind w:firstLine="567"/>
        <w:jc w:val="both"/>
        <w:rPr>
          <w:color w:val="000000" w:themeColor="text1"/>
          <w:shd w:val="clear" w:color="auto" w:fill="F7F7F7"/>
        </w:rPr>
      </w:pPr>
      <w:r w:rsidRPr="00066541">
        <w:rPr>
          <w:color w:val="000000" w:themeColor="text1"/>
          <w:shd w:val="clear" w:color="auto" w:fill="F7F7F7"/>
        </w:rPr>
        <w:t xml:space="preserve">Menurut definisi di atas, kinerja keuangan adalah analisis yang menentukan seberapa bagus perusahaan menerapkan aturan pelaksanaan keuangan dengan akurat dan efisien. Kinerja ini memeriksa efisiensi dan efektivitas perusahaan dalam menghasilkan keuntungan dan mengelola posisi kas. Mengukur kinerja keuangan memungkinkan melihat potensi pertumbuhan dan perkembangan perusahaan berdasarkan bagaimana sumber daya mereka digunakan. Sebuah </w:t>
      </w:r>
      <w:r w:rsidRPr="00066541">
        <w:rPr>
          <w:color w:val="000000" w:themeColor="text1"/>
          <w:shd w:val="clear" w:color="auto" w:fill="F7F7F7"/>
        </w:rPr>
        <w:lastRenderedPageBreak/>
        <w:t>perusahaan dianggap sukses jika dapat memenuhi tujuan kinerjanya sambil juga menerapkan prosedur keuangan yang baik.</w:t>
      </w:r>
    </w:p>
    <w:p w:rsidR="00A41A7C" w:rsidRPr="00066541" w:rsidRDefault="00A41A7C" w:rsidP="00A41A7C">
      <w:pPr>
        <w:pStyle w:val="Heading4"/>
        <w:spacing w:before="0"/>
      </w:pPr>
      <w:r w:rsidRPr="00066541">
        <w:t>2.1.4.2 Tujuan Kinerja Keuangan</w:t>
      </w:r>
    </w:p>
    <w:p w:rsidR="00A41A7C" w:rsidRPr="00066541" w:rsidRDefault="00A41A7C" w:rsidP="00A41A7C">
      <w:pPr>
        <w:tabs>
          <w:tab w:val="left" w:pos="567"/>
        </w:tabs>
        <w:spacing w:after="0"/>
        <w:jc w:val="both"/>
        <w:rPr>
          <w:rFonts w:eastAsia="Times New Roman" w:cstheme="majorBidi"/>
          <w:noProof w:val="0"/>
          <w:color w:val="000000" w:themeColor="text1"/>
          <w:szCs w:val="24"/>
          <w:lang w:eastAsia="en-GB"/>
        </w:rPr>
      </w:pPr>
      <w:r w:rsidRPr="00066541">
        <w:rPr>
          <w:rFonts w:eastAsia="Times New Roman" w:cstheme="majorBidi"/>
          <w:noProof w:val="0"/>
          <w:color w:val="000000" w:themeColor="text1"/>
          <w:szCs w:val="24"/>
          <w:lang w:eastAsia="en-GB"/>
        </w:rPr>
        <w:tab/>
      </w:r>
      <w:r w:rsidRPr="00066541">
        <w:rPr>
          <w:color w:val="000000" w:themeColor="text1"/>
        </w:rPr>
        <w:t xml:space="preserve">Kinerja keuangan ialah aspek yang paling signifikan dari proses perencanaan dan pengendalian. Evaluasi kinerja memungkinkan organisasi untuk merencanakan dan memilih metode untuk mencapai tujuan keseluruhannya. </w:t>
      </w:r>
      <w:r w:rsidRPr="00066541">
        <w:rPr>
          <w:rFonts w:eastAsia="Times New Roman" w:cstheme="majorBidi"/>
          <w:noProof w:val="0"/>
          <w:color w:val="000000" w:themeColor="text1"/>
          <w:szCs w:val="24"/>
          <w:lang w:eastAsia="en-GB"/>
        </w:rPr>
        <w:t xml:space="preserve">Menurut </w:t>
      </w:r>
      <w:r w:rsidR="00986164" w:rsidRPr="00066541">
        <w:rPr>
          <w:rFonts w:eastAsia="Times New Roman" w:cstheme="majorBidi"/>
          <w:noProof w:val="0"/>
          <w:color w:val="000000" w:themeColor="text1"/>
          <w:szCs w:val="24"/>
          <w:lang w:eastAsia="en-GB"/>
        </w:rPr>
        <w:fldChar w:fldCharType="begin" w:fldLock="1"/>
      </w:r>
      <w:r w:rsidRPr="00066541">
        <w:rPr>
          <w:rFonts w:eastAsia="Times New Roman" w:cstheme="majorBidi"/>
          <w:noProof w:val="0"/>
          <w:color w:val="000000" w:themeColor="text1"/>
          <w:szCs w:val="24"/>
          <w:lang w:eastAsia="en-GB"/>
        </w:rPr>
        <w:instrText>ADDIN CSL_CITATION {"citationItems":[{"id":"ITEM-1","itemData":{"abstract":"Terdapat tiga sektor manufaktur yang ada di BEI 2023 antara lain sektor industri dasar dan kimia, aneka industri, dan industri barang konsumsi. Berikut daftar lengkap saham manufaktur yang terdaftar di BEI sesuai sektornya masing-masing.","author":[{"dropping-particle":"","family":"Wijayanti","given":"Ratih Ika","non-dropping-particle":"","parse-names":false,"suffix":""}],"container-title":"IDX Channel","id":"ITEM-1","issued":{"date-parts":[["2023"]]},"title":"Daftar Perusahaan Manufaktur yang Terdaftar di BEI 2023","type":"article-journal"},"uris":["http://www.mendeley.com/documents/?uuid=81ae52af-f730-48cd-9c09-958e8c663289"]}],"mendeley":{"formattedCitation":"(Wijayanti, 2023)","plainTextFormattedCitation":"(Wijayanti, 2023)","previouslyFormattedCitation":"(Wijayanti, 2023)"},"properties":{"noteIndex":0},"schema":"https://github.com/citation-style-language/schema/raw/master/csl-citation.json"}</w:instrText>
      </w:r>
      <w:r w:rsidR="00986164" w:rsidRPr="00066541">
        <w:rPr>
          <w:rFonts w:eastAsia="Times New Roman" w:cstheme="majorBidi"/>
          <w:noProof w:val="0"/>
          <w:color w:val="000000" w:themeColor="text1"/>
          <w:szCs w:val="24"/>
          <w:lang w:eastAsia="en-GB"/>
        </w:rPr>
        <w:fldChar w:fldCharType="separate"/>
      </w:r>
      <w:r w:rsidRPr="00066541">
        <w:rPr>
          <w:rFonts w:eastAsia="Times New Roman" w:cstheme="majorBidi"/>
          <w:color w:val="000000" w:themeColor="text1"/>
          <w:szCs w:val="24"/>
          <w:lang w:eastAsia="en-GB"/>
        </w:rPr>
        <w:t>(Wijayanti, 2023)</w:t>
      </w:r>
      <w:r w:rsidR="00986164" w:rsidRPr="00066541">
        <w:rPr>
          <w:rFonts w:eastAsia="Times New Roman" w:cstheme="majorBidi"/>
          <w:noProof w:val="0"/>
          <w:color w:val="000000" w:themeColor="text1"/>
          <w:szCs w:val="24"/>
          <w:lang w:eastAsia="en-GB"/>
        </w:rPr>
        <w:fldChar w:fldCharType="end"/>
      </w:r>
      <w:r w:rsidRPr="00066541">
        <w:rPr>
          <w:rFonts w:eastAsia="Times New Roman" w:cstheme="majorBidi"/>
          <w:noProof w:val="0"/>
          <w:color w:val="000000" w:themeColor="text1"/>
          <w:szCs w:val="24"/>
          <w:lang w:eastAsia="en-GB"/>
        </w:rPr>
        <w:t xml:space="preserve"> Ada 4 aspek Tujuan Kinerja Keuangan </w:t>
      </w:r>
      <w:r w:rsidRPr="00066541">
        <w:rPr>
          <w:rFonts w:eastAsia="Times New Roman" w:cstheme="majorBidi"/>
          <w:noProof w:val="0"/>
          <w:color w:val="000000" w:themeColor="text1"/>
          <w:szCs w:val="24"/>
          <w:lang w:val="en-GB" w:eastAsia="en-GB"/>
        </w:rPr>
        <w:t xml:space="preserve">: </w:t>
      </w:r>
    </w:p>
    <w:p w:rsidR="00A41A7C" w:rsidRPr="00066541" w:rsidRDefault="00A41A7C" w:rsidP="00A41A7C">
      <w:pPr>
        <w:pStyle w:val="ListParagraph"/>
        <w:numPr>
          <w:ilvl w:val="0"/>
          <w:numId w:val="13"/>
        </w:numPr>
        <w:ind w:left="284" w:hanging="284"/>
        <w:jc w:val="both"/>
        <w:rPr>
          <w:color w:val="000000" w:themeColor="text1"/>
        </w:rPr>
      </w:pPr>
      <w:r w:rsidRPr="00066541">
        <w:rPr>
          <w:color w:val="000000" w:themeColor="text1"/>
        </w:rPr>
        <w:t xml:space="preserve">Memahami tingkat likuiditas, yang meliputi memenuhi komitmen keuangan saat jatuh tempo. </w:t>
      </w:r>
    </w:p>
    <w:p w:rsidR="00A41A7C" w:rsidRPr="00066541" w:rsidRDefault="00A41A7C" w:rsidP="00A41A7C">
      <w:pPr>
        <w:pStyle w:val="ListParagraph"/>
        <w:numPr>
          <w:ilvl w:val="0"/>
          <w:numId w:val="13"/>
        </w:numPr>
        <w:ind w:left="284" w:hanging="284"/>
        <w:rPr>
          <w:color w:val="000000" w:themeColor="text1"/>
        </w:rPr>
      </w:pPr>
      <w:r w:rsidRPr="00066541">
        <w:rPr>
          <w:color w:val="000000" w:themeColor="text1"/>
        </w:rPr>
        <w:t>Kapabilitas perusahaan untuk mematuhi komitmen keuntungannya saat dilikuidasi untuk kewajiban keuangan jangka pendek dan jangka panjang ditunjukkan oleh tingkat solvabilitasnya.</w:t>
      </w:r>
    </w:p>
    <w:p w:rsidR="00A41A7C" w:rsidRPr="00066541" w:rsidRDefault="00A41A7C" w:rsidP="00A41A7C">
      <w:pPr>
        <w:pStyle w:val="ListParagraph"/>
        <w:numPr>
          <w:ilvl w:val="0"/>
          <w:numId w:val="13"/>
        </w:numPr>
        <w:ind w:left="284" w:hanging="284"/>
        <w:rPr>
          <w:color w:val="000000" w:themeColor="text1"/>
        </w:rPr>
      </w:pPr>
      <w:r w:rsidRPr="00066541">
        <w:rPr>
          <w:color w:val="000000" w:themeColor="text1"/>
        </w:rPr>
        <w:t>Profitabilitas didefinisikan oleh kapabilitas perusahaan untuk menghadirkanlaba dalam periode waktu tertentu.</w:t>
      </w:r>
    </w:p>
    <w:p w:rsidR="00A41A7C" w:rsidRPr="00066541" w:rsidRDefault="00A41A7C" w:rsidP="00A41A7C">
      <w:pPr>
        <w:pStyle w:val="ListParagraph"/>
        <w:numPr>
          <w:ilvl w:val="0"/>
          <w:numId w:val="13"/>
        </w:numPr>
        <w:ind w:left="284" w:hanging="284"/>
        <w:jc w:val="both"/>
        <w:rPr>
          <w:color w:val="000000" w:themeColor="text1"/>
        </w:rPr>
      </w:pPr>
      <w:r w:rsidRPr="00066541">
        <w:rPr>
          <w:color w:val="000000" w:themeColor="text1"/>
        </w:rPr>
        <w:t>Untuk menilai aktivitas bisnis, perusahaan dapat melakukan operasi berkelanjutan dan mempertimbangkan untuk mendistribusikan dividen secara teratur.</w:t>
      </w:r>
    </w:p>
    <w:p w:rsidR="00A41A7C" w:rsidRPr="00066541" w:rsidRDefault="00A41A7C" w:rsidP="00A41A7C">
      <w:pPr>
        <w:pStyle w:val="Heading4"/>
        <w:spacing w:before="0"/>
      </w:pPr>
      <w:r w:rsidRPr="00066541">
        <w:t>2.1.4.3 Manfaat Kinerja Keuangan</w:t>
      </w:r>
    </w:p>
    <w:p w:rsidR="00A41A7C" w:rsidRPr="00066541" w:rsidRDefault="00A41A7C" w:rsidP="00A41A7C">
      <w:pPr>
        <w:spacing w:after="0"/>
        <w:jc w:val="both"/>
        <w:rPr>
          <w:rFonts w:eastAsia="Times New Roman" w:cstheme="majorBidi"/>
          <w:noProof w:val="0"/>
          <w:color w:val="000000" w:themeColor="text1"/>
          <w:szCs w:val="24"/>
          <w:lang w:eastAsia="en-GB"/>
        </w:rPr>
      </w:pPr>
      <w:r w:rsidRPr="00066541">
        <w:rPr>
          <w:rFonts w:eastAsia="Times New Roman" w:cstheme="majorBidi"/>
          <w:noProof w:val="0"/>
          <w:color w:val="000000" w:themeColor="text1"/>
          <w:szCs w:val="24"/>
          <w:lang w:eastAsia="en-GB"/>
        </w:rPr>
        <w:t>Manfaat-manfaat</w:t>
      </w:r>
      <w:r w:rsidRPr="00066541">
        <w:rPr>
          <w:rFonts w:eastAsia="Times New Roman" w:cstheme="majorBidi"/>
          <w:noProof w:val="0"/>
          <w:color w:val="000000" w:themeColor="text1"/>
          <w:szCs w:val="24"/>
          <w:lang w:val="en-GB" w:eastAsia="en-GB"/>
        </w:rPr>
        <w:t xml:space="preserve"> dari kinerja keuangan: </w:t>
      </w:r>
    </w:p>
    <w:p w:rsidR="00A41A7C" w:rsidRPr="00066541" w:rsidRDefault="00A41A7C" w:rsidP="00A41A7C">
      <w:pPr>
        <w:pStyle w:val="ListParagraph"/>
        <w:numPr>
          <w:ilvl w:val="0"/>
          <w:numId w:val="9"/>
        </w:numPr>
        <w:spacing w:after="0"/>
        <w:ind w:left="426" w:hanging="426"/>
        <w:jc w:val="both"/>
        <w:rPr>
          <w:rFonts w:eastAsia="Times New Roman" w:cstheme="majorBidi"/>
          <w:noProof w:val="0"/>
          <w:color w:val="000000" w:themeColor="text1"/>
          <w:szCs w:val="24"/>
          <w:lang w:eastAsia="en-GB"/>
        </w:rPr>
      </w:pPr>
      <w:r w:rsidRPr="00066541">
        <w:rPr>
          <w:rFonts w:eastAsia="Times New Roman" w:cstheme="majorBidi"/>
          <w:noProof w:val="0"/>
          <w:color w:val="000000" w:themeColor="text1"/>
          <w:szCs w:val="24"/>
          <w:lang w:val="en-GB" w:eastAsia="en-GB"/>
        </w:rPr>
        <w:t xml:space="preserve">Untuk mengukur pencapaian suatu organisasi dalam jangka waktu tertentu yang menunjukkan seberapa sukses operasinya dilaksanakan. </w:t>
      </w:r>
    </w:p>
    <w:p w:rsidR="00A41A7C" w:rsidRPr="00066541" w:rsidRDefault="00A41A7C" w:rsidP="00A41A7C">
      <w:pPr>
        <w:pStyle w:val="ListParagraph"/>
        <w:numPr>
          <w:ilvl w:val="0"/>
          <w:numId w:val="9"/>
        </w:numPr>
        <w:spacing w:after="0"/>
        <w:ind w:left="426" w:hanging="426"/>
        <w:jc w:val="both"/>
        <w:rPr>
          <w:rFonts w:eastAsia="Times New Roman" w:cstheme="majorBidi"/>
          <w:noProof w:val="0"/>
          <w:color w:val="000000" w:themeColor="text1"/>
          <w:szCs w:val="24"/>
          <w:lang w:eastAsia="en-GB"/>
        </w:rPr>
      </w:pPr>
      <w:r w:rsidRPr="00066541">
        <w:rPr>
          <w:rFonts w:eastAsia="Times New Roman" w:cstheme="majorBidi"/>
          <w:noProof w:val="0"/>
          <w:color w:val="000000" w:themeColor="text1"/>
          <w:szCs w:val="24"/>
          <w:lang w:val="en-GB" w:eastAsia="en-GB"/>
        </w:rPr>
        <w:lastRenderedPageBreak/>
        <w:t xml:space="preserve">Selain mengevaluasi kinerja keseluruhan organisasi, pengukuran kinerja dapat digunakan untuk menentukan seberapa baik suatu komponen tertentu berkontribusi terhadap tujuan keseluruhan perusahaan. </w:t>
      </w:r>
    </w:p>
    <w:p w:rsidR="00A41A7C" w:rsidRPr="00066541" w:rsidRDefault="00A41A7C" w:rsidP="00A41A7C">
      <w:pPr>
        <w:pStyle w:val="ListParagraph"/>
        <w:numPr>
          <w:ilvl w:val="0"/>
          <w:numId w:val="9"/>
        </w:numPr>
        <w:spacing w:after="0"/>
        <w:ind w:left="426" w:hanging="426"/>
        <w:jc w:val="both"/>
        <w:rPr>
          <w:rFonts w:eastAsia="Times New Roman" w:cstheme="majorBidi"/>
          <w:noProof w:val="0"/>
          <w:color w:val="000000" w:themeColor="text1"/>
          <w:szCs w:val="24"/>
          <w:lang w:eastAsia="en-GB"/>
        </w:rPr>
      </w:pPr>
      <w:r w:rsidRPr="00066541">
        <w:rPr>
          <w:rFonts w:eastAsia="Times New Roman" w:cstheme="majorBidi"/>
          <w:noProof w:val="0"/>
          <w:color w:val="000000" w:themeColor="text1"/>
          <w:szCs w:val="24"/>
          <w:lang w:val="en-GB" w:eastAsia="en-GB"/>
        </w:rPr>
        <w:t xml:space="preserve">Ini dapat berfungsi sebagai dasar untuk merumuskan rencana jangka panjang bisnis. </w:t>
      </w:r>
    </w:p>
    <w:p w:rsidR="00A41A7C" w:rsidRPr="00066541" w:rsidRDefault="00A41A7C" w:rsidP="00A41A7C">
      <w:pPr>
        <w:pStyle w:val="ListParagraph"/>
        <w:numPr>
          <w:ilvl w:val="0"/>
          <w:numId w:val="9"/>
        </w:numPr>
        <w:spacing w:after="0"/>
        <w:ind w:left="426" w:hanging="426"/>
        <w:jc w:val="both"/>
        <w:rPr>
          <w:rFonts w:eastAsia="Times New Roman" w:cstheme="majorBidi"/>
          <w:noProof w:val="0"/>
          <w:color w:val="000000" w:themeColor="text1"/>
          <w:szCs w:val="24"/>
          <w:lang w:eastAsia="en-GB"/>
        </w:rPr>
      </w:pPr>
      <w:r w:rsidRPr="00066541">
        <w:rPr>
          <w:rFonts w:eastAsia="Times New Roman" w:cstheme="majorBidi"/>
          <w:noProof w:val="0"/>
          <w:color w:val="000000" w:themeColor="text1"/>
          <w:szCs w:val="24"/>
          <w:lang w:val="en-GB" w:eastAsia="en-GB"/>
        </w:rPr>
        <w:t xml:space="preserve">Memberikan saran tentang kegiatan organisasi dan pengambilan keputusan secara umum, serta kegiatan divisi atau unit organisasi secara khusus. </w:t>
      </w:r>
    </w:p>
    <w:p w:rsidR="00A41A7C" w:rsidRPr="00066541" w:rsidRDefault="00A41A7C" w:rsidP="00A41A7C">
      <w:pPr>
        <w:pStyle w:val="ListParagraph"/>
        <w:numPr>
          <w:ilvl w:val="0"/>
          <w:numId w:val="9"/>
        </w:numPr>
        <w:spacing w:after="0"/>
        <w:ind w:left="426" w:hanging="426"/>
        <w:jc w:val="both"/>
        <w:rPr>
          <w:rFonts w:eastAsia="Times New Roman" w:cstheme="majorBidi"/>
          <w:noProof w:val="0"/>
          <w:color w:val="000000" w:themeColor="text1"/>
          <w:szCs w:val="24"/>
          <w:lang w:val="en-GB" w:eastAsia="en-GB"/>
        </w:rPr>
      </w:pPr>
      <w:r w:rsidRPr="00066541">
        <w:rPr>
          <w:rFonts w:eastAsia="Times New Roman" w:cstheme="majorBidi"/>
          <w:noProof w:val="0"/>
          <w:color w:val="000000" w:themeColor="text1"/>
          <w:szCs w:val="24"/>
          <w:lang w:val="en-GB" w:eastAsia="en-GB"/>
        </w:rPr>
        <w:t xml:space="preserve">Sebagai dasar untuk memilih strategi investasi yang akan meningkatkan produksi dan efisiensi perusahaan. </w:t>
      </w:r>
    </w:p>
    <w:p w:rsidR="00A41A7C" w:rsidRPr="00066541" w:rsidRDefault="00A41A7C" w:rsidP="00A41A7C">
      <w:pPr>
        <w:pStyle w:val="Heading2"/>
        <w:rPr>
          <w:rFonts w:eastAsia="Times New Roman"/>
          <w:lang w:eastAsia="en-GB"/>
        </w:rPr>
      </w:pPr>
      <w:bookmarkStart w:id="6" w:name="_Toc201095821"/>
      <w:r w:rsidRPr="00066541">
        <w:rPr>
          <w:rFonts w:eastAsia="Times New Roman"/>
          <w:lang w:eastAsia="en-GB"/>
        </w:rPr>
        <w:t>2.2 Penelitian Terdahulu</w:t>
      </w:r>
      <w:bookmarkEnd w:id="6"/>
    </w:p>
    <w:p w:rsidR="00A41A7C" w:rsidRPr="00066541" w:rsidRDefault="00A41A7C" w:rsidP="00A41A7C">
      <w:pPr>
        <w:spacing w:after="0"/>
        <w:jc w:val="both"/>
        <w:rPr>
          <w:rFonts w:cstheme="majorBidi"/>
          <w:noProof w:val="0"/>
          <w:color w:val="000000" w:themeColor="text1"/>
          <w:szCs w:val="24"/>
        </w:rPr>
      </w:pPr>
      <w:r w:rsidRPr="00066541">
        <w:rPr>
          <w:rFonts w:cstheme="majorBidi"/>
          <w:noProof w:val="0"/>
          <w:color w:val="000000" w:themeColor="text1"/>
          <w:szCs w:val="24"/>
          <w:lang w:val="en-GB"/>
        </w:rPr>
        <w:t>Dibawah ini terdapat beberapa hasil dari penelitian terdahulu:</w:t>
      </w:r>
    </w:p>
    <w:p w:rsidR="00A41A7C" w:rsidRDefault="00A41A7C" w:rsidP="00A41A7C">
      <w:pPr>
        <w:pStyle w:val="Caption"/>
        <w:jc w:val="center"/>
        <w:rPr>
          <w:color w:val="000000" w:themeColor="text1"/>
          <w:sz w:val="24"/>
          <w:szCs w:val="24"/>
        </w:rPr>
      </w:pPr>
      <w:bookmarkStart w:id="7" w:name="_Toc202134681"/>
      <w:bookmarkStart w:id="8" w:name="_Toc203293283"/>
      <w:r w:rsidRPr="00066541">
        <w:rPr>
          <w:color w:val="000000" w:themeColor="text1"/>
          <w:sz w:val="24"/>
          <w:szCs w:val="24"/>
        </w:rPr>
        <w:t xml:space="preserve">Tabel 2. </w:t>
      </w:r>
      <w:r w:rsidR="00986164" w:rsidRPr="00066541">
        <w:rPr>
          <w:color w:val="000000" w:themeColor="text1"/>
          <w:sz w:val="24"/>
          <w:szCs w:val="24"/>
        </w:rPr>
        <w:fldChar w:fldCharType="begin"/>
      </w:r>
      <w:r w:rsidRPr="00066541">
        <w:rPr>
          <w:color w:val="000000" w:themeColor="text1"/>
          <w:sz w:val="24"/>
          <w:szCs w:val="24"/>
        </w:rPr>
        <w:instrText xml:space="preserve"> SEQ Tabel_2. \* ARABIC </w:instrText>
      </w:r>
      <w:r w:rsidR="00986164" w:rsidRPr="00066541">
        <w:rPr>
          <w:color w:val="000000" w:themeColor="text1"/>
          <w:sz w:val="24"/>
          <w:szCs w:val="24"/>
        </w:rPr>
        <w:fldChar w:fldCharType="separate"/>
      </w:r>
      <w:r w:rsidRPr="00066541">
        <w:rPr>
          <w:color w:val="000000" w:themeColor="text1"/>
          <w:sz w:val="24"/>
          <w:szCs w:val="24"/>
        </w:rPr>
        <w:t>1</w:t>
      </w:r>
      <w:bookmarkEnd w:id="7"/>
      <w:r w:rsidR="00986164" w:rsidRPr="00066541">
        <w:rPr>
          <w:color w:val="000000" w:themeColor="text1"/>
          <w:sz w:val="24"/>
          <w:szCs w:val="24"/>
        </w:rPr>
        <w:fldChar w:fldCharType="end"/>
      </w:r>
    </w:p>
    <w:p w:rsidR="00A41A7C" w:rsidRPr="00D30C54" w:rsidRDefault="00A41A7C" w:rsidP="00A41A7C">
      <w:pPr>
        <w:pStyle w:val="Caption"/>
        <w:jc w:val="center"/>
        <w:rPr>
          <w:color w:val="000000" w:themeColor="text1"/>
          <w:sz w:val="24"/>
          <w:szCs w:val="24"/>
        </w:rPr>
      </w:pPr>
      <w:r w:rsidRPr="00066541">
        <w:rPr>
          <w:color w:val="000000" w:themeColor="text1"/>
          <w:sz w:val="24"/>
          <w:szCs w:val="24"/>
        </w:rPr>
        <w:t>Penelitian Terdahulu</w:t>
      </w:r>
      <w:bookmarkEnd w:id="8"/>
    </w:p>
    <w:tbl>
      <w:tblPr>
        <w:tblStyle w:val="TableGrid"/>
        <w:tblW w:w="9215" w:type="dxa"/>
        <w:tblInd w:w="-743" w:type="dxa"/>
        <w:tblLayout w:type="fixed"/>
        <w:tblLook w:val="04A0"/>
      </w:tblPr>
      <w:tblGrid>
        <w:gridCol w:w="567"/>
        <w:gridCol w:w="3828"/>
        <w:gridCol w:w="1826"/>
        <w:gridCol w:w="2994"/>
      </w:tblGrid>
      <w:tr w:rsidR="00A41A7C" w:rsidRPr="00066541" w:rsidTr="00481499">
        <w:tc>
          <w:tcPr>
            <w:tcW w:w="567" w:type="dxa"/>
          </w:tcPr>
          <w:p w:rsidR="00A41A7C" w:rsidRPr="00066541" w:rsidRDefault="00A41A7C" w:rsidP="00481499">
            <w:pPr>
              <w:spacing w:line="240" w:lineRule="auto"/>
              <w:jc w:val="center"/>
              <w:rPr>
                <w:rFonts w:cstheme="majorBidi"/>
                <w:color w:val="000000" w:themeColor="text1"/>
                <w:lang w:eastAsia="en-GB"/>
              </w:rPr>
            </w:pPr>
            <w:r w:rsidRPr="00066541">
              <w:rPr>
                <w:rFonts w:cstheme="majorBidi"/>
                <w:color w:val="000000" w:themeColor="text1"/>
                <w:lang w:eastAsia="en-GB"/>
              </w:rPr>
              <w:t>No</w:t>
            </w:r>
          </w:p>
        </w:tc>
        <w:tc>
          <w:tcPr>
            <w:tcW w:w="3828" w:type="dxa"/>
          </w:tcPr>
          <w:p w:rsidR="00A41A7C" w:rsidRPr="00066541" w:rsidRDefault="00A41A7C" w:rsidP="00481499">
            <w:pPr>
              <w:tabs>
                <w:tab w:val="left" w:pos="1202"/>
              </w:tabs>
              <w:spacing w:line="240" w:lineRule="auto"/>
              <w:jc w:val="center"/>
              <w:rPr>
                <w:rFonts w:cstheme="majorBidi"/>
                <w:color w:val="000000" w:themeColor="text1"/>
                <w:lang w:eastAsia="en-GB"/>
              </w:rPr>
            </w:pPr>
            <w:r w:rsidRPr="00066541">
              <w:rPr>
                <w:rFonts w:cstheme="majorBidi"/>
                <w:color w:val="000000" w:themeColor="text1"/>
                <w:lang w:eastAsia="en-GB"/>
              </w:rPr>
              <w:t>Judul</w:t>
            </w:r>
          </w:p>
          <w:p w:rsidR="00A41A7C" w:rsidRPr="00066541" w:rsidRDefault="00A41A7C" w:rsidP="00481499">
            <w:pPr>
              <w:spacing w:line="240" w:lineRule="auto"/>
              <w:jc w:val="center"/>
              <w:rPr>
                <w:rFonts w:cstheme="majorBidi"/>
                <w:color w:val="000000" w:themeColor="text1"/>
                <w:lang w:eastAsia="en-GB"/>
              </w:rPr>
            </w:pPr>
            <w:r w:rsidRPr="00066541">
              <w:rPr>
                <w:rFonts w:cstheme="majorBidi"/>
                <w:color w:val="000000" w:themeColor="text1"/>
                <w:lang w:eastAsia="en-GB"/>
              </w:rPr>
              <w:t>Nama dan Tahun Peneliti</w:t>
            </w:r>
          </w:p>
        </w:tc>
        <w:tc>
          <w:tcPr>
            <w:tcW w:w="1826" w:type="dxa"/>
            <w:vAlign w:val="center"/>
          </w:tcPr>
          <w:p w:rsidR="00A41A7C" w:rsidRPr="00066541" w:rsidRDefault="00A41A7C" w:rsidP="00481499">
            <w:pPr>
              <w:spacing w:line="240" w:lineRule="auto"/>
              <w:jc w:val="center"/>
              <w:rPr>
                <w:rFonts w:cstheme="majorBidi"/>
                <w:color w:val="000000" w:themeColor="text1"/>
                <w:lang w:eastAsia="en-GB"/>
              </w:rPr>
            </w:pPr>
            <w:r w:rsidRPr="00066541">
              <w:rPr>
                <w:rFonts w:cstheme="majorBidi"/>
                <w:color w:val="000000" w:themeColor="text1"/>
                <w:lang w:eastAsia="en-GB"/>
              </w:rPr>
              <w:t>Variabel Penelitian</w:t>
            </w:r>
          </w:p>
        </w:tc>
        <w:tc>
          <w:tcPr>
            <w:tcW w:w="2994" w:type="dxa"/>
          </w:tcPr>
          <w:p w:rsidR="00A41A7C" w:rsidRPr="00066541" w:rsidRDefault="00A41A7C" w:rsidP="00481499">
            <w:pPr>
              <w:spacing w:line="240" w:lineRule="auto"/>
              <w:jc w:val="center"/>
              <w:rPr>
                <w:rFonts w:cstheme="majorBidi"/>
                <w:color w:val="000000" w:themeColor="text1"/>
                <w:lang w:eastAsia="en-GB"/>
              </w:rPr>
            </w:pPr>
            <w:r w:rsidRPr="00066541">
              <w:rPr>
                <w:rFonts w:cstheme="majorBidi"/>
                <w:color w:val="000000" w:themeColor="text1"/>
                <w:lang w:eastAsia="en-GB"/>
              </w:rPr>
              <w:t>Hasil Penelitian</w:t>
            </w: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1</w:t>
            </w:r>
          </w:p>
        </w:tc>
        <w:tc>
          <w:tcPr>
            <w:tcW w:w="3828"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Pengaruh Likuiditas, Solvabilitas dan Profitabilitas Terhadap Kinerja Keuangan Pada Perusahaan Sub Sektor Otomotif dan Komponen Yang Terdaftar di Bursa Efek Indonesia (BEI) Tahun 2020-2022</w:t>
            </w:r>
          </w:p>
          <w:p w:rsidR="00A41A7C" w:rsidRPr="00066541" w:rsidRDefault="00986164" w:rsidP="00481499">
            <w:pPr>
              <w:spacing w:line="240" w:lineRule="auto"/>
              <w:rPr>
                <w:rFonts w:cstheme="majorBidi"/>
                <w:color w:val="000000" w:themeColor="text1"/>
                <w:lang w:eastAsia="en-GB"/>
              </w:rPr>
            </w:pPr>
            <w:r w:rsidRPr="00066541">
              <w:rPr>
                <w:rFonts w:cstheme="majorBidi"/>
                <w:color w:val="000000" w:themeColor="text1"/>
                <w:lang w:eastAsia="en-GB"/>
              </w:rPr>
              <w:fldChar w:fldCharType="begin" w:fldLock="1"/>
            </w:r>
            <w:r w:rsidR="00A41A7C" w:rsidRPr="00066541">
              <w:rPr>
                <w:rFonts w:cstheme="majorBidi"/>
                <w:color w:val="000000" w:themeColor="text1"/>
                <w:lang w:eastAsia="en-GB"/>
              </w:rPr>
              <w:instrText>ADDIN CSL_CITATION {"citationItems":[{"id":"ITEM-1","itemData":{"abstract":"… Penelititan ini bertujuan untuk mengetahui pengaruh rasio likuiditas, rasio solvabilitas dan rasio aktivitas terhadap rasio profitabilitas pada perusahaan subsektor otomotif dan …","author":[{"dropping-particle":"","family":"F.A","given":"Saputra M.I &amp; Albastiah","non-dropping-particle":"","parse-names":false,"suffix":""}],"id":"ITEM-1","issue":"9","issued":{"date-parts":[["2024"]]},"page":"304-316","title":"Pengaruh Likuiditas, Solvabilitas dan Aktivitas Terhadap Profitabilitas Pada Perusahaan Sub Sektor Otomotif dan Komponen Yang Terdaftar di Bursa Efek Indonesia …","type":"article-journal","volume":"2"},"uris":["http://www.mendeley.com/documents/?uuid=8595ca8b-05a1-4776-9e54-90ec617bb3bd"]}],"mendeley":{"formattedCitation":"(F.A, 2024)","plainTextFormattedCitation":"(F.A, 2024)","previouslyFormattedCitation":"(F.A, 2024)"},"properties":{"noteIndex":0},"schema":"https://github.com/citation-style-language/schema/raw/master/csl-citation.json"}</w:instrText>
            </w:r>
            <w:r w:rsidRPr="00066541">
              <w:rPr>
                <w:rFonts w:cstheme="majorBidi"/>
                <w:color w:val="000000" w:themeColor="text1"/>
                <w:lang w:eastAsia="en-GB"/>
              </w:rPr>
              <w:fldChar w:fldCharType="separate"/>
            </w:r>
            <w:r w:rsidR="00A41A7C" w:rsidRPr="00066541">
              <w:rPr>
                <w:rFonts w:cstheme="majorBidi"/>
                <w:color w:val="000000" w:themeColor="text1"/>
                <w:lang w:eastAsia="en-GB"/>
              </w:rPr>
              <w:t>(F.A, 2024)</w:t>
            </w:r>
            <w:r w:rsidRPr="00066541">
              <w:rPr>
                <w:rFonts w:cstheme="majorBidi"/>
                <w:color w:val="000000" w:themeColor="text1"/>
                <w:lang w:eastAsia="en-GB"/>
              </w:rPr>
              <w:fldChar w:fldCharType="end"/>
            </w:r>
          </w:p>
        </w:tc>
        <w:tc>
          <w:tcPr>
            <w:tcW w:w="1826"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Likuiditas  (X</w:t>
            </w:r>
            <w:r w:rsidRPr="00066541">
              <w:rPr>
                <w:rFonts w:cstheme="majorBidi"/>
                <w:color w:val="000000" w:themeColor="text1"/>
                <w:vertAlign w:val="superscript"/>
                <w:lang w:eastAsia="en-GB"/>
              </w:rPr>
              <w:t>1</w:t>
            </w:r>
            <w:r w:rsidRPr="00066541">
              <w:rPr>
                <w:rFonts w:cstheme="majorBidi"/>
                <w:color w:val="000000" w:themeColor="text1"/>
                <w:lang w:eastAsia="en-GB"/>
              </w:rPr>
              <w:t>), Solvabilitas (X</w:t>
            </w:r>
            <w:r w:rsidRPr="00066541">
              <w:rPr>
                <w:rFonts w:cstheme="majorBidi"/>
                <w:color w:val="000000" w:themeColor="text1"/>
                <w:vertAlign w:val="superscript"/>
                <w:lang w:eastAsia="en-GB"/>
              </w:rPr>
              <w:t>2</w:t>
            </w:r>
            <w:r w:rsidRPr="00066541">
              <w:rPr>
                <w:rFonts w:cstheme="majorBidi"/>
                <w:color w:val="000000" w:themeColor="text1"/>
                <w:lang w:eastAsia="en-GB"/>
              </w:rPr>
              <w:t>) Profitabilitas (X</w:t>
            </w:r>
            <w:r w:rsidRPr="00066541">
              <w:rPr>
                <w:rFonts w:cstheme="majorBidi"/>
                <w:color w:val="000000" w:themeColor="text1"/>
                <w:vertAlign w:val="superscript"/>
                <w:lang w:eastAsia="en-GB"/>
              </w:rPr>
              <w:t>3</w:t>
            </w:r>
            <w:r w:rsidRPr="00066541">
              <w:rPr>
                <w:rFonts w:cstheme="majorBidi"/>
                <w:color w:val="000000" w:themeColor="text1"/>
                <w:lang w:eastAsia="en-GB"/>
              </w:rPr>
              <w:t>), Kinerja Keuangan (Y)</w:t>
            </w:r>
          </w:p>
        </w:tc>
        <w:tc>
          <w:tcPr>
            <w:tcW w:w="2994" w:type="dxa"/>
          </w:tcPr>
          <w:p w:rsidR="00A41A7C" w:rsidRPr="00066541" w:rsidRDefault="00A41A7C" w:rsidP="00481499">
            <w:pPr>
              <w:spacing w:line="240" w:lineRule="auto"/>
              <w:rPr>
                <w:color w:val="000000" w:themeColor="text1"/>
              </w:rPr>
            </w:pPr>
            <w:r w:rsidRPr="00066541">
              <w:rPr>
                <w:color w:val="000000" w:themeColor="text1"/>
              </w:rPr>
              <w:t>Likuiditas memiliki dampak yang menguntungkan tetapi kecil pada hasil keuangan. Kinerja keuangan tidak terpengaruh oleh solvabilitas. Profitabilitas memiliki dampak yang baik dan signifikan pada kesuksesan finansial. Likuiditas, solvabilitas, dan profitabilitas memiliki dampak positif dan signifikan pada kesuksesan finansial.</w:t>
            </w: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2</w:t>
            </w:r>
          </w:p>
        </w:tc>
        <w:tc>
          <w:tcPr>
            <w:tcW w:w="3828" w:type="dxa"/>
          </w:tcPr>
          <w:p w:rsidR="00A41A7C" w:rsidRPr="00066541" w:rsidRDefault="00A41A7C" w:rsidP="00481499">
            <w:pPr>
              <w:spacing w:line="240" w:lineRule="auto"/>
              <w:rPr>
                <w:rFonts w:cstheme="majorBidi"/>
                <w:color w:val="000000" w:themeColor="text1"/>
              </w:rPr>
            </w:pPr>
            <w:r w:rsidRPr="00066541">
              <w:rPr>
                <w:rFonts w:cstheme="majorBidi"/>
                <w:color w:val="000000" w:themeColor="text1"/>
              </w:rPr>
              <w:t>Pengaruh Profitabilitas, Solvabilitas Dan Likuiditas Terhadap Kinerja Keuangan Perusahaan</w:t>
            </w:r>
          </w:p>
          <w:p w:rsidR="00A41A7C" w:rsidRPr="00066541" w:rsidRDefault="00986164" w:rsidP="00481499">
            <w:pPr>
              <w:spacing w:line="240" w:lineRule="auto"/>
              <w:rPr>
                <w:rFonts w:cstheme="majorBidi"/>
                <w:color w:val="000000" w:themeColor="text1"/>
                <w:lang w:eastAsia="en-GB"/>
              </w:rPr>
            </w:pPr>
            <w:r w:rsidRPr="00066541">
              <w:rPr>
                <w:rFonts w:cstheme="majorBidi"/>
                <w:color w:val="000000" w:themeColor="text1"/>
                <w:lang w:eastAsia="en-GB"/>
              </w:rPr>
              <w:fldChar w:fldCharType="begin" w:fldLock="1"/>
            </w:r>
            <w:r w:rsidR="00A41A7C" w:rsidRPr="00066541">
              <w:rPr>
                <w:rFonts w:cstheme="majorBidi"/>
                <w:color w:val="000000" w:themeColor="text1"/>
                <w:lang w:eastAsia="en-GB"/>
              </w:rPr>
              <w:instrText>ADDIN CSL_CITATION {"citationItems":[{"id":"ITEM-1","itemData":{"DOI":"10.59806/tribisnis.v5i1.246","ISSN":"2656-1298","abstract":"Kinerja keuangan pada suatu perusahaan perlu diukur agar dapat mengetahui kemampuan perusahaan dalam bertahan menghadapi persaingan bisnis serta menjadi gambaran mengenai kondisi keuangan yang sedang terjadi dalam perusahaan tersebut. Pengukuran atau penilaian kinerja keuangan dapat diukur menggunakan beberapa faktor  seperti profitabilitas, solvabilitas dan likuiditas serta beberapa faktor lainnya.\r Penelitian ini bertujuan untuk mengetahui pengaruh profitabilitas, solvabilitas dan liduiditas terhadap kinerja keuangan pada perusahaan manufaktur yang terdaftar di Bursa Efek Indonesia (BEI) tahun 2019-2021. Metode pada penelitian ini adalah penelitian kuantitatif. Metode pengumpulan sampel yaitu puposive sampling dengan jumlah sampel pada penelitian mencakup 17 perusahaan yang dipilih berdasarkan beberapa kriteria. Penelitian ini menggunakan data sekunder dengan jumlah data sebanyak 51 yang telah lolos uji asumsi klasik dan analisis regresi linear berganda.\r Hasil penelitian untuk variabel bebas profitabilitas berpengaruh terhadap kinerja keuangan, variabel bebas solvabilitas tidak berpengaruh terhadap kinerja keuangan dan variabel bebas likuiditas berpengaruh terhadap kinerja keuangan.","author":[{"dropping-particle":"","family":"Affi","given":"Febriani","non-dropping-particle":"","parse-names":false,"suffix":""},{"dropping-particle":"","family":"As'ari","given":"Hasim","non-dropping-particle":"","parse-names":false,"suffix":""}],"container-title":"Jurnal Kewirausahaan, Akuntansi Dan Manajemen Tri Bisnis","id":"ITEM-1","issue":"1","issued":{"date-parts":[["2023"]]},"page":"77-86","title":"Pengaruh Profitabilitas, Solvabilitas Dan Likuiditas Terhadap Kinerja Keuangan Perusahaan","type":"article-journal","volume":"5"},"uris":["http://www.mendeley.com/documents/?uuid=e403a51b-cfee-4eb6-948e-97a48862d12c"]}],"mendeley":{"formattedCitation":"(Affi &amp; As’ari, 2023)","plainTextFormattedCitation":"(Affi &amp; As’ari, 2023)","previouslyFormattedCitation":"(Affi &amp; As’ari, 2023)"},"properties":{"noteIndex":0},"schema":"https://github.com/citation-style-language/schema/raw/master/csl-citation.json"}</w:instrText>
            </w:r>
            <w:r w:rsidRPr="00066541">
              <w:rPr>
                <w:rFonts w:cstheme="majorBidi"/>
                <w:color w:val="000000" w:themeColor="text1"/>
                <w:lang w:eastAsia="en-GB"/>
              </w:rPr>
              <w:fldChar w:fldCharType="separate"/>
            </w:r>
            <w:r w:rsidR="00A41A7C" w:rsidRPr="00066541">
              <w:rPr>
                <w:rFonts w:cstheme="majorBidi"/>
                <w:color w:val="000000" w:themeColor="text1"/>
                <w:lang w:eastAsia="en-GB"/>
              </w:rPr>
              <w:t>(Affi &amp; As’ari, 2023)</w:t>
            </w:r>
            <w:r w:rsidRPr="00066541">
              <w:rPr>
                <w:rFonts w:cstheme="majorBidi"/>
                <w:color w:val="000000" w:themeColor="text1"/>
                <w:lang w:eastAsia="en-GB"/>
              </w:rPr>
              <w:fldChar w:fldCharType="end"/>
            </w:r>
          </w:p>
        </w:tc>
        <w:tc>
          <w:tcPr>
            <w:tcW w:w="1826"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rPr>
              <w:t>Profitabilitas (X</w:t>
            </w:r>
            <w:r w:rsidRPr="00066541">
              <w:rPr>
                <w:rFonts w:cstheme="majorBidi"/>
                <w:color w:val="000000" w:themeColor="text1"/>
                <w:vertAlign w:val="superscript"/>
              </w:rPr>
              <w:t>1</w:t>
            </w:r>
            <w:r w:rsidRPr="00066541">
              <w:rPr>
                <w:rFonts w:cstheme="majorBidi"/>
                <w:color w:val="000000" w:themeColor="text1"/>
              </w:rPr>
              <w:t>), Solvabilitas (X</w:t>
            </w:r>
            <w:r w:rsidRPr="00066541">
              <w:rPr>
                <w:rFonts w:cstheme="majorBidi"/>
                <w:color w:val="000000" w:themeColor="text1"/>
                <w:vertAlign w:val="superscript"/>
              </w:rPr>
              <w:t>2</w:t>
            </w:r>
            <w:r w:rsidRPr="00066541">
              <w:rPr>
                <w:rFonts w:cstheme="majorBidi"/>
                <w:color w:val="000000" w:themeColor="text1"/>
              </w:rPr>
              <w:t>), Likuiditas (X</w:t>
            </w:r>
            <w:r w:rsidRPr="00066541">
              <w:rPr>
                <w:rFonts w:cstheme="majorBidi"/>
                <w:color w:val="000000" w:themeColor="text1"/>
                <w:vertAlign w:val="superscript"/>
              </w:rPr>
              <w:t>3</w:t>
            </w:r>
            <w:r w:rsidRPr="00066541">
              <w:rPr>
                <w:rFonts w:cstheme="majorBidi"/>
                <w:color w:val="000000" w:themeColor="text1"/>
              </w:rPr>
              <w:t>), Kinerja Keuangan (Y)</w:t>
            </w:r>
          </w:p>
        </w:tc>
        <w:tc>
          <w:tcPr>
            <w:tcW w:w="2994" w:type="dxa"/>
          </w:tcPr>
          <w:p w:rsidR="00A41A7C" w:rsidRPr="00066541" w:rsidRDefault="00A41A7C" w:rsidP="00481499">
            <w:pPr>
              <w:spacing w:line="240" w:lineRule="auto"/>
              <w:rPr>
                <w:color w:val="000000" w:themeColor="text1"/>
              </w:rPr>
            </w:pPr>
            <w:r w:rsidRPr="00066541">
              <w:rPr>
                <w:color w:val="000000" w:themeColor="text1"/>
              </w:rPr>
              <w:t>Menurut temuan penelitian, ukuran likuiditas, solvabilitas, dan profitabilitas tidak memiliki efek terhadap keberhasilan finansial yang diukur dengan Laba Per Saham.</w:t>
            </w: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lastRenderedPageBreak/>
              <w:t>3</w:t>
            </w:r>
          </w:p>
        </w:tc>
        <w:tc>
          <w:tcPr>
            <w:tcW w:w="3828" w:type="dxa"/>
          </w:tcPr>
          <w:p w:rsidR="00A41A7C" w:rsidRPr="00066541" w:rsidRDefault="00A41A7C" w:rsidP="00481499">
            <w:pPr>
              <w:spacing w:line="240" w:lineRule="auto"/>
              <w:rPr>
                <w:rFonts w:cstheme="majorBidi"/>
                <w:color w:val="000000" w:themeColor="text1"/>
              </w:rPr>
            </w:pPr>
            <w:r w:rsidRPr="00066541">
              <w:rPr>
                <w:rFonts w:cstheme="majorBidi"/>
                <w:color w:val="000000" w:themeColor="text1"/>
              </w:rPr>
              <w:t>Analisis Kinerja Keuangan Dengan Menggunakan Rasio Likuiditas, Solvabilitas Dan Profitabilitas Pada PT. Bank BNI (Persero), TBK</w:t>
            </w:r>
          </w:p>
          <w:p w:rsidR="00A41A7C" w:rsidRPr="00066541" w:rsidRDefault="00986164" w:rsidP="00481499">
            <w:pPr>
              <w:spacing w:line="240" w:lineRule="auto"/>
              <w:rPr>
                <w:rFonts w:cstheme="majorBidi"/>
                <w:color w:val="000000" w:themeColor="text1"/>
                <w:lang w:eastAsia="en-GB"/>
              </w:rPr>
            </w:pPr>
            <w:r w:rsidRPr="00066541">
              <w:rPr>
                <w:rFonts w:cstheme="majorBidi"/>
                <w:color w:val="000000" w:themeColor="text1"/>
                <w:lang w:eastAsia="en-GB"/>
              </w:rPr>
              <w:fldChar w:fldCharType="begin" w:fldLock="1"/>
            </w:r>
            <w:r w:rsidR="00A41A7C" w:rsidRPr="00066541">
              <w:rPr>
                <w:rFonts w:cstheme="majorBidi"/>
                <w:color w:val="000000" w:themeColor="text1"/>
                <w:lang w:eastAsia="en-GB"/>
              </w:rPr>
              <w:instrText>ADDIN CSL_CITATION {"citationItems":[{"id":"ITEM-1","itemData":{"DOI":"10.52005/aktiva.v3i3.102","abstract":"Banking is an industry that handles cash, credit, and other transactions. So that banking is defined as the backbone in building the economic and financial system in Indonesia as well as channeling funds for the community which aims to support the implementation of national development in order to increase equitable distribution of development and its results, and to assess the financial performance of a bank can be seen from how many indicators , one of which is the financial statements. Financial report is a report that contains the recording of money and transactions in and out of banking, and has economic and monetary value. The purpose of this research is “to study and understand the financial performance of PT. BNI Persero, Tbk, based on liquidity ratios, solvency and profitability ratios”. This study uses descriptive and quantitative methods of measuring liquidity ratios, solvency and profitability ratios. Based on this method, it can be seen that the results of the financial performance of PT. BNI Persero, Tbk is liquid because it meets the standard ratio of Indonesia. Then it can be seen that the LDR ratio has decreased for 3 years. Based on the solvency ratio, the bank's position is solvable, because BNI Persero is in sufficient condition to guarantee both short-term and long-term debt.","author":[{"dropping-particle":"","family":"Permana","given":"Imam Setia","non-dropping-particle":"","parse-names":false,"suffix":""},{"dropping-particle":"","family":"Halim","given":"Rossherleen Clarissa","non-dropping-particle":"","parse-names":false,"suffix":""},{"dropping-particle":"","family":"Nenti","given":"Silvia","non-dropping-particle":"","parse-names":false,"suffix":""},{"dropping-particle":"","family":"Zein","given":"Riza Nurrizkinita","non-dropping-particle":"","parse-names":false,"suffix":""}],"container-title":"Jurnal Aktiva : Riset Akuntansi dan Keuangan","id":"ITEM-1","issue":"3","issued":{"date-parts":[["2022"]]},"page":"132-139","title":"Analisis Kinerja Keuangan Dengan Menggunakan Rasio Likuiditas, Solvabilitas Dan Profitabilitas Pada PT. Bank BNI (Persero), TBK","type":"article-journal","volume":"3"},"uris":["http://www.mendeley.com/documents/?uuid=a6af0853-e6cf-431c-96b7-7c03a9ff3713"]}],"mendeley":{"formattedCitation":"(Permana et al., 2022)","plainTextFormattedCitation":"(Permana et al., 2022)","previouslyFormattedCitation":"(Permana et al., 2022)"},"properties":{"noteIndex":0},"schema":"https://github.com/citation-style-language/schema/raw/master/csl-citation.json"}</w:instrText>
            </w:r>
            <w:r w:rsidRPr="00066541">
              <w:rPr>
                <w:rFonts w:cstheme="majorBidi"/>
                <w:color w:val="000000" w:themeColor="text1"/>
                <w:lang w:eastAsia="en-GB"/>
              </w:rPr>
              <w:fldChar w:fldCharType="separate"/>
            </w:r>
            <w:r w:rsidR="00A41A7C" w:rsidRPr="00066541">
              <w:rPr>
                <w:rFonts w:cstheme="majorBidi"/>
                <w:color w:val="000000" w:themeColor="text1"/>
                <w:lang w:eastAsia="en-GB"/>
              </w:rPr>
              <w:t>(Permana et al., 2022)</w:t>
            </w:r>
            <w:r w:rsidRPr="00066541">
              <w:rPr>
                <w:rFonts w:cstheme="majorBidi"/>
                <w:color w:val="000000" w:themeColor="text1"/>
                <w:lang w:eastAsia="en-GB"/>
              </w:rPr>
              <w:fldChar w:fldCharType="end"/>
            </w:r>
          </w:p>
        </w:tc>
        <w:tc>
          <w:tcPr>
            <w:tcW w:w="1826"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rPr>
              <w:t>Kinerja Keuangan (Y) Likuiditas (X</w:t>
            </w:r>
            <w:r w:rsidRPr="00066541">
              <w:rPr>
                <w:rFonts w:cstheme="majorBidi"/>
                <w:color w:val="000000" w:themeColor="text1"/>
                <w:vertAlign w:val="superscript"/>
              </w:rPr>
              <w:t>1</w:t>
            </w:r>
            <w:r w:rsidRPr="00066541">
              <w:rPr>
                <w:rFonts w:cstheme="majorBidi"/>
                <w:color w:val="000000" w:themeColor="text1"/>
              </w:rPr>
              <w:t>), Solvabilitas (X</w:t>
            </w:r>
            <w:r w:rsidRPr="00066541">
              <w:rPr>
                <w:rFonts w:cstheme="majorBidi"/>
                <w:color w:val="000000" w:themeColor="text1"/>
                <w:vertAlign w:val="superscript"/>
              </w:rPr>
              <w:t>2</w:t>
            </w:r>
            <w:r w:rsidRPr="00066541">
              <w:rPr>
                <w:rFonts w:cstheme="majorBidi"/>
                <w:color w:val="000000" w:themeColor="text1"/>
              </w:rPr>
              <w:t>), Profitabilitas (X</w:t>
            </w:r>
            <w:r w:rsidRPr="00066541">
              <w:rPr>
                <w:rFonts w:cstheme="majorBidi"/>
                <w:color w:val="000000" w:themeColor="text1"/>
                <w:vertAlign w:val="superscript"/>
              </w:rPr>
              <w:t>3</w:t>
            </w:r>
            <w:r w:rsidRPr="00066541">
              <w:rPr>
                <w:rFonts w:cstheme="majorBidi"/>
                <w:color w:val="000000" w:themeColor="text1"/>
              </w:rPr>
              <w:t>)</w:t>
            </w:r>
          </w:p>
        </w:tc>
        <w:tc>
          <w:tcPr>
            <w:tcW w:w="2994" w:type="dxa"/>
          </w:tcPr>
          <w:p w:rsidR="00A41A7C" w:rsidRPr="00066541" w:rsidRDefault="00A41A7C" w:rsidP="00481499">
            <w:pPr>
              <w:spacing w:line="240" w:lineRule="auto"/>
              <w:rPr>
                <w:rFonts w:cstheme="majorBidi"/>
                <w:color w:val="000000" w:themeColor="text1"/>
                <w:lang w:eastAsia="en-GB"/>
              </w:rPr>
            </w:pPr>
            <w:r w:rsidRPr="00066541">
              <w:rPr>
                <w:color w:val="000000" w:themeColor="text1"/>
              </w:rPr>
              <w:t xml:space="preserve">Rasio likuiditas PT Bank BRI, Tbk, yang terdiri dari pengukuran seperti rasio cepat, rasio perbankan, dan rasio aset terhadap pinjaman, memperlihatkan bahwa kinerja keuangan Bank BRI dari tahun 2015 hingga 2017 ialah likuid, dengan ketiga indikator tersebut mematuhi kriteria Bank Indonesia. Rasio solvabilitas PT. Bank BRI, Tbk dari tahun 2015 hingga 2017 dianggap solvabel karena persentase keempat indikator ini telah meningkat selama tiga tahun terakhir dan mematuhi </w:t>
            </w:r>
            <w:r w:rsidRPr="00066541">
              <w:rPr>
                <w:i/>
                <w:iCs/>
                <w:color w:val="000000" w:themeColor="text1"/>
              </w:rPr>
              <w:t>bank standar healty</w:t>
            </w:r>
            <w:r w:rsidRPr="00066541">
              <w:rPr>
                <w:color w:val="000000" w:themeColor="text1"/>
              </w:rPr>
              <w:t>. Rasio profitabilitas PT. Bank BRI, Tbk, yang mencakup indikator seperti margin laba bersih, pengembalian ekuitas, dan pengembalian atas total aset, telah jatuh.</w:t>
            </w: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4</w:t>
            </w:r>
          </w:p>
        </w:tc>
        <w:tc>
          <w:tcPr>
            <w:tcW w:w="3828" w:type="dxa"/>
          </w:tcPr>
          <w:p w:rsidR="00A41A7C" w:rsidRPr="00066541" w:rsidRDefault="00A41A7C" w:rsidP="00481499">
            <w:pPr>
              <w:spacing w:line="240" w:lineRule="auto"/>
              <w:rPr>
                <w:rFonts w:cstheme="majorBidi"/>
                <w:color w:val="000000" w:themeColor="text1"/>
              </w:rPr>
            </w:pPr>
            <w:r w:rsidRPr="00066541">
              <w:rPr>
                <w:rFonts w:cstheme="majorBidi"/>
                <w:color w:val="000000" w:themeColor="text1"/>
              </w:rPr>
              <w:t>Pengaruh Profitabilitas, Likuiditas dan Kepemilikan Manajerial terhadap Nilai Perusahaan</w:t>
            </w:r>
          </w:p>
          <w:p w:rsidR="00A41A7C" w:rsidRPr="00066541" w:rsidRDefault="00986164" w:rsidP="00481499">
            <w:pPr>
              <w:spacing w:line="240" w:lineRule="auto"/>
              <w:rPr>
                <w:rFonts w:cstheme="majorBidi"/>
                <w:color w:val="000000" w:themeColor="text1"/>
                <w:lang w:eastAsia="en-GB"/>
              </w:rPr>
            </w:pPr>
            <w:r w:rsidRPr="00066541">
              <w:rPr>
                <w:rFonts w:cstheme="majorBidi"/>
                <w:color w:val="000000" w:themeColor="text1"/>
                <w:lang w:eastAsia="en-GB"/>
              </w:rPr>
              <w:fldChar w:fldCharType="begin" w:fldLock="1"/>
            </w:r>
            <w:r w:rsidR="00A41A7C" w:rsidRPr="00066541">
              <w:rPr>
                <w:rFonts w:cstheme="majorBidi"/>
                <w:color w:val="000000" w:themeColor="text1"/>
                <w:lang w:eastAsia="en-GB"/>
              </w:rPr>
              <w:instrText>ADDIN CSL_CITATION {"citationItems":[{"id":"ITEM-1","itemData":{"DOI":"10.33395/owner.v6i1.682","ISSN":"2548-7507","abstract":"Company value is a condition of achievement in a company that has earned public trust. Firm value is an important indicator in observing shareholder prosperity. There are various factors that can affect the value of the company. The purpose of this study was to determine and examine the effect of profitability, liquidity, and managerial ownership on firm value in manufacturing companies listed on the Indonesia Stock Exchange in 2017-2020. This research is a quantitative research with the object of research in the form of manufacturing companies listed on the Indonesia Stock Exchange (IDX) in 2017-2020. The population in this study were manufacturing companies listed on the Indonesia Stock Exchange in 2017-2020 as many as 686 companies. While the selected sample is 329 data on manufacturing companies listed on the Indonesia Stock Exchange (IDX) during 2017-2020. The sample in this study was taken using a purposive sampling technique. The type of data used in this research is secondary data. The analytical technique used in this research is multiple linear regression analysis. The results of this study indicate that liquidity as measured by Current Ratio (CR) has a significant negative effect on firm value, while managerial ownership as measured by MOWN has a significant positive effect on firm value. However, profitability as measured using Ratio on Assets (ROA) has no effect on firm value.\r  \r Keywords: firm value; profitabilit; liquidity; managerial ownership","author":[{"dropping-particle":"","family":"Nur utami","given":"Citra","non-dropping-particle":"","parse-names":false,"suffix":""},{"dropping-particle":"","family":"Widati","given":"Listyorini Wahyu","non-dropping-particle":"","parse-names":false,"suffix":""}],"container-title":"Owner","id":"ITEM-1","issue":"1","issued":{"date-parts":[["2022"]]},"page":"885-893","title":"Pengaruh Profitabilitas, Likuiditas dan Kepemilikan Manajerial terhadap Nilai Perusahaan","type":"article-journal","volume":"6"},"uris":["http://www.mendeley.com/documents/?uuid=edea659e-a177-4316-80ca-15fe005d0317"]}],"mendeley":{"formattedCitation":"(Nur utami &amp; Widati, 2022)","plainTextFormattedCitation":"(Nur utami &amp; Widati, 2022)"},"properties":{"noteIndex":0},"schema":"https://github.com/citation-style-language/schema/raw/master/csl-citation.json"}</w:instrText>
            </w:r>
            <w:r w:rsidRPr="00066541">
              <w:rPr>
                <w:rFonts w:cstheme="majorBidi"/>
                <w:color w:val="000000" w:themeColor="text1"/>
                <w:lang w:eastAsia="en-GB"/>
              </w:rPr>
              <w:fldChar w:fldCharType="separate"/>
            </w:r>
            <w:r w:rsidR="00A41A7C" w:rsidRPr="00066541">
              <w:rPr>
                <w:rFonts w:cstheme="majorBidi"/>
                <w:color w:val="000000" w:themeColor="text1"/>
                <w:lang w:eastAsia="en-GB"/>
              </w:rPr>
              <w:t>(Nur utami &amp; Widati, 2022)</w:t>
            </w:r>
            <w:r w:rsidRPr="00066541">
              <w:rPr>
                <w:rFonts w:cstheme="majorBidi"/>
                <w:color w:val="000000" w:themeColor="text1"/>
                <w:lang w:eastAsia="en-GB"/>
              </w:rPr>
              <w:fldChar w:fldCharType="end"/>
            </w:r>
          </w:p>
        </w:tc>
        <w:tc>
          <w:tcPr>
            <w:tcW w:w="1826"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Profitabilitas (X</w:t>
            </w:r>
            <w:r w:rsidRPr="00066541">
              <w:rPr>
                <w:rFonts w:cstheme="majorBidi"/>
                <w:color w:val="000000" w:themeColor="text1"/>
                <w:vertAlign w:val="superscript"/>
                <w:lang w:eastAsia="en-GB"/>
              </w:rPr>
              <w:t>1</w:t>
            </w:r>
            <w:r w:rsidRPr="00066541">
              <w:rPr>
                <w:rFonts w:cstheme="majorBidi"/>
                <w:color w:val="000000" w:themeColor="text1"/>
                <w:lang w:eastAsia="en-GB"/>
              </w:rPr>
              <w:t>), Likuiditas (X</w:t>
            </w:r>
            <w:r w:rsidRPr="00066541">
              <w:rPr>
                <w:rFonts w:cstheme="majorBidi"/>
                <w:color w:val="000000" w:themeColor="text1"/>
                <w:vertAlign w:val="superscript"/>
                <w:lang w:eastAsia="en-GB"/>
              </w:rPr>
              <w:t>2</w:t>
            </w:r>
            <w:r w:rsidRPr="00066541">
              <w:rPr>
                <w:rFonts w:cstheme="majorBidi"/>
                <w:color w:val="000000" w:themeColor="text1"/>
                <w:lang w:eastAsia="en-GB"/>
              </w:rPr>
              <w:t>), Kepemilikan Manajerial (X</w:t>
            </w:r>
            <w:r w:rsidRPr="00066541">
              <w:rPr>
                <w:rFonts w:cstheme="majorBidi"/>
                <w:color w:val="000000" w:themeColor="text1"/>
                <w:vertAlign w:val="superscript"/>
                <w:lang w:eastAsia="en-GB"/>
              </w:rPr>
              <w:t>3</w:t>
            </w:r>
            <w:r w:rsidRPr="00066541">
              <w:rPr>
                <w:rFonts w:cstheme="majorBidi"/>
                <w:color w:val="000000" w:themeColor="text1"/>
                <w:lang w:eastAsia="en-GB"/>
              </w:rPr>
              <w:t>), Nilai Perusahaan (Y)</w:t>
            </w:r>
          </w:p>
        </w:tc>
        <w:tc>
          <w:tcPr>
            <w:tcW w:w="2994" w:type="dxa"/>
          </w:tcPr>
          <w:p w:rsidR="00A41A7C" w:rsidRPr="00066541" w:rsidRDefault="00A41A7C" w:rsidP="00481499">
            <w:pPr>
              <w:spacing w:line="240" w:lineRule="auto"/>
              <w:rPr>
                <w:color w:val="000000" w:themeColor="text1"/>
              </w:rPr>
            </w:pPr>
            <w:r w:rsidRPr="00066541">
              <w:rPr>
                <w:color w:val="000000" w:themeColor="text1"/>
              </w:rPr>
              <w:t xml:space="preserve">Berdasarkan hasil pengujian dan diskusi, dapat di ambil kesimpulan bahwa profitabilitas, yang pengukurannya menggunakan dengan </w:t>
            </w:r>
            <w:r w:rsidRPr="00066541">
              <w:rPr>
                <w:i/>
                <w:iCs/>
                <w:color w:val="000000" w:themeColor="text1"/>
              </w:rPr>
              <w:t>Return on Assets</w:t>
            </w:r>
            <w:r w:rsidRPr="00066541">
              <w:rPr>
                <w:color w:val="000000" w:themeColor="text1"/>
              </w:rPr>
              <w:t xml:space="preserve"> (ROA), tidak berpengaruh terhadap nilai perusahaan, likuiditas, yang diukur </w:t>
            </w:r>
            <w:r w:rsidRPr="00066541">
              <w:rPr>
                <w:i/>
                <w:iCs/>
                <w:color w:val="000000" w:themeColor="text1"/>
              </w:rPr>
              <w:t>dengan Current Ratio</w:t>
            </w:r>
            <w:r w:rsidRPr="00066541">
              <w:rPr>
                <w:color w:val="000000" w:themeColor="text1"/>
              </w:rPr>
              <w:t xml:space="preserve"> (CR), memiliki pengaruh negatif yang signifikan terhadap nilai perusahaan, dan kepemilikan manajerial, yang diukur dengan MOWN, memiliki pengaruh positif yang signifikan terhadap nilainya.</w:t>
            </w: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5</w:t>
            </w:r>
          </w:p>
        </w:tc>
        <w:tc>
          <w:tcPr>
            <w:tcW w:w="3828" w:type="dxa"/>
          </w:tcPr>
          <w:p w:rsidR="00A41A7C" w:rsidRPr="00066541" w:rsidRDefault="00A41A7C" w:rsidP="00481499">
            <w:pPr>
              <w:spacing w:line="240" w:lineRule="auto"/>
              <w:rPr>
                <w:rFonts w:cstheme="majorBidi"/>
                <w:color w:val="000000" w:themeColor="text1"/>
                <w:lang w:eastAsia="en-GB"/>
              </w:rPr>
            </w:pPr>
            <w:r w:rsidRPr="00066541">
              <w:rPr>
                <w:rFonts w:cstheme="majorBidi"/>
                <w:i/>
                <w:iCs/>
                <w:color w:val="000000" w:themeColor="text1"/>
              </w:rPr>
              <w:t>The Effect of Liquidity, Net Interest Margin and Good Corporate Governance Risk on Sharia Banking Financial Performance</w:t>
            </w:r>
            <w:r w:rsidR="00986164" w:rsidRPr="00066541">
              <w:rPr>
                <w:rFonts w:cstheme="majorBidi"/>
                <w:color w:val="000000" w:themeColor="text1"/>
              </w:rPr>
              <w:fldChar w:fldCharType="begin" w:fldLock="1"/>
            </w:r>
            <w:r w:rsidRPr="00066541">
              <w:rPr>
                <w:rFonts w:cstheme="majorBidi"/>
                <w:color w:val="000000" w:themeColor="text1"/>
              </w:rPr>
              <w:instrText>ADDIN CSL_CITATION {"citationItems":[{"id":"ITEM-1","itemData":{"DOI":"10.46827/ejefr.v4i4.1044","ISSN":"25019430","abstract":"This research is categorized as quantitative research. While the research design used in this research is correlation analysis, which is a type of research carried out with the aim of detecting the extent to which variations in a factor are correlated with one or more other factors based on the correlation coefficient. The research objective is to explain the effect and hypothesis testing by analyzing various data in the field. In the context of this research is to obtain facts from existing phenomena and to seek factual information about the improvement of Islamic banking financial performance. The population in this study were 11 Islamic banks in Indonesia with a 3-year observation period 2018-2020. The technique for determining the number of samples used was the saturated sample method in which the number of sample observations was 33 observation data. Data collection methods used in this study are primary data and secondary data. The results showed that Liquidity Risk has a positive and significant effect on Islamic Banking Financial Performance. Net Interest Margin has a positive and significant effect on Islamic Banking Financial Performance, Good Corporate Governance has no and significant effect on Islamic Banking Financial Performance and simultaneously Liquidity Risk, Net Interest Margin and Good Corporate Governance have a positive and significant effect on Islamic Banking Financial Performance. \r \r JEL: G30; G10; G24\r \r &lt;p&gt;&lt;/p&gt;&lt;p&gt;&lt;strong&gt; Article visualizations:&lt;/strong&gt;&lt;/p&gt;&lt;p&gt;&lt;img src=\"/-counters-/edu_01/0777/a.php\" alt=\"Hit counter\" /&gt;&lt;/p&gt;","author":[{"dropping-particle":"","family":"Hidayat","given":"Toni","non-dropping-particle":"","parse-names":false,"suffix":""},{"dropping-particle":"","family":"Malik","given":"Abdul","non-dropping-particle":"","parse-names":false,"suffix":""},{"dropping-particle":"","family":"Siregar","given":"Disna Anum","non-dropping-particle":"","parse-names":false,"suffix":""},{"dropping-particle":"","family":"Munawaroh","given":"M.","non-dropping-particle":"","parse-names":false,"suffix":""}],"container-title":"European Journal of Economic and Financial Research","id":"ITEM-1","issue":"4","issued":{"date-parts":[["2021"]]},"page":"189-196","title":"the Effect of Liquidity, Net Interest Margin and Good Corporate Governance Risk on Sharia Banking Financial Performance","type":"article-journal","volume":"4"},"uris":["http://www.mendeley.com/documents/?uuid=446bdc2e-595b-4e75-a3d1-8844ff174c06"]}],"mendeley":{"formattedCitation":"(Hidayat et al., 2021)","plainTextFormattedCitation":"(Hidayat et al., 2021)","previouslyFormattedCitation":"(Hidayat et al., 2021)"},"properties":{"noteIndex":0},"schema":"https://github.com/citation-style-language/schema/raw/master/csl-citation.json"}</w:instrText>
            </w:r>
            <w:r w:rsidR="00986164" w:rsidRPr="00066541">
              <w:rPr>
                <w:rFonts w:cstheme="majorBidi"/>
                <w:color w:val="000000" w:themeColor="text1"/>
              </w:rPr>
              <w:fldChar w:fldCharType="separate"/>
            </w:r>
            <w:r w:rsidRPr="00066541">
              <w:rPr>
                <w:rFonts w:cstheme="majorBidi"/>
                <w:color w:val="000000" w:themeColor="text1"/>
              </w:rPr>
              <w:t>(Hidayat et al., 2021)</w:t>
            </w:r>
            <w:r w:rsidR="00986164" w:rsidRPr="00066541">
              <w:rPr>
                <w:rFonts w:cstheme="majorBidi"/>
                <w:color w:val="000000" w:themeColor="text1"/>
              </w:rPr>
              <w:fldChar w:fldCharType="end"/>
            </w:r>
          </w:p>
        </w:tc>
        <w:tc>
          <w:tcPr>
            <w:tcW w:w="1826"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rPr>
              <w:t>Liquidity</w:t>
            </w:r>
            <w:r w:rsidRPr="00066541">
              <w:rPr>
                <w:rFonts w:cstheme="majorBidi"/>
                <w:color w:val="000000" w:themeColor="text1"/>
                <w:lang w:eastAsia="en-GB"/>
              </w:rPr>
              <w:t xml:space="preserve"> (X</w:t>
            </w:r>
            <w:r w:rsidRPr="00066541">
              <w:rPr>
                <w:rFonts w:cstheme="majorBidi"/>
                <w:color w:val="000000" w:themeColor="text1"/>
                <w:vertAlign w:val="superscript"/>
                <w:lang w:eastAsia="en-GB"/>
              </w:rPr>
              <w:t>1</w:t>
            </w:r>
            <w:r w:rsidRPr="00066541">
              <w:rPr>
                <w:rFonts w:cstheme="majorBidi"/>
                <w:color w:val="000000" w:themeColor="text1"/>
                <w:lang w:eastAsia="en-GB"/>
              </w:rPr>
              <w:t xml:space="preserve">), </w:t>
            </w:r>
            <w:r w:rsidRPr="00066541">
              <w:rPr>
                <w:rFonts w:cstheme="majorBidi"/>
                <w:color w:val="000000" w:themeColor="text1"/>
              </w:rPr>
              <w:t>Net Interest Margin</w:t>
            </w:r>
            <w:r w:rsidRPr="00066541">
              <w:rPr>
                <w:rFonts w:cstheme="majorBidi"/>
                <w:color w:val="000000" w:themeColor="text1"/>
                <w:lang w:eastAsia="en-GB"/>
              </w:rPr>
              <w:t xml:space="preserve"> (X</w:t>
            </w:r>
            <w:r w:rsidRPr="00066541">
              <w:rPr>
                <w:rFonts w:cstheme="majorBidi"/>
                <w:color w:val="000000" w:themeColor="text1"/>
                <w:vertAlign w:val="superscript"/>
                <w:lang w:eastAsia="en-GB"/>
              </w:rPr>
              <w:t>2</w:t>
            </w:r>
            <w:r w:rsidRPr="00066541">
              <w:rPr>
                <w:rFonts w:cstheme="majorBidi"/>
                <w:color w:val="000000" w:themeColor="text1"/>
                <w:lang w:eastAsia="en-GB"/>
              </w:rPr>
              <w:t xml:space="preserve">), </w:t>
            </w:r>
            <w:r w:rsidRPr="00066541">
              <w:rPr>
                <w:rFonts w:cstheme="majorBidi"/>
                <w:color w:val="000000" w:themeColor="text1"/>
              </w:rPr>
              <w:t xml:space="preserve">Good Corporate Governance  </w:t>
            </w:r>
            <w:r w:rsidRPr="00066541">
              <w:rPr>
                <w:rFonts w:cstheme="majorBidi"/>
                <w:color w:val="000000" w:themeColor="text1"/>
                <w:lang w:eastAsia="en-GB"/>
              </w:rPr>
              <w:t>(X</w:t>
            </w:r>
            <w:r w:rsidRPr="00066541">
              <w:rPr>
                <w:rFonts w:cstheme="majorBidi"/>
                <w:color w:val="000000" w:themeColor="text1"/>
                <w:vertAlign w:val="superscript"/>
                <w:lang w:eastAsia="en-GB"/>
              </w:rPr>
              <w:t>3</w:t>
            </w:r>
            <w:r w:rsidRPr="00066541">
              <w:rPr>
                <w:rFonts w:cstheme="majorBidi"/>
                <w:color w:val="000000" w:themeColor="text1"/>
                <w:lang w:eastAsia="en-GB"/>
              </w:rPr>
              <w:t xml:space="preserve">), </w:t>
            </w:r>
            <w:r w:rsidRPr="00066541">
              <w:rPr>
                <w:rFonts w:cstheme="majorBidi"/>
                <w:color w:val="000000" w:themeColor="text1"/>
              </w:rPr>
              <w:t>Financial Performance</w:t>
            </w:r>
            <w:r w:rsidRPr="00066541">
              <w:rPr>
                <w:rFonts w:cstheme="majorBidi"/>
                <w:color w:val="000000" w:themeColor="text1"/>
                <w:lang w:eastAsia="en-GB"/>
              </w:rPr>
              <w:t xml:space="preserve"> (Y)</w:t>
            </w:r>
          </w:p>
        </w:tc>
        <w:tc>
          <w:tcPr>
            <w:tcW w:w="2994" w:type="dxa"/>
          </w:tcPr>
          <w:p w:rsidR="00A41A7C" w:rsidRPr="00066541" w:rsidRDefault="00A41A7C" w:rsidP="00481499">
            <w:pPr>
              <w:spacing w:line="240" w:lineRule="auto"/>
              <w:rPr>
                <w:rFonts w:cstheme="majorBidi"/>
                <w:color w:val="000000" w:themeColor="text1"/>
                <w:lang w:val="en-GB" w:eastAsia="en-GB"/>
              </w:rPr>
            </w:pPr>
            <w:r w:rsidRPr="00066541">
              <w:rPr>
                <w:rFonts w:cstheme="majorBidi"/>
                <w:color w:val="000000" w:themeColor="text1"/>
                <w:lang w:val="en-GB" w:eastAsia="en-GB"/>
              </w:rPr>
              <w:t>Risiko Likuiditas (CR) berpengaruh positif dan signifikan terhadap kinerja keuangan bank syariah.</w:t>
            </w:r>
          </w:p>
          <w:p w:rsidR="00A41A7C" w:rsidRPr="00066541" w:rsidRDefault="00A41A7C" w:rsidP="00481499">
            <w:pPr>
              <w:spacing w:line="240" w:lineRule="auto"/>
              <w:rPr>
                <w:rFonts w:cstheme="majorBidi"/>
                <w:color w:val="000000" w:themeColor="text1"/>
                <w:lang w:val="en-GB" w:eastAsia="en-GB"/>
              </w:rPr>
            </w:pPr>
            <w:r w:rsidRPr="00066541">
              <w:rPr>
                <w:rFonts w:cstheme="majorBidi"/>
                <w:i/>
                <w:iCs/>
                <w:color w:val="000000" w:themeColor="text1"/>
                <w:lang w:val="en-GB" w:eastAsia="en-GB"/>
              </w:rPr>
              <w:t>Net Interest Margin</w:t>
            </w:r>
            <w:r w:rsidRPr="00066541">
              <w:rPr>
                <w:rFonts w:cstheme="majorBidi"/>
                <w:color w:val="000000" w:themeColor="text1"/>
                <w:lang w:val="en-GB" w:eastAsia="en-GB"/>
              </w:rPr>
              <w:t xml:space="preserve"> (NIM) berpengaruh positif dan signifikan terhadap kinerja keuangan bank syariah.</w:t>
            </w:r>
          </w:p>
          <w:p w:rsidR="00A41A7C" w:rsidRPr="00066541" w:rsidRDefault="00A41A7C" w:rsidP="00481499">
            <w:pPr>
              <w:spacing w:line="240" w:lineRule="auto"/>
              <w:rPr>
                <w:rFonts w:cstheme="majorBidi"/>
                <w:color w:val="000000" w:themeColor="text1"/>
                <w:lang w:val="en-GB" w:eastAsia="en-GB"/>
              </w:rPr>
            </w:pPr>
            <w:r w:rsidRPr="00066541">
              <w:rPr>
                <w:rFonts w:cstheme="majorBidi"/>
                <w:i/>
                <w:iCs/>
                <w:color w:val="000000" w:themeColor="text1"/>
                <w:lang w:val="en-GB" w:eastAsia="en-GB"/>
              </w:rPr>
              <w:t>Good Corporate Governance</w:t>
            </w:r>
            <w:r w:rsidRPr="00066541">
              <w:rPr>
                <w:rFonts w:cstheme="majorBidi"/>
                <w:color w:val="000000" w:themeColor="text1"/>
                <w:lang w:val="en-GB" w:eastAsia="en-GB"/>
              </w:rPr>
              <w:t xml:space="preserve"> </w:t>
            </w:r>
            <w:r w:rsidRPr="00066541">
              <w:rPr>
                <w:rFonts w:cstheme="majorBidi"/>
                <w:color w:val="000000" w:themeColor="text1"/>
                <w:lang w:val="en-GB" w:eastAsia="en-GB"/>
              </w:rPr>
              <w:lastRenderedPageBreak/>
              <w:t>(GCG) tidak berpengaruh signifikan terhadap kinerja keuangan bank syariah.</w:t>
            </w:r>
          </w:p>
          <w:p w:rsidR="00A41A7C" w:rsidRPr="00066541" w:rsidRDefault="00A41A7C" w:rsidP="00481499">
            <w:pPr>
              <w:spacing w:line="240" w:lineRule="auto"/>
              <w:rPr>
                <w:rFonts w:cstheme="majorBidi"/>
                <w:color w:val="000000" w:themeColor="text1"/>
                <w:lang w:val="en-GB" w:eastAsia="en-GB"/>
              </w:rPr>
            </w:pPr>
            <w:r w:rsidRPr="00066541">
              <w:rPr>
                <w:rFonts w:cstheme="majorBidi"/>
                <w:color w:val="000000" w:themeColor="text1"/>
                <w:lang w:val="en-GB" w:eastAsia="en-GB"/>
              </w:rPr>
              <w:t>Secara simultan, ketiga variabel (CR, NIM, GCG) berpengaruh positif dan signifikan terhadap kinerja keuangan bank syariah.</w:t>
            </w:r>
          </w:p>
          <w:p w:rsidR="00A41A7C" w:rsidRPr="00066541" w:rsidRDefault="00A41A7C" w:rsidP="00481499">
            <w:pPr>
              <w:spacing w:line="240" w:lineRule="auto"/>
              <w:rPr>
                <w:rFonts w:cstheme="majorBidi"/>
                <w:color w:val="000000" w:themeColor="text1"/>
                <w:lang w:eastAsia="en-GB"/>
              </w:rPr>
            </w:pP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lastRenderedPageBreak/>
              <w:t>6</w:t>
            </w:r>
          </w:p>
        </w:tc>
        <w:tc>
          <w:tcPr>
            <w:tcW w:w="3828" w:type="dxa"/>
          </w:tcPr>
          <w:p w:rsidR="00A41A7C" w:rsidRPr="00066541" w:rsidRDefault="00A41A7C" w:rsidP="00481499">
            <w:pPr>
              <w:spacing w:line="240" w:lineRule="auto"/>
              <w:rPr>
                <w:rFonts w:cstheme="majorBidi"/>
                <w:i/>
                <w:iCs/>
                <w:color w:val="000000" w:themeColor="text1"/>
              </w:rPr>
            </w:pPr>
            <w:r w:rsidRPr="00066541">
              <w:rPr>
                <w:rFonts w:cstheme="majorBidi"/>
                <w:i/>
                <w:iCs/>
                <w:color w:val="000000" w:themeColor="text1"/>
              </w:rPr>
              <w:t>Constrained Liquidity Provision in Currency Markets</w:t>
            </w:r>
          </w:p>
          <w:p w:rsidR="00A41A7C" w:rsidRPr="00066541" w:rsidRDefault="00986164" w:rsidP="00481499">
            <w:pPr>
              <w:spacing w:line="240" w:lineRule="auto"/>
              <w:rPr>
                <w:rFonts w:cstheme="majorBidi"/>
                <w:color w:val="000000" w:themeColor="text1"/>
                <w:lang w:eastAsia="en-GB"/>
              </w:rPr>
            </w:pPr>
            <w:r w:rsidRPr="00066541">
              <w:rPr>
                <w:rFonts w:cstheme="majorBidi"/>
                <w:color w:val="000000" w:themeColor="text1"/>
                <w:lang w:eastAsia="en-GB"/>
              </w:rPr>
              <w:fldChar w:fldCharType="begin" w:fldLock="1"/>
            </w:r>
            <w:r w:rsidR="00A41A7C" w:rsidRPr="00066541">
              <w:rPr>
                <w:rFonts w:cstheme="majorBidi"/>
                <w:color w:val="000000" w:themeColor="text1"/>
                <w:lang w:eastAsia="en-GB"/>
              </w:rPr>
              <w:instrText>ADDIN CSL_CITATION {"citationItems":[{"id":"ITEM-1","itemData":{"DOI":"10.1016/j.jfineco.2025.104028","ISSN":"0304-405X","abstract":"We study dealers' liquidity provision in the currency market. We show that at times when dealers' intermediation capacity is constrained their cost of liquidity provision increases disproportionately relative to dealer-provided volume. As a result, the elasticity of dealers' liquidity provision weakens by at least 80% relative to periods when they are unconstrained. We identify constrained periods based on leverage ratios, Value-at-Risk measures, credit default spreads, and debt funding costs. We interpret our novel empirical findings within a parsimonious model that sheds light on the key mechanisms of how liquidity provision by dealers tends to weaken when intermediary constraints are tightening.","author":[{"dropping-particle":"","family":"Huang","given":"Wenqian","non-dropping-particle":"","parse-names":false,"suffix":""},{"dropping-particle":"","family":"Ranaldo","given":"Angelo","non-dropping-particle":"","parse-names":false,"suffix":""},{"dropping-particle":"","family":"Schrimpf","given":"Andreas","non-dropping-particle":"","parse-names":false,"suffix":""},{"dropping-particle":"","family":"Somogyi","given":"Fabricius","non-dropping-particle":"","parse-names":false,"suffix":""}],"container-title":"J.E.L. classification: F31","id":"ITEM-1","issue":"1073","issued":{"date-parts":[["2023"]]},"page":"15","publisher":"Elsevier B.V.","title":"Constrained Liquidity Provision in Currency Markets","type":"article-journal","volume":"12"},"uris":["http://www.mendeley.com/documents/?uuid=5d7cb814-b7bd-49aa-9b3f-05df6924c2d1"]}],"mendeley":{"formattedCitation":"(Huang et al., 2023)","plainTextFormattedCitation":"(Huang et al., 2023)","previouslyFormattedCitation":"(Huang et al., 2023)"},"properties":{"noteIndex":0},"schema":"https://github.com/citation-style-language/schema/raw/master/csl-citation.json"}</w:instrText>
            </w:r>
            <w:r w:rsidRPr="00066541">
              <w:rPr>
                <w:rFonts w:cstheme="majorBidi"/>
                <w:color w:val="000000" w:themeColor="text1"/>
                <w:lang w:eastAsia="en-GB"/>
              </w:rPr>
              <w:fldChar w:fldCharType="separate"/>
            </w:r>
            <w:r w:rsidR="00A41A7C" w:rsidRPr="00066541">
              <w:rPr>
                <w:rFonts w:cstheme="majorBidi"/>
                <w:color w:val="000000" w:themeColor="text1"/>
                <w:lang w:eastAsia="en-GB"/>
              </w:rPr>
              <w:t>(Huang et al., 2023)</w:t>
            </w:r>
            <w:r w:rsidRPr="00066541">
              <w:rPr>
                <w:rFonts w:cstheme="majorBidi"/>
                <w:color w:val="000000" w:themeColor="text1"/>
                <w:lang w:eastAsia="en-GB"/>
              </w:rPr>
              <w:fldChar w:fldCharType="end"/>
            </w:r>
          </w:p>
        </w:tc>
        <w:tc>
          <w:tcPr>
            <w:tcW w:w="1826" w:type="dxa"/>
          </w:tcPr>
          <w:p w:rsidR="00A41A7C" w:rsidRPr="00066541" w:rsidRDefault="00A41A7C" w:rsidP="00481499">
            <w:pPr>
              <w:spacing w:line="240" w:lineRule="auto"/>
              <w:rPr>
                <w:rFonts w:cstheme="majorBidi"/>
                <w:color w:val="000000" w:themeColor="text1"/>
              </w:rPr>
            </w:pPr>
            <w:r w:rsidRPr="00066541">
              <w:rPr>
                <w:rFonts w:cstheme="majorBidi"/>
                <w:i/>
                <w:iCs/>
                <w:color w:val="000000" w:themeColor="text1"/>
              </w:rPr>
              <w:t>Constrained Liquidity</w:t>
            </w:r>
            <w:r w:rsidRPr="00066541">
              <w:rPr>
                <w:rFonts w:cstheme="majorBidi"/>
                <w:color w:val="000000" w:themeColor="text1"/>
              </w:rPr>
              <w:t xml:space="preserve"> (X), </w:t>
            </w:r>
            <w:r w:rsidRPr="00066541">
              <w:rPr>
                <w:rFonts w:cstheme="majorBidi"/>
                <w:i/>
                <w:iCs/>
                <w:color w:val="000000" w:themeColor="text1"/>
              </w:rPr>
              <w:t>Currency Markets</w:t>
            </w:r>
            <w:r w:rsidRPr="00066541">
              <w:rPr>
                <w:rFonts w:cstheme="majorBidi"/>
                <w:color w:val="000000" w:themeColor="text1"/>
              </w:rPr>
              <w:t xml:space="preserve"> (Y)</w:t>
            </w:r>
          </w:p>
          <w:p w:rsidR="00A41A7C" w:rsidRPr="00066541" w:rsidRDefault="00A41A7C" w:rsidP="00481499">
            <w:pPr>
              <w:spacing w:line="240" w:lineRule="auto"/>
              <w:rPr>
                <w:rFonts w:cstheme="majorBidi"/>
                <w:color w:val="000000" w:themeColor="text1"/>
                <w:lang w:eastAsia="en-GB"/>
              </w:rPr>
            </w:pPr>
          </w:p>
        </w:tc>
        <w:tc>
          <w:tcPr>
            <w:tcW w:w="2994" w:type="dxa"/>
          </w:tcPr>
          <w:p w:rsidR="00A41A7C" w:rsidRPr="00066541" w:rsidRDefault="00A41A7C" w:rsidP="00481499">
            <w:pPr>
              <w:spacing w:line="240" w:lineRule="auto"/>
              <w:rPr>
                <w:rFonts w:cstheme="majorBidi"/>
                <w:color w:val="000000" w:themeColor="text1"/>
                <w:lang w:val="en-GB" w:eastAsia="en-GB"/>
              </w:rPr>
            </w:pPr>
            <w:r w:rsidRPr="00066541">
              <w:rPr>
                <w:rFonts w:cstheme="majorBidi"/>
                <w:color w:val="000000" w:themeColor="text1"/>
                <w:lang w:val="en-GB" w:eastAsia="en-GB"/>
              </w:rPr>
              <w:t>Keterbatasan kapasitas dealer (misalnya karena peningkatan biaya pendanaan atau pembatasan Value-at-Risk) menyebabkan kenaikan biaya likuiditas yang tidak proporsional dibandingkan dengan penurunan volume perdagangan.</w:t>
            </w:r>
          </w:p>
          <w:p w:rsidR="00A41A7C" w:rsidRPr="00066541" w:rsidRDefault="00A41A7C" w:rsidP="00481499">
            <w:pPr>
              <w:spacing w:line="240" w:lineRule="auto"/>
              <w:rPr>
                <w:rFonts w:cstheme="majorBidi"/>
                <w:color w:val="000000" w:themeColor="text1"/>
                <w:lang w:val="en-GB" w:eastAsia="en-GB"/>
              </w:rPr>
            </w:pPr>
            <w:r w:rsidRPr="00066541">
              <w:rPr>
                <w:rFonts w:cstheme="majorBidi"/>
                <w:color w:val="000000" w:themeColor="text1"/>
                <w:lang w:val="en-GB" w:eastAsia="en-GB"/>
              </w:rPr>
              <w:t>Akibatnya, hubungan positif antara biaya likuiditas dan volume perdagangan melemah hingga 50% pada saat dealer mengalami tekanan atau keterbatasan tinggi.</w:t>
            </w:r>
          </w:p>
          <w:p w:rsidR="00A41A7C" w:rsidRPr="00066541" w:rsidRDefault="00A41A7C" w:rsidP="00481499">
            <w:pPr>
              <w:spacing w:line="240" w:lineRule="auto"/>
              <w:rPr>
                <w:rFonts w:cstheme="majorBidi"/>
                <w:color w:val="000000" w:themeColor="text1"/>
                <w:lang w:val="en-GB" w:eastAsia="en-GB"/>
              </w:rPr>
            </w:pPr>
            <w:r w:rsidRPr="00066541">
              <w:rPr>
                <w:rFonts w:cstheme="majorBidi"/>
                <w:color w:val="000000" w:themeColor="text1"/>
                <w:lang w:val="en-GB" w:eastAsia="en-GB"/>
              </w:rPr>
              <w:t>Analisis dengan model SVAR (Structural Vector Autoregression) dengan sign restrictions menunjukkan bahwa pelemahan ini lebih disebabkan oleh turunnya elastisitas penawaran likuiditas, bukan karena meningkatnya permintaan likuiditas.</w:t>
            </w:r>
          </w:p>
          <w:p w:rsidR="00A41A7C" w:rsidRPr="00066541" w:rsidRDefault="00A41A7C" w:rsidP="00481499">
            <w:pPr>
              <w:spacing w:line="240" w:lineRule="auto"/>
              <w:rPr>
                <w:rFonts w:cstheme="majorBidi"/>
                <w:color w:val="000000" w:themeColor="text1"/>
                <w:lang w:val="en-GB" w:eastAsia="en-GB"/>
              </w:rPr>
            </w:pPr>
            <w:r w:rsidRPr="00066541">
              <w:rPr>
                <w:rFonts w:cstheme="majorBidi"/>
                <w:color w:val="000000" w:themeColor="text1"/>
                <w:lang w:val="en-GB" w:eastAsia="en-GB"/>
              </w:rPr>
              <w:t>Fragmentasi pasar (misalnya munculnya banyak platform perdagangan) menjadi lebih parah ketika dealer mengalami keterbatasan, yaitu justru pada saat daya tahan pasar sangat dibutuhkan.</w:t>
            </w:r>
          </w:p>
          <w:p w:rsidR="00A41A7C" w:rsidRPr="00066541" w:rsidRDefault="00A41A7C" w:rsidP="00481499">
            <w:pPr>
              <w:spacing w:line="240" w:lineRule="auto"/>
              <w:rPr>
                <w:rFonts w:cstheme="majorBidi"/>
                <w:color w:val="000000" w:themeColor="text1"/>
                <w:lang w:eastAsia="en-GB"/>
              </w:rPr>
            </w:pPr>
          </w:p>
        </w:tc>
      </w:tr>
      <w:tr w:rsidR="00A41A7C" w:rsidRPr="00066541" w:rsidTr="00481499">
        <w:tc>
          <w:tcPr>
            <w:tcW w:w="567" w:type="dxa"/>
          </w:tcPr>
          <w:p w:rsidR="00A41A7C" w:rsidRPr="00066541" w:rsidRDefault="00A41A7C" w:rsidP="00481499">
            <w:pPr>
              <w:spacing w:line="240" w:lineRule="auto"/>
              <w:rPr>
                <w:rFonts w:cstheme="majorBidi"/>
                <w:color w:val="000000" w:themeColor="text1"/>
                <w:lang w:eastAsia="en-GB"/>
              </w:rPr>
            </w:pPr>
            <w:r w:rsidRPr="00066541">
              <w:rPr>
                <w:rFonts w:cstheme="majorBidi"/>
                <w:color w:val="000000" w:themeColor="text1"/>
                <w:lang w:eastAsia="en-GB"/>
              </w:rPr>
              <w:t>7</w:t>
            </w:r>
          </w:p>
        </w:tc>
        <w:tc>
          <w:tcPr>
            <w:tcW w:w="3828" w:type="dxa"/>
          </w:tcPr>
          <w:p w:rsidR="00A41A7C" w:rsidRPr="00066541" w:rsidRDefault="00A41A7C" w:rsidP="00481499">
            <w:pPr>
              <w:spacing w:line="240" w:lineRule="auto"/>
              <w:rPr>
                <w:rFonts w:cstheme="majorBidi"/>
                <w:i/>
                <w:iCs/>
                <w:color w:val="000000" w:themeColor="text1"/>
              </w:rPr>
            </w:pPr>
            <w:r w:rsidRPr="00066541">
              <w:rPr>
                <w:rFonts w:cstheme="majorBidi"/>
                <w:i/>
                <w:iCs/>
                <w:color w:val="000000" w:themeColor="text1"/>
              </w:rPr>
              <w:t>Carbon emissions and financial performance in the Brazilian stock market</w:t>
            </w:r>
          </w:p>
          <w:p w:rsidR="00A41A7C" w:rsidRPr="00066541" w:rsidRDefault="00986164" w:rsidP="00481499">
            <w:pPr>
              <w:spacing w:line="240" w:lineRule="auto"/>
              <w:rPr>
                <w:rFonts w:cstheme="majorBidi"/>
                <w:color w:val="000000" w:themeColor="text1"/>
                <w:lang w:eastAsia="en-GB"/>
              </w:rPr>
            </w:pPr>
            <w:r w:rsidRPr="00066541">
              <w:rPr>
                <w:rFonts w:cstheme="majorBidi"/>
                <w:color w:val="000000" w:themeColor="text1"/>
                <w:lang w:eastAsia="en-GB"/>
              </w:rPr>
              <w:fldChar w:fldCharType="begin" w:fldLock="1"/>
            </w:r>
            <w:r w:rsidR="00A41A7C" w:rsidRPr="00066541">
              <w:rPr>
                <w:rFonts w:cstheme="majorBidi"/>
                <w:color w:val="000000" w:themeColor="text1"/>
                <w:lang w:eastAsia="en-GB"/>
              </w:rPr>
              <w:instrText>ADDIN CSL_CITATION {"citationItems":[{"id":"ITEM-1","itemData":{"DOI":"10.1016/j.jenvman.2025.124698","ISSN":"10958630","abstract":"This study examines the relationship between carbon emissions and the financial performance of companies listed in Brazil's Carbon Efficient Index (ICO2). Employing econometric techniques on 2021 data from 73 companies, we find a positive correlation between CO2 emissions and financial metrics like Earnings per Share (EPS), Return on Equity (ROE), and Return on Assets (ROA). We employed descriptive statistical methods for this study using ordinary least squares (OLS) and generalized least squares (GLS) estimation models. The econometric analysis software Gretl was used for linear regression analysis. The study found that, on average, companies with higher CO2 emissions had better financial performance regarding EPS and ROE. However, the relationship between carbon emissions and financial performance is complicated, and the results should be interpreted cautiously, considering the study's limitations. However, our findings challenge the notion of a simple positive association. We highlight the need for sectoral analysis, as different industries may exhibit varying relationships between emissions and financial health. Additionally, company location plays a role, with regulations and economic contexts influencing this connection. We acknowledge limitations, including using single-year data and potential industry-specific discrepancies. Future research should explore a broader dataset, analyze companies within their specific contexts, and consider the influence of macroeconomic factors and regulations. This study contributes to the ongoing debate on carbon emissions and financial performance. We emphasize the importance of a nuanced approach, acknowledging the potential for a “carbon-performance paradox” in specific sectors and highlighting the role of market forces in driving a low-carbon transition.","author":[{"dropping-particle":"","family":"Senna","given":"Asafe Lopesde","non-dropping-particle":"","parse-names":false,"suffix":""},{"dropping-particle":"","family":"Araujo Moxotó","given":"Ana Claudia","non-dropping-particle":"de","parse-names":false,"suffix":""}],"container-title":"Journal of Environmental Management","id":"ITEM-1","issue":"July 2024","issued":{"date-parts":[["2025"]]},"title":"Carbon emissions and financial performance in the Brazilian stock market","type":"article-journal","volume":"377"},"uris":["http://www.mendeley.com/documents/?uuid=a1581409-f89f-4b17-8fc1-4f539a79cde5"]}],"mendeley":{"formattedCitation":"(Senna &amp; de Araujo Moxotó, 2025)","plainTextFormattedCitation":"(Senna &amp; de Araujo Moxotó, 2025)","previouslyFormattedCitation":"(Senna &amp; de Araujo Moxotó, 2025)"},"properties":{"noteIndex":0},"schema":"https://github.com/citation-style-language/schema/raw/master/csl-citation.json"}</w:instrText>
            </w:r>
            <w:r w:rsidRPr="00066541">
              <w:rPr>
                <w:rFonts w:cstheme="majorBidi"/>
                <w:color w:val="000000" w:themeColor="text1"/>
                <w:lang w:eastAsia="en-GB"/>
              </w:rPr>
              <w:fldChar w:fldCharType="separate"/>
            </w:r>
            <w:r w:rsidR="00A41A7C" w:rsidRPr="00066541">
              <w:rPr>
                <w:rFonts w:cstheme="majorBidi"/>
                <w:color w:val="000000" w:themeColor="text1"/>
                <w:lang w:eastAsia="en-GB"/>
              </w:rPr>
              <w:t>(Senna &amp; de Araujo Moxotó, 2025)</w:t>
            </w:r>
            <w:r w:rsidRPr="00066541">
              <w:rPr>
                <w:rFonts w:cstheme="majorBidi"/>
                <w:color w:val="000000" w:themeColor="text1"/>
                <w:lang w:eastAsia="en-GB"/>
              </w:rPr>
              <w:fldChar w:fldCharType="end"/>
            </w:r>
          </w:p>
        </w:tc>
        <w:tc>
          <w:tcPr>
            <w:tcW w:w="1826" w:type="dxa"/>
          </w:tcPr>
          <w:p w:rsidR="00A41A7C" w:rsidRPr="00066541" w:rsidRDefault="00A41A7C" w:rsidP="00481499">
            <w:pPr>
              <w:spacing w:line="240" w:lineRule="auto"/>
              <w:rPr>
                <w:rFonts w:cstheme="majorBidi"/>
                <w:color w:val="000000" w:themeColor="text1"/>
              </w:rPr>
            </w:pPr>
            <w:r w:rsidRPr="00066541">
              <w:rPr>
                <w:rFonts w:cstheme="majorBidi"/>
                <w:i/>
                <w:iCs/>
                <w:color w:val="000000" w:themeColor="text1"/>
              </w:rPr>
              <w:t>Carbon emissions</w:t>
            </w:r>
            <w:r w:rsidRPr="00066541">
              <w:rPr>
                <w:rFonts w:cstheme="majorBidi"/>
                <w:color w:val="000000" w:themeColor="text1"/>
              </w:rPr>
              <w:t xml:space="preserve"> (X</w:t>
            </w:r>
            <w:r w:rsidRPr="00066541">
              <w:rPr>
                <w:rFonts w:cstheme="majorBidi"/>
                <w:color w:val="000000" w:themeColor="text1"/>
                <w:vertAlign w:val="superscript"/>
              </w:rPr>
              <w:t>1</w:t>
            </w:r>
            <w:r w:rsidRPr="00066541">
              <w:rPr>
                <w:rFonts w:cstheme="majorBidi"/>
                <w:color w:val="000000" w:themeColor="text1"/>
              </w:rPr>
              <w:t xml:space="preserve">), </w:t>
            </w:r>
            <w:r w:rsidRPr="00066541">
              <w:rPr>
                <w:rFonts w:cstheme="majorBidi"/>
                <w:i/>
                <w:iCs/>
                <w:color w:val="000000" w:themeColor="text1"/>
              </w:rPr>
              <w:t>financial performance</w:t>
            </w:r>
            <w:r w:rsidRPr="00066541">
              <w:rPr>
                <w:rFonts w:cstheme="majorBidi"/>
                <w:color w:val="000000" w:themeColor="text1"/>
              </w:rPr>
              <w:t xml:space="preserve"> (X</w:t>
            </w:r>
            <w:r w:rsidRPr="00066541">
              <w:rPr>
                <w:rFonts w:cstheme="majorBidi"/>
                <w:color w:val="000000" w:themeColor="text1"/>
                <w:vertAlign w:val="superscript"/>
              </w:rPr>
              <w:t>2</w:t>
            </w:r>
            <w:r w:rsidRPr="00066541">
              <w:rPr>
                <w:rFonts w:cstheme="majorBidi"/>
                <w:color w:val="000000" w:themeColor="text1"/>
              </w:rPr>
              <w:t xml:space="preserve">), </w:t>
            </w:r>
            <w:r w:rsidRPr="00066541">
              <w:rPr>
                <w:rFonts w:cstheme="majorBidi"/>
                <w:i/>
                <w:iCs/>
                <w:color w:val="000000" w:themeColor="text1"/>
              </w:rPr>
              <w:t>stock market</w:t>
            </w:r>
            <w:r w:rsidRPr="00066541">
              <w:rPr>
                <w:rFonts w:cstheme="majorBidi"/>
                <w:color w:val="000000" w:themeColor="text1"/>
              </w:rPr>
              <w:t xml:space="preserve"> (Y)</w:t>
            </w:r>
          </w:p>
          <w:p w:rsidR="00A41A7C" w:rsidRPr="00066541" w:rsidRDefault="00A41A7C" w:rsidP="00481499">
            <w:pPr>
              <w:spacing w:line="240" w:lineRule="auto"/>
              <w:rPr>
                <w:rFonts w:cstheme="majorBidi"/>
                <w:color w:val="000000" w:themeColor="text1"/>
                <w:lang w:eastAsia="en-GB"/>
              </w:rPr>
            </w:pPr>
          </w:p>
        </w:tc>
        <w:tc>
          <w:tcPr>
            <w:tcW w:w="2994" w:type="dxa"/>
          </w:tcPr>
          <w:p w:rsidR="00A41A7C" w:rsidRPr="00066541" w:rsidRDefault="00A41A7C" w:rsidP="00481499">
            <w:pPr>
              <w:keepNext/>
              <w:spacing w:line="240" w:lineRule="auto"/>
              <w:rPr>
                <w:rFonts w:cstheme="majorBidi"/>
                <w:color w:val="000000" w:themeColor="text1"/>
                <w:lang w:eastAsia="en-GB"/>
              </w:rPr>
            </w:pPr>
            <w:r w:rsidRPr="00066541">
              <w:rPr>
                <w:rFonts w:cstheme="majorBidi"/>
                <w:color w:val="000000" w:themeColor="text1"/>
              </w:rPr>
              <w:t xml:space="preserve">Penelitian ini meneliti hubungan antara </w:t>
            </w:r>
            <w:r w:rsidRPr="00066541">
              <w:rPr>
                <w:rStyle w:val="Strong"/>
                <w:rFonts w:cstheme="majorBidi"/>
                <w:color w:val="000000" w:themeColor="text1"/>
              </w:rPr>
              <w:t>emisi karbon</w:t>
            </w:r>
            <w:r w:rsidRPr="00066541">
              <w:rPr>
                <w:rFonts w:cstheme="majorBidi"/>
                <w:color w:val="000000" w:themeColor="text1"/>
              </w:rPr>
              <w:t xml:space="preserve"> dan </w:t>
            </w:r>
            <w:r w:rsidRPr="00066541">
              <w:rPr>
                <w:rStyle w:val="Strong"/>
                <w:rFonts w:cstheme="majorBidi"/>
                <w:color w:val="000000" w:themeColor="text1"/>
              </w:rPr>
              <w:t>kinerja keuangan</w:t>
            </w:r>
            <w:r w:rsidRPr="00066541">
              <w:rPr>
                <w:rFonts w:cstheme="majorBidi"/>
                <w:color w:val="000000" w:themeColor="text1"/>
              </w:rPr>
              <w:t xml:space="preserve">perusahaan yang terdaftar pada </w:t>
            </w:r>
            <w:r w:rsidRPr="00066541">
              <w:rPr>
                <w:rStyle w:val="Strong"/>
                <w:rFonts w:cstheme="majorBidi"/>
                <w:color w:val="000000" w:themeColor="text1"/>
              </w:rPr>
              <w:t>Indeks Karbon Efisien (ICO2)</w:t>
            </w:r>
            <w:r w:rsidRPr="00066541">
              <w:rPr>
                <w:rFonts w:cstheme="majorBidi"/>
                <w:color w:val="000000" w:themeColor="text1"/>
              </w:rPr>
              <w:t xml:space="preserve"> di bursa saham Brasil (B3). Dengan menggunakan regresi statistik </w:t>
            </w:r>
            <w:r w:rsidRPr="00066541">
              <w:rPr>
                <w:rFonts w:cstheme="majorBidi"/>
                <w:color w:val="000000" w:themeColor="text1"/>
              </w:rPr>
              <w:lastRenderedPageBreak/>
              <w:t xml:space="preserve">di software Gretl terhadap 73 perusahaan pada tahun 2021, ditemukan bahwa perusahaan dengan emisi lebih tinggi justru menunjukkan </w:t>
            </w:r>
            <w:r w:rsidRPr="00066541">
              <w:rPr>
                <w:rStyle w:val="Strong"/>
                <w:rFonts w:cstheme="majorBidi"/>
                <w:color w:val="000000" w:themeColor="text1"/>
              </w:rPr>
              <w:t>kinerja keuangan lebih baik</w:t>
            </w:r>
            <w:r w:rsidRPr="00066541">
              <w:rPr>
                <w:rFonts w:cstheme="majorBidi"/>
                <w:color w:val="000000" w:themeColor="text1"/>
              </w:rPr>
              <w:t xml:space="preserve"> (LPA, ROE, dan ROA lebih tinggi).</w:t>
            </w:r>
          </w:p>
        </w:tc>
      </w:tr>
    </w:tbl>
    <w:p w:rsidR="00A41A7C" w:rsidRPr="00066541" w:rsidRDefault="00A41A7C" w:rsidP="00A41A7C">
      <w:pPr>
        <w:spacing w:before="240" w:after="0"/>
        <w:ind w:firstLine="567"/>
        <w:jc w:val="both"/>
        <w:rPr>
          <w:color w:val="000000" w:themeColor="text1"/>
        </w:rPr>
      </w:pPr>
      <w:r w:rsidRPr="00066541">
        <w:rPr>
          <w:rFonts w:cstheme="majorBidi"/>
          <w:color w:val="000000" w:themeColor="text1"/>
          <w:lang w:eastAsia="en-GB"/>
        </w:rPr>
        <w:lastRenderedPageBreak/>
        <w:t xml:space="preserve">Menurut </w:t>
      </w:r>
      <w:r w:rsidR="00986164" w:rsidRPr="00066541">
        <w:rPr>
          <w:rFonts w:cstheme="majorBidi"/>
          <w:color w:val="000000" w:themeColor="text1"/>
          <w:lang w:eastAsia="en-GB"/>
        </w:rPr>
        <w:fldChar w:fldCharType="begin" w:fldLock="1"/>
      </w:r>
      <w:r w:rsidRPr="00066541">
        <w:rPr>
          <w:rFonts w:cstheme="majorBidi"/>
          <w:color w:val="000000" w:themeColor="text1"/>
          <w:lang w:eastAsia="en-GB"/>
        </w:rPr>
        <w:instrText>ADDIN CSL_CITATION {"citationItems":[{"id":"ITEM-1","itemData":{"author":[{"dropping-particle":"","family":"Lie","given":"Christian","non-dropping-particle":"","parse-names":false,"suffix":""},{"dropping-particle":"","family":"Wardani","given":"Rr. Puruwita","non-dropping-particle":"","parse-names":false,"suffix":""},{"dropping-particle":"","family":"Pikir","given":"Toto Warsoko","non-dropping-particle":"","parse-names":false,"suffix":""}],"container-title":"Berkala Akuntansi dan Keuangan Indonesia","id":"ITEM-1","issue":"2","issued":{"date-parts":[["2016"]]},"page":"84-105","title":"Pengaruh Likuiditas, Profitabilitas, dan Solvabilitas terhadap Opini\nAudit Going Concern pada Perusahaan Manufaktur yang Terdaftar\ndi Bursa Efek Indonesia Tahun 2019-2021","type":"article-journal","volume":"1"},"uris":["http://www.mendeley.com/documents/?uuid=8ae926b7-ae3d-4511-9df1-72ac6900f303"]}],"mendeley":{"formattedCitation":"(Lie et al., 2016)","plainTextFormattedCitation":"(Lie et al., 2016)","previouslyFormattedCitation":"(Lie et al., 2016)"},"properties":{"noteIndex":0},"schema":"https://github.com/citation-style-language/schema/raw/master/csl-citation.json"}</w:instrText>
      </w:r>
      <w:r w:rsidR="00986164" w:rsidRPr="00066541">
        <w:rPr>
          <w:rFonts w:cstheme="majorBidi"/>
          <w:color w:val="000000" w:themeColor="text1"/>
          <w:lang w:eastAsia="en-GB"/>
        </w:rPr>
        <w:fldChar w:fldCharType="separate"/>
      </w:r>
      <w:r w:rsidRPr="00066541">
        <w:rPr>
          <w:rFonts w:cstheme="majorBidi"/>
          <w:color w:val="000000" w:themeColor="text1"/>
          <w:lang w:eastAsia="en-GB"/>
        </w:rPr>
        <w:t>(Lie et al., 2016)</w:t>
      </w:r>
      <w:r w:rsidR="00986164" w:rsidRPr="00066541">
        <w:rPr>
          <w:rFonts w:cstheme="majorBidi"/>
          <w:color w:val="000000" w:themeColor="text1"/>
          <w:lang w:eastAsia="en-GB"/>
        </w:rPr>
        <w:fldChar w:fldCharType="end"/>
      </w:r>
      <w:bookmarkStart w:id="9" w:name="_Toc201095822"/>
      <w:r w:rsidRPr="00066541">
        <w:rPr>
          <w:color w:val="000000" w:themeColor="text1"/>
        </w:rPr>
        <w:t xml:space="preserve">Temuan dari studi ini menunjukkan bahwa solvabilitas dan strategi manajemen memengaruhi pilihan auditor untuk menerbitkan opini </w:t>
      </w:r>
      <w:r w:rsidRPr="00066541">
        <w:rPr>
          <w:i/>
          <w:iCs/>
          <w:color w:val="000000" w:themeColor="text1"/>
        </w:rPr>
        <w:t>audit going concern</w:t>
      </w:r>
      <w:r w:rsidRPr="00066541">
        <w:rPr>
          <w:color w:val="000000" w:themeColor="text1"/>
        </w:rPr>
        <w:t xml:space="preserve">. Solvabilitas dan rencana manajemen adalah komponen kritis yang mungkin berdampak pada operasi perusahaan; oleh karena itu, auditor akan melakukan analisis menyeluruh terhadapnya. Namun, berdasarkan temuan dari studi ini, auditor akan memberikan penekanan lebih besar pada analisis kondisi keuangan keseluruhan perusahaan daripada hanya menganalisis (misalnya, akibat meningkatnya biaya pendanaan atau kendala </w:t>
      </w:r>
      <w:r w:rsidRPr="00066541">
        <w:rPr>
          <w:i/>
          <w:iCs/>
          <w:color w:val="000000" w:themeColor="text1"/>
        </w:rPr>
        <w:t>Value-at-Risk</w:t>
      </w:r>
      <w:r w:rsidRPr="00066541">
        <w:rPr>
          <w:color w:val="000000" w:themeColor="text1"/>
        </w:rPr>
        <w:t>), yang dapat mengakibatkan peningkatan biaya likuiditas yang tidak proporsional dibandingkan dengan penurunan volume perdagangan.</w:t>
      </w:r>
    </w:p>
    <w:p w:rsidR="00A41A7C" w:rsidRPr="00066541" w:rsidRDefault="00A41A7C" w:rsidP="00A41A7C">
      <w:pPr>
        <w:pStyle w:val="Heading2"/>
        <w:spacing w:before="0"/>
        <w:rPr>
          <w:lang w:eastAsia="en-GB"/>
        </w:rPr>
      </w:pPr>
      <w:r w:rsidRPr="00066541">
        <w:rPr>
          <w:lang w:eastAsia="en-GB"/>
        </w:rPr>
        <w:t>2.3 Kerangka Konseptual</w:t>
      </w:r>
      <w:bookmarkEnd w:id="9"/>
    </w:p>
    <w:p w:rsidR="00A41A7C" w:rsidRPr="00066541" w:rsidRDefault="00986164" w:rsidP="00A41A7C">
      <w:pPr>
        <w:spacing w:before="240"/>
        <w:ind w:firstLine="567"/>
        <w:jc w:val="both"/>
        <w:rPr>
          <w:rFonts w:cstheme="majorBidi"/>
          <w:color w:val="000000" w:themeColor="text1"/>
          <w:lang w:eastAsia="en-GB"/>
        </w:rPr>
      </w:pPr>
      <w:r w:rsidRPr="00986164">
        <w:rPr>
          <w:rFonts w:cstheme="majorBidi"/>
          <w:color w:val="000000" w:themeColor="text1"/>
          <w:lang w:val="en-US"/>
        </w:rPr>
        <w:pict>
          <v:group id="Group 292" o:spid="_x0000_s1026" style="position:absolute;left:0;text-align:left;margin-left:-13pt;margin-top:178.95pt;width:415.65pt;height:301.15pt;z-index:251659264;mso-height-relative:margin" coordsize="52793,3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">
            <v:oval id="Oval 22" o:spid="_x0000_s1027" style="position:absolute;left:34588;top:10972;width:18205;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cYcIA&#10;AADbAAAADwAAAGRycy9kb3ducmV2LnhtbESPQYvCMBSE7wv+h/AEb2tqD2q7RhFBUPFiK3h927xt&#10;uzYvpYla/71ZWPA4zMw3zGLVm0bcqXO1ZQWTcQSCuLC65lLBOd9+zkE4j6yxsUwKnuRgtRx8LDDV&#10;9sEnume+FAHCLkUFlfdtKqUrKjLoxrYlDt6P7Qz6ILtS6g4fAW4aGUfRVBqsOSxU2NKmouKa3YyC&#10;8nR1hxiT4vc7mWX7ps6PySVXajTs118gPPX+Hf5v77SCOIa/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5xhwgAAANsAAAAPAAAAAAAAAAAAAAAAAJgCAABkcnMvZG93&#10;bnJldi54bWxQSwUGAAAAAAQABAD1AAAAhwMAAAAA&#10;" fillcolor="white [3201]" strokecolor="black [3200]" strokeweight="2pt"/>
            <v:shapetype id="_x0000_t32" coordsize="21600,21600" o:spt="32" o:oned="t" path="m,l21600,21600e" filled="f">
              <v:path arrowok="t" fillok="f" o:connecttype="none"/>
              <o:lock v:ext="edit" shapetype="t"/>
            </v:shapetype>
            <v:shape id="Straight Arrow Connector 25" o:spid="_x0000_s1028" type="#_x0000_t32" style="position:absolute;left:18208;top:15266;width:1637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8Zl8MAAADbAAAADwAAAGRycy9kb3ducmV2LnhtbESPQYvCMBSE7wv+h/AEb2uqo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vGZfDAAAA2wAAAA8AAAAAAAAAAAAA&#10;AAAAoQIAAGRycy9kb3ducmV2LnhtbFBLBQYAAAAABAAEAPkAAACRAwAAAAA=&#10;" strokecolor="black [3040]">
              <v:stroke endarrow="open"/>
            </v:shape>
            <v:line id="Straight Connector 18" o:spid="_x0000_s1029" style="position:absolute;visibility:visible" from="18208,25682" to="23529,25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line id="Straight Connector 19" o:spid="_x0000_s1030" style="position:absolute;visibility:visible" from="23535,4373" to="23535,2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group id="Group 305" o:spid="_x0000_s1031" style="position:absolute;width:51524;height:30214" coordsize="51524,30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oval id="Oval 2" o:spid="_x0000_s1032" style="position:absolute;width:18205;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8nMIA&#10;AADaAAAADwAAAGRycy9kb3ducmV2LnhtbESPQYvCMBSE7wv+h/AEb2tqD2q7RhFBUPFiK3h927xt&#10;uzYvpYla/71ZWPA4zMw3zGLVm0bcqXO1ZQWTcQSCuLC65lLBOd9+zkE4j6yxsUwKnuRgtRx8LDDV&#10;9sEnume+FAHCLkUFlfdtKqUrKjLoxrYlDt6P7Qz6ILtS6g4fAW4aGUfRVBqsOSxU2NKmouKa3YyC&#10;8nR1hxiT4vc7mWX7ps6PySVXajTs118gPPX+Hf5v77SCGP6uhBs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ycwgAAANoAAAAPAAAAAAAAAAAAAAAAAJgCAABkcnMvZG93&#10;bnJldi54bWxQSwUGAAAAAAQABAD1AAAAhwMAAAAA&#10;" fillcolor="white [3201]" strokecolor="black [3200]" strokeweight="2pt"/>
              <v:shapetype id="_x0000_t202" coordsize="21600,21600" o:spt="202" path="m,l,21600r21600,l21600,xe">
                <v:stroke joinstyle="miter"/>
                <v:path gradientshapeok="t" o:connecttype="rect"/>
              </v:shapetype>
              <v:shape id="Text Box 6" o:spid="_x0000_s1033" type="#_x0000_t202" style="position:absolute;left:2941;top:2379;width:12956;height:5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nlsIA&#10;AADaAAAADwAAAGRycy9kb3ducmV2LnhtbESPX2vCQBDE3wW/w7FC3+rFVkSip4SWUrEF8c+Lb0tu&#10;TYK5vZDbavz2PUHwcZiZ3zDzZedqdaE2VJ4NjIYJKOLc24oLA4f91+sUVBBki7VnMnCjAMtFvzfH&#10;1Porb+myk0JFCIcUDZQiTap1yEtyGIa+IY7eybcOJcq20LbFa4S7Wr8lyUQ7rDgulNjQR0n5effn&#10;DKzHR/x8lx+6CXebLPueNuPwa8zLoMtmoIQ6eYYf7ZU1MIH7lXgD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WeWwgAAANoAAAAPAAAAAAAAAAAAAAAAAJgCAABkcnMvZG93&#10;bnJldi54bWxQSwUGAAAAAAQABAD1AAAAhwMAAAAA&#10;" fillcolor="white [3201]" strokecolor="white [3212]" strokeweight=".5pt">
                <v:textbox>
                  <w:txbxContent>
                    <w:p w:rsidR="00A41A7C" w:rsidRDefault="00A41A7C" w:rsidP="00A41A7C">
                      <w:pPr>
                        <w:spacing w:after="0" w:line="240" w:lineRule="auto"/>
                        <w:jc w:val="center"/>
                      </w:pPr>
                      <w:r>
                        <w:t xml:space="preserve">Likuiditas </w:t>
                      </w:r>
                    </w:p>
                    <w:p w:rsidR="00A41A7C" w:rsidRDefault="00A41A7C" w:rsidP="00A41A7C">
                      <w:pPr>
                        <w:spacing w:after="0" w:line="240" w:lineRule="auto"/>
                        <w:jc w:val="center"/>
                      </w:pPr>
                      <w:r>
                        <w:t>(X1)</w:t>
                      </w:r>
                    </w:p>
                  </w:txbxContent>
                </v:textbox>
              </v:shape>
              <v:oval id="Oval 7" o:spid="_x0000_s1034" style="position:absolute;top:21070;width:18205;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fBMMA&#10;AADaAAAADwAAAGRycy9kb3ducmV2LnhtbESPQWuDQBSE74X8h+UFeqtrPNRqsgkhUGhLLtFAr6/u&#10;i5q4b8Xdqv332UKhx2FmvmE2u9l0YqTBtZYVrKIYBHFldcu1gnP5+vQCwnlkjZ1lUvBDDnbbxcMG&#10;c20nPtFY+FoECLscFTTe97mUrmrIoItsTxy8ix0M+iCHWuoBpwA3nUzi+FkabDksNNjToaHqVnwb&#10;BfXp5j4SzKrrV5YW711bHrPPUqnH5bxfg/A0+//wX/tNK0jh90q4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KfBMMAAADaAAAADwAAAAAAAAAAAAAAAACYAgAAZHJzL2Rv&#10;d25yZXYueG1sUEsFBgAAAAAEAAQA9QAAAIgDAAAAAA==&#10;" fillcolor="white [3201]" strokecolor="black [3200]" strokeweight="2pt"/>
              <v:oval id="Oval 8" o:spid="_x0000_s1035" style="position:absolute;top:10731;width:18205;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Ldr4A&#10;AADaAAAADwAAAGRycy9kb3ducmV2LnhtbERPTYvCMBC9L/gfwgje1lQPaqtRRBBU9mIreB2bsa02&#10;k9JErf9+cxA8Pt73YtWZWjypdZVlBaNhBII4t7riQsEp2/7OQDiPrLG2TAre5GC17P0sMNH2xUd6&#10;pr4QIYRdggpK75tESpeXZNANbUMcuKttDfoA20LqFl8h3NRyHEUTabDi0FBiQ5uS8nv6MAqK490d&#10;xhjnt0s8Tfd1lf3F50ypQb9bz0F46vxX/HHvtIKwNVw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iNC3a+AAAA2gAAAA8AAAAAAAAAAAAAAAAAmAIAAGRycy9kb3ducmV2&#10;LnhtbFBLBQYAAAAABAAEAPUAAACDAwAAAAA=&#10;" fillcolor="white [3201]" strokecolor="black [3200]" strokeweight="2pt"/>
              <v:oval id="Text Box 9" o:spid="_x0000_s1036" style="position:absolute;left:1749;top:12171;width:15265;height:6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Lb8MA&#10;AADaAAAADwAAAGRycy9kb3ducmV2LnhtbESPQWvCQBSE74L/YXlCb7qpiGjqKhKVKJ6qPfT4yL4m&#10;odm3YXfV1F/vCkKPw8x8wyxWnWnElZyvLSt4HyUgiAuray4VfJ13wxkIH5A1NpZJwR95WC37vQWm&#10;2t74k66nUIoIYZ+igiqENpXSFxUZ9CPbEkfvxzqDIUpXSu3wFuGmkeMkmUqDNceFClvKKip+Txej&#10;4Lid3ze7SZ7NskP+vXf5Zn3ks1Jvg279ASJQF/7Dr/ZeK5jD80q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ELb8MAAADaAAAADwAAAAAAAAAAAAAAAACYAgAAZHJzL2Rv&#10;d25yZXYueG1sUEsFBgAAAAAEAAQA9QAAAIgDAAAAAA==&#10;" fillcolor="white [3201]" strokecolor="white [3212]" strokeweight=".5pt">
                <v:textbox>
                  <w:txbxContent>
                    <w:p w:rsidR="00A41A7C" w:rsidRDefault="00A41A7C" w:rsidP="00A41A7C">
                      <w:pPr>
                        <w:spacing w:after="0" w:line="240" w:lineRule="auto"/>
                        <w:jc w:val="center"/>
                      </w:pPr>
                      <w:r>
                        <w:t>Solvabilitas</w:t>
                      </w:r>
                    </w:p>
                    <w:p w:rsidR="00A41A7C" w:rsidRDefault="00A41A7C" w:rsidP="00A41A7C">
                      <w:pPr>
                        <w:spacing w:after="0" w:line="240" w:lineRule="auto"/>
                        <w:jc w:val="center"/>
                      </w:pPr>
                      <w:r>
                        <w:t>(X2)</w:t>
                      </w:r>
                    </w:p>
                  </w:txbxContent>
                </v:textbox>
              </v:oval>
              <v:oval id="Text Box 10" o:spid="_x0000_s1037" style="position:absolute;left:1749;top:22422;width:15265;height:5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V/8UA&#10;AADbAAAADwAAAGRycy9kb3ducmV2LnhtbESPQW/CMAyF75P2HyJP4jbSTWiCQkCoDJWJE7DDjlZj&#10;2mqNUyUByn79fJi0m633/N7nxWpwnbpSiK1nAy/jDBRx5W3LtYHP0/Z5CiomZIudZzJwpwir5ePD&#10;AnPrb3yg6zHVSkI45migSanPtY5VQw7j2PfEop19cJhkDbW2AW8S7jr9mmVv2mHL0tBgT0VD1ffx&#10;4gzs32c/m+2kLKbFR/m1C+VmveeTMaOnYT0HlWhI/+a/650VfKGX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VX/xQAAANsAAAAPAAAAAAAAAAAAAAAAAJgCAABkcnMv&#10;ZG93bnJldi54bWxQSwUGAAAAAAQABAD1AAAAigMAAAAA&#10;" fillcolor="white [3201]" strokecolor="white [3212]" strokeweight=".5pt">
                <v:textbox>
                  <w:txbxContent>
                    <w:p w:rsidR="00A41A7C" w:rsidRDefault="00A41A7C" w:rsidP="00A41A7C">
                      <w:pPr>
                        <w:spacing w:after="0" w:line="240" w:lineRule="auto"/>
                        <w:jc w:val="center"/>
                      </w:pPr>
                      <w:r>
                        <w:t>Profitabilitas</w:t>
                      </w:r>
                    </w:p>
                    <w:p w:rsidR="00A41A7C" w:rsidRDefault="00A41A7C" w:rsidP="00A41A7C">
                      <w:pPr>
                        <w:spacing w:line="240" w:lineRule="auto"/>
                        <w:jc w:val="center"/>
                      </w:pPr>
                      <w:r>
                        <w:t>(X3)</w:t>
                      </w:r>
                    </w:p>
                  </w:txbxContent>
                </v:textbox>
              </v:oval>
              <v:shape id="Text Box 23" o:spid="_x0000_s1038" style="position:absolute;left:36183;top:13361;width:15341;height:5248;visibility:visible" coordsize="1534085,5247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5VMAA&#10;AADbAAAADwAAAGRycy9kb3ducmV2LnhtbESPzarCMBSE94LvEI7gTlMVLlKNIhbRhRv/cXdojm2x&#10;OSlN1Pr25oLgcpiZb5jpvDGleFLtCssKBv0IBHFqdcGZguNh1RuDcB5ZY2mZFLzJwXzWbk0x1vbF&#10;O3rufSYChF2MCnLvq1hKl+Zk0PVtRRy8m60N+iDrTOoaXwFuSjmMoj9psOCwkGNFy5zS+/5hFNjr&#10;tknwzevzzZany3aVyMcpUarbaRYTEJ4a/wt/2xutYDiC/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85VMAAAADbAAAADwAAAAAAAAAAAAAAAACYAgAAZHJzL2Rvd25y&#10;ZXYueG1sUEsFBgAAAAAEAAQA9QAAAIUDAAAAAA==&#10;" adj="-11796480,,5400" path="m134727,313834c14191,270156,-59806,314810,63489,262505,186784,210200,629398,-1265,874497,6v245099,1271,659588,17715,659588,270127c1534085,522545,1019929,517291,786703,524574,553477,531858,255263,357512,134727,313834xe" fillcolor="white [3201]" strokecolor="white [3212]" strokeweight=".5pt">
                <v:stroke joinstyle="miter"/>
                <v:formulas/>
                <v:path arrowok="t" o:connecttype="custom" o:connectlocs="134728,313862;63489,262529;874502,6;1534094,270157;786708,524621;134728,313862" o:connectangles="0,0,0,0,0,0" textboxrect="0,0,1534085,524795"/>
                <v:textbox>
                  <w:txbxContent>
                    <w:p w:rsidR="00A41A7C" w:rsidRDefault="00A41A7C" w:rsidP="00A41A7C">
                      <w:pPr>
                        <w:spacing w:after="0" w:line="240" w:lineRule="auto"/>
                        <w:jc w:val="center"/>
                      </w:pPr>
                      <w:r>
                        <w:t>Kinerja Keuangan</w:t>
                      </w:r>
                    </w:p>
                    <w:p w:rsidR="00A41A7C" w:rsidRDefault="00A41A7C" w:rsidP="00A41A7C">
                      <w:pPr>
                        <w:spacing w:line="240" w:lineRule="auto"/>
                        <w:jc w:val="center"/>
                      </w:pPr>
                      <w:r>
                        <w:t>(Y)</w:t>
                      </w:r>
                    </w:p>
                  </w:txbxContent>
                </v:textbox>
              </v:shape>
              <v:shape id="Straight Arrow Connector 24" o:spid="_x0000_s1039" type="#_x0000_t32" style="position:absolute;left:18367;top:4373;width:16217;height:109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8DMMAAADbAAAADwAAAGRycy9kb3ducmV2LnhtbESPQYvCMBSE7wv+h/AEb2uqi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jvAzDAAAA2wAAAA8AAAAAAAAAAAAA&#10;AAAAoQIAAGRycy9kb3ducmV2LnhtbFBLBQYAAAAABAAEAPkAAACRAwAAAAA=&#10;" strokecolor="black [3040]">
                <v:stroke endarrow="open"/>
              </v:shape>
              <v:shape id="Straight Arrow Connector 26" o:spid="_x0000_s1040" type="#_x0000_t32" style="position:absolute;left:18208;top:15266;width:16380;height:103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EGBsYAAADbAAAADwAAAGRycy9kb3ducmV2LnhtbESPQWvCQBSE70L/w/IEb2ZjFC2pq4gi&#10;WiqU2lLw9si+ZkOzb2N21fTfdwsFj8PMfMPMl52txZVaXzlWMEpSEMSF0xWXCj7et8NHED4ga6wd&#10;k4If8rBcPPTmmGt34ze6HkMpIoR9jgpMCE0upS8MWfSJa4ij9+VaiyHKtpS6xVuE21pmaTqVFiuO&#10;CwYbWhsqvo8Xq2Dz/DmZnbvz63h3MoeCxrNTtnpRatDvVk8gAnXhHv5v77WCbAp/X+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xBgbGAAAA2wAAAA8AAAAAAAAA&#10;AAAAAAAAoQIAAGRycy9kb3ducmV2LnhtbFBLBQYAAAAABAAEAPkAAACUAwAAAAA=&#10;" strokecolor="black [3040]">
                <v:stroke endarrow="open"/>
              </v:shape>
              <v:shape id="Text Box 27" o:spid="_x0000_s1041" style="position:absolute;left:24302;top:11053;width:3699;height:3179;visibility:visible" coordsize="369882,317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P5cYA&#10;AADbAAAADwAAAGRycy9kb3ducmV2LnhtbESPT2vCQBTE74LfYXlCL0U3WlGJ2YiUFqSg+Pfg7ZF9&#10;JsHs2zS71bSfvlsoeBxm5jdMsmhNJW7UuNKyguEgAkGcWV1yruB4eO/PQDiPrLGyTAq+ycEi7XYS&#10;jLW9845ue5+LAGEXo4LC+zqW0mUFGXQDWxMH72Ibgz7IJpe6wXuAm0qOomgiDZYcFgqs6bWg7Lr/&#10;MgrW4/rn7WxW8uN5bO32uD59bl4qpZ567XIOwlPrH+H/9korGE3h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rP5cYAAADbAAAADwAAAAAAAAAAAAAAAACYAgAAZHJz&#10;L2Rvd25yZXYueG1sUEsFBgAAAAAEAAQA9QAAAIsDAAAAAA==&#10;" adj="-11796480,,5400" path="m26663,l369882,71768v-24292,95413,-21097,87254,-5632,174716l316543,317911c219917,312652,218706,236045,122080,230786l,309853c,206569,50517,103284,26663,xe" fillcolor="white [3201]" strokecolor="white [3212]" strokeweight=".5pt">
                <v:stroke joinstyle="miter"/>
                <v:formulas/>
                <v:path arrowok="t" o:connecttype="custom" o:connectlocs="26663,0;369884,71774;364252,246506;316545,317939;122081,230806;0,309880;26663,0" o:connectangles="0,0,0,0,0,0,0" textboxrect="0,0,369882,317911"/>
                <v:textbox>
                  <w:txbxContent>
                    <w:p w:rsidR="00A41A7C" w:rsidRDefault="00A41A7C" w:rsidP="00A41A7C">
                      <w:r>
                        <w:t>H</w:t>
                      </w:r>
                      <w:r w:rsidRPr="007B69BA">
                        <w:rPr>
                          <w:vertAlign w:val="subscript"/>
                        </w:rPr>
                        <w:t>1</w:t>
                      </w:r>
                      <w:r>
                        <w:rPr>
                          <w:lang w:eastAsia="id-ID"/>
                        </w:rPr>
                        <w:drawing>
                          <wp:inline distT="0" distB="0" distL="0" distR="0">
                            <wp:extent cx="64770" cy="252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 cy="25299"/>
                                    </a:xfrm>
                                    <a:prstGeom prst="rect">
                                      <a:avLst/>
                                    </a:prstGeom>
                                    <a:noFill/>
                                    <a:ln>
                                      <a:noFill/>
                                    </a:ln>
                                  </pic:spPr>
                                </pic:pic>
                              </a:graphicData>
                            </a:graphic>
                          </wp:inline>
                        </w:drawing>
                      </w:r>
                    </w:p>
                  </w:txbxContent>
                </v:textbox>
              </v:shape>
              <v:shape id="Text Box 29" o:spid="_x0000_s1042" style="position:absolute;left:24302;top:16128;width:3527;height:2797;visibility:visible" coordsize="352612,279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8Y3MMA&#10;AADbAAAADwAAAGRycy9kb3ducmV2LnhtbESPQWvCQBSE7wX/w/IEb3UTC22MrqEUhB7VFnp9Zp/Z&#10;YPZtzK4m8de7hUKPw8x8w6yLwTbiRp2vHStI5wkI4tLpmisF31/b5wyED8gaG8ekYCQPxWbytMZc&#10;u573dDuESkQI+xwVmBDaXEpfGrLo564ljt7JdRZDlF0ldYd9hNtGLpLkVVqsOS4YbOnDUHk+XK2C&#10;++6aXn7GrDree2O3LyZLxrdMqdl0eF+BCDSE//Bf+1MrWCzh90v8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8Y3MMAAADbAAAADwAAAAAAAAAAAAAAAACYAgAAZHJzL2Rv&#10;d25yZXYueG1sUEsFBgAAAAAEAAQA9QAAAIgDAAAAAA==&#10;" adj="-11796480,,5400" path="m7953,l270494,55654v26291,90024,109982,118083,72705,224010l63608,279665,,,7953,xe" fillcolor="white [3201]" strokecolor="white [3212]" strokeweight=".5pt">
                <v:stroke joinstyle="miter"/>
                <v:formulas/>
                <v:path arrowok="t" o:connecttype="custom" o:connectlocs="7954,0;270512,55659;343221,279689;63612,279690;0,0;7954,0" o:connectangles="0,0,0,0,0,0" textboxrect="0,0,352612,279665"/>
                <v:textbox>
                  <w:txbxContent>
                    <w:p w:rsidR="00A41A7C" w:rsidRDefault="00A41A7C" w:rsidP="00A41A7C">
                      <w:r>
                        <w:t>H</w:t>
                      </w:r>
                      <w:r w:rsidRPr="00AA194C">
                        <w:rPr>
                          <w:vertAlign w:val="subscript"/>
                        </w:rPr>
                        <w:t>2</w:t>
                      </w:r>
                      <w:r>
                        <w:rPr>
                          <w:lang w:eastAsia="id-ID"/>
                        </w:rPr>
                        <w:drawing>
                          <wp:inline distT="0" distB="0" distL="0" distR="0">
                            <wp:extent cx="64770" cy="252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 cy="25299"/>
                                    </a:xfrm>
                                    <a:prstGeom prst="rect">
                                      <a:avLst/>
                                    </a:prstGeom>
                                    <a:noFill/>
                                    <a:ln>
                                      <a:noFill/>
                                    </a:ln>
                                  </pic:spPr>
                                </pic:pic>
                              </a:graphicData>
                            </a:graphic>
                          </wp:inline>
                        </w:drawing>
                      </w:r>
                    </w:p>
                  </w:txbxContent>
                </v:textbox>
              </v:shape>
              <v:shape id="Text Box 31" o:spid="_x0000_s1043" style="position:absolute;left:23712;top:21788;width:4369;height:3099;visibility:visible" coordsize="436885,310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kj08MA&#10;AADbAAAADwAAAGRycy9kb3ducmV2LnhtbESPQWvCQBSE70L/w/IK3nQTK2JTVymVoh61LeLtkX3N&#10;RrNvQ3aN8d+7guBxmJlvmNmis5VoqfGlYwXpMAFBnDtdcqHg9+d7MAXhA7LGyjEpuJKHxfylN8NM&#10;uwtvqd2FQkQI+wwVmBDqTEqfG7Loh64mjt6/ayyGKJtC6gYvEW4rOUqSibRYclwwWNOXofy0O1sF&#10;47T176dktaflsd6Yw9Hzn50q1X/tPj9ABOrCM/xor7WCtx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kj08MAAADbAAAADwAAAAAAAAAAAAAAAACYAgAAZHJzL2Rv&#10;d25yZXYueG1sUEsFBgAAAAAEAAQA9QAAAIgDAAAAAA==&#10;" adj="-11796480,,5400" path="m7,190818c1309,139135,189449,-25,262262,v72813,25,174623,85581,174623,190967c436885,296353,327262,310126,254449,310101,181636,310076,-1295,242501,7,190818xe" fillcolor="white [3201]" strokecolor="white [3212]" strokeweight=".5pt">
                <v:stroke joinstyle="miter"/>
                <v:formulas/>
                <v:path arrowok="t" o:connecttype="custom" o:connectlocs="7,190682;262257,0;436876,190831;254444,309880;7,190682" o:connectangles="0,0,0,0,0" textboxrect="0,0,436885,310101"/>
                <v:textbox>
                  <w:txbxContent>
                    <w:p w:rsidR="00A41A7C" w:rsidRPr="00AA194C" w:rsidRDefault="00A41A7C" w:rsidP="00A41A7C">
                      <w:pPr>
                        <w:rPr>
                          <w:vertAlign w:val="subscript"/>
                        </w:rPr>
                      </w:pPr>
                      <w:r>
                        <w:rPr>
                          <w:lang w:eastAsia="id-ID"/>
                        </w:rPr>
                        <w:drawing>
                          <wp:inline distT="0" distB="0" distL="0" distR="0">
                            <wp:extent cx="64770" cy="2529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 cy="25299"/>
                                    </a:xfrm>
                                    <a:prstGeom prst="rect">
                                      <a:avLst/>
                                    </a:prstGeom>
                                    <a:noFill/>
                                    <a:ln>
                                      <a:noFill/>
                                    </a:ln>
                                  </pic:spPr>
                                </pic:pic>
                              </a:graphicData>
                            </a:graphic>
                          </wp:inline>
                        </w:drawing>
                      </w:r>
                      <w:r>
                        <w:t>H</w:t>
                      </w:r>
                      <w:r>
                        <w:rPr>
                          <w:vertAlign w:val="subscript"/>
                        </w:rPr>
                        <w:t>3</w:t>
                      </w:r>
                    </w:p>
                  </w:txbxContent>
                </v:textbox>
              </v:shape>
              <v:line id="Straight Connector 3" o:spid="_x0000_s1044" style="position:absolute;visibility:visible" from="18208,4373" to="23535,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8jsEAAADaAAAADwAAAGRycy9kb3ducmV2LnhtbESPQWsCMRSE74L/IbyCt5q1otTVKFIU&#10;xZ66rffH5nV3cfOyJlHjvzeFgsdhZr5hFqtoWnEl5xvLCkbDDARxaXXDlYKf7+3rOwgfkDW2lknB&#10;nTyslv3eAnNtb/xF1yJUIkHY56igDqHLpfRlTQb90HbEyfu1zmBI0lVSO7wluGnlW5ZNpcGG00KN&#10;HX3UVJ6Ki0mU0fFs5O40w+PBfbrNeBon8azU4CWu5yACxfAM/7f3WsEY/q6k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byOwQAAANoAAAAPAAAAAAAAAAAAAAAA&#10;AKECAABkcnMvZG93bnJldi54bWxQSwUGAAAAAAQABAD5AAAAjwMAAAAA&#10;" strokecolor="black [3040]"/>
              <v:line id="Straight Connector 16" o:spid="_x0000_s1045" style="position:absolute;visibility:visible" from="18208,15346" to="23529,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shape id="Text Box 20" o:spid="_x0000_s1046" style="position:absolute;left:18606;top:15982;width:4291;height:3495;visibility:visible" coordsize="429139,3495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dfb8A&#10;AADbAAAADwAAAGRycy9kb3ducmV2LnhtbERPO2vDMBDeC/kP4gLdGjkpLcaxHNJCoVMhjyHjxbpY&#10;ItbJWGri/vveUOj48b3rzRR6daMx+cgGlosCFHEbrefOwPHw8VSCShnZYh+ZDPxQgk0ze6ixsvHO&#10;O7rtc6ckhFOFBlzOQ6V1ah0FTIs4EAt3iWPALHDstB3xLuGh16uieNUBPUuDw4HeHbXX/XeQXt3t&#10;2revZ3++4Mm/DKF05SEZ8ziftmtQmab8L/5zf1oDK1kvX+QH6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d19vwAAANsAAAAPAAAAAAAAAAAAAAAAAJgCAABkcnMvZG93bnJl&#10;di54bWxQSwUGAAAAAAQABAD1AAAAhAMAAAAA&#10;" adj="-11796480,,5400" path="m393,166380c8353,108122,155226,-99,226684,1v71458,100,202455,48615,202455,166977c429139,285340,250381,349651,178923,349551,107465,349451,-7567,224638,393,166380xe" fillcolor="white [3201]" strokecolor="white [3212]" strokeweight=".5pt">
                <v:stroke joinstyle="miter"/>
                <v:formulas/>
                <v:path arrowok="t" o:connecttype="custom" o:connectlocs="393,166380;226684,1;429139,166978;178923,349551;393,166380" o:connectangles="0,0,0,0,0" textboxrect="0,0,429139,349551"/>
                <v:textbox>
                  <w:txbxContent>
                    <w:p w:rsidR="00A41A7C" w:rsidRPr="00AA194C" w:rsidRDefault="00A41A7C" w:rsidP="00A41A7C">
                      <w:pPr>
                        <w:rPr>
                          <w:vertAlign w:val="subscript"/>
                        </w:rPr>
                      </w:pPr>
                      <w:r>
                        <w:rPr>
                          <w:lang w:eastAsia="id-ID"/>
                        </w:rPr>
                        <w:drawing>
                          <wp:inline distT="0" distB="0" distL="0" distR="0">
                            <wp:extent cx="64770" cy="25299"/>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 cy="25299"/>
                                    </a:xfrm>
                                    <a:prstGeom prst="rect">
                                      <a:avLst/>
                                    </a:prstGeom>
                                    <a:noFill/>
                                    <a:ln>
                                      <a:noFill/>
                                    </a:ln>
                                  </pic:spPr>
                                </pic:pic>
                              </a:graphicData>
                            </a:graphic>
                          </wp:inline>
                        </w:drawing>
                      </w:r>
                      <w:r>
                        <w:t>H</w:t>
                      </w:r>
                      <w:r>
                        <w:rPr>
                          <w:vertAlign w:val="subscript"/>
                        </w:rPr>
                        <w:t>4</w:t>
                      </w:r>
                    </w:p>
                  </w:txbxContent>
                </v:textbox>
              </v:shape>
            </v:group>
          </v:group>
        </w:pict>
      </w:r>
      <w:r w:rsidR="00A41A7C" w:rsidRPr="00066541">
        <w:rPr>
          <w:rFonts w:cstheme="majorBidi"/>
          <w:color w:val="000000" w:themeColor="text1"/>
        </w:rPr>
        <w:t xml:space="preserve"> Menurut (Sugiyono, 2019), kerangka konseptual merupakan gambaran sistematis mengenai korelasi antar variabel yang akan diteliti, dirancang berdasarkan teori-teori yang relevan. Kerangka ini berfungsi sebagai panduan awal bagi peneliti dan pembaca untuk memahami arah penelitian serta memperlihatkan asumsi-asumsi mengenai keterkaitan antar variabel yang menjadi fokus kajian..</w:t>
      </w:r>
    </w:p>
    <w:p w:rsidR="00A41A7C" w:rsidRPr="00066541" w:rsidRDefault="00A41A7C" w:rsidP="00A41A7C">
      <w:pPr>
        <w:rPr>
          <w:rFonts w:cstheme="majorBidi"/>
          <w:color w:val="000000" w:themeColor="text1"/>
          <w:lang w:eastAsia="en-GB"/>
        </w:rPr>
      </w:pPr>
    </w:p>
    <w:p w:rsidR="00A41A7C" w:rsidRPr="00066541" w:rsidRDefault="00A41A7C" w:rsidP="00A41A7C">
      <w:pPr>
        <w:tabs>
          <w:tab w:val="left" w:pos="6522"/>
        </w:tabs>
        <w:rPr>
          <w:rFonts w:cstheme="majorBidi"/>
          <w:color w:val="000000" w:themeColor="text1"/>
          <w:lang w:eastAsia="en-GB"/>
        </w:rPr>
      </w:pPr>
      <w:r w:rsidRPr="00066541">
        <w:rPr>
          <w:rFonts w:cstheme="majorBidi"/>
          <w:color w:val="000000" w:themeColor="text1"/>
          <w:lang w:eastAsia="en-GB"/>
        </w:rPr>
        <w:lastRenderedPageBreak/>
        <w:tab/>
      </w:r>
    </w:p>
    <w:p w:rsidR="00A41A7C" w:rsidRPr="00066541" w:rsidRDefault="00A41A7C" w:rsidP="00A41A7C">
      <w:pPr>
        <w:rPr>
          <w:rFonts w:cstheme="majorBidi"/>
          <w:color w:val="000000" w:themeColor="text1"/>
          <w:lang w:eastAsia="en-GB"/>
        </w:rPr>
      </w:pPr>
    </w:p>
    <w:p w:rsidR="00A41A7C" w:rsidRPr="00066541" w:rsidRDefault="00A41A7C" w:rsidP="00A41A7C">
      <w:pPr>
        <w:rPr>
          <w:rFonts w:cstheme="majorBidi"/>
          <w:color w:val="000000" w:themeColor="text1"/>
          <w:lang w:eastAsia="en-GB"/>
        </w:rPr>
      </w:pPr>
    </w:p>
    <w:p w:rsidR="00A41A7C" w:rsidRPr="00066541" w:rsidRDefault="00A41A7C" w:rsidP="00A41A7C">
      <w:pPr>
        <w:tabs>
          <w:tab w:val="left" w:pos="2392"/>
        </w:tabs>
        <w:rPr>
          <w:rFonts w:cstheme="majorBidi"/>
          <w:color w:val="000000" w:themeColor="text1"/>
          <w:lang w:eastAsia="en-GB"/>
        </w:rPr>
      </w:pPr>
      <w:r w:rsidRPr="00066541">
        <w:rPr>
          <w:rFonts w:cstheme="majorBidi"/>
          <w:color w:val="000000" w:themeColor="text1"/>
          <w:lang w:eastAsia="en-GB"/>
        </w:rPr>
        <w:tab/>
      </w:r>
    </w:p>
    <w:p w:rsidR="00A41A7C" w:rsidRPr="00066541" w:rsidRDefault="00A41A7C" w:rsidP="00A41A7C">
      <w:pPr>
        <w:rPr>
          <w:rFonts w:cstheme="majorBidi"/>
          <w:color w:val="000000" w:themeColor="text1"/>
          <w:lang w:eastAsia="en-GB"/>
        </w:rPr>
      </w:pPr>
      <w:r w:rsidRPr="00066541">
        <w:rPr>
          <w:rFonts w:cstheme="majorBidi"/>
          <w:color w:val="000000" w:themeColor="text1"/>
          <w:lang w:eastAsia="en-GB"/>
        </w:rPr>
        <w:br/>
      </w:r>
    </w:p>
    <w:p w:rsidR="00A41A7C" w:rsidRPr="00066541" w:rsidRDefault="00A41A7C" w:rsidP="00A41A7C">
      <w:pPr>
        <w:spacing w:after="0"/>
        <w:rPr>
          <w:rFonts w:cstheme="majorBidi"/>
          <w:color w:val="000000" w:themeColor="text1"/>
          <w:lang w:eastAsia="en-GB"/>
        </w:rPr>
      </w:pPr>
    </w:p>
    <w:p w:rsidR="00A41A7C" w:rsidRDefault="00986164" w:rsidP="00A41A7C">
      <w:pPr>
        <w:spacing w:after="0"/>
        <w:rPr>
          <w:rFonts w:cstheme="majorBidi"/>
          <w:color w:val="000000" w:themeColor="text1"/>
          <w:lang w:eastAsia="en-GB"/>
        </w:rPr>
      </w:pPr>
      <w:r w:rsidRPr="00986164">
        <w:rPr>
          <w:lang w:val="en-US"/>
        </w:rPr>
        <w:pict>
          <v:shape id="Text Box 294" o:spid="_x0000_s1047" type="#_x0000_t202" style="position:absolute;margin-left:119pt;margin-top:16.05pt;width:219.1pt;height:.0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" stroked="f">
            <v:textbox style="mso-fit-shape-to-text:t" inset="0,0,0,0">
              <w:txbxContent>
                <w:p w:rsidR="00A41A7C" w:rsidRPr="002026A9" w:rsidRDefault="00A41A7C" w:rsidP="00A41A7C">
                  <w:pPr>
                    <w:pStyle w:val="Caption"/>
                    <w:rPr>
                      <w:rFonts w:cstheme="majorBidi"/>
                      <w:color w:val="000000" w:themeColor="text1"/>
                      <w:sz w:val="36"/>
                      <w:szCs w:val="24"/>
                    </w:rPr>
                  </w:pPr>
                  <w:bookmarkStart w:id="10" w:name="_Toc202135642"/>
                  <w:bookmarkStart w:id="11" w:name="_Toc202135957"/>
                  <w:r w:rsidRPr="002026A9">
                    <w:rPr>
                      <w:color w:val="000000" w:themeColor="text1"/>
                      <w:sz w:val="24"/>
                      <w:szCs w:val="24"/>
                    </w:rPr>
                    <w:t xml:space="preserve">Gambar 2. </w:t>
                  </w:r>
                  <w:r w:rsidR="00986164" w:rsidRPr="002026A9">
                    <w:rPr>
                      <w:color w:val="000000" w:themeColor="text1"/>
                      <w:sz w:val="24"/>
                      <w:szCs w:val="24"/>
                    </w:rPr>
                    <w:fldChar w:fldCharType="begin"/>
                  </w:r>
                  <w:r w:rsidRPr="002026A9">
                    <w:rPr>
                      <w:color w:val="000000" w:themeColor="text1"/>
                      <w:sz w:val="24"/>
                      <w:szCs w:val="24"/>
                    </w:rPr>
                    <w:instrText xml:space="preserve"> SEQ Gambar_2. \* ARABIC </w:instrText>
                  </w:r>
                  <w:r w:rsidR="00986164" w:rsidRPr="002026A9">
                    <w:rPr>
                      <w:color w:val="000000" w:themeColor="text1"/>
                      <w:sz w:val="24"/>
                      <w:szCs w:val="24"/>
                    </w:rPr>
                    <w:fldChar w:fldCharType="separate"/>
                  </w:r>
                  <w:r w:rsidRPr="002026A9">
                    <w:rPr>
                      <w:color w:val="000000" w:themeColor="text1"/>
                      <w:sz w:val="24"/>
                      <w:szCs w:val="24"/>
                    </w:rPr>
                    <w:t>1</w:t>
                  </w:r>
                  <w:r w:rsidR="00986164" w:rsidRPr="002026A9">
                    <w:rPr>
                      <w:color w:val="000000" w:themeColor="text1"/>
                      <w:sz w:val="24"/>
                      <w:szCs w:val="24"/>
                    </w:rPr>
                    <w:fldChar w:fldCharType="end"/>
                  </w:r>
                  <w:r w:rsidRPr="002026A9">
                    <w:rPr>
                      <w:color w:val="000000" w:themeColor="text1"/>
                      <w:sz w:val="24"/>
                      <w:szCs w:val="24"/>
                    </w:rPr>
                    <w:t xml:space="preserve"> Kerangka Konseptual</w:t>
                  </w:r>
                  <w:bookmarkEnd w:id="10"/>
                  <w:bookmarkEnd w:id="11"/>
                </w:p>
              </w:txbxContent>
            </v:textbox>
          </v:shape>
        </w:pict>
      </w:r>
    </w:p>
    <w:p w:rsidR="00A41A7C" w:rsidRDefault="00A41A7C" w:rsidP="00A41A7C">
      <w:pPr>
        <w:spacing w:after="0"/>
        <w:rPr>
          <w:rFonts w:cstheme="majorBidi"/>
          <w:color w:val="000000" w:themeColor="text1"/>
          <w:lang w:eastAsia="en-GB"/>
        </w:rPr>
      </w:pPr>
    </w:p>
    <w:p w:rsidR="00A41A7C" w:rsidRPr="00066541" w:rsidRDefault="00A41A7C" w:rsidP="00A41A7C">
      <w:pPr>
        <w:spacing w:after="0"/>
        <w:rPr>
          <w:rFonts w:cstheme="majorBidi"/>
          <w:color w:val="000000" w:themeColor="text1"/>
          <w:lang w:eastAsia="en-GB"/>
        </w:rPr>
      </w:pPr>
      <w:r w:rsidRPr="00066541">
        <w:rPr>
          <w:rFonts w:cstheme="majorBidi"/>
          <w:color w:val="000000" w:themeColor="text1"/>
          <w:lang w:eastAsia="en-GB"/>
        </w:rPr>
        <w:t xml:space="preserve">Sumber : </w:t>
      </w:r>
      <w:r w:rsidR="00986164" w:rsidRPr="00066541">
        <w:rPr>
          <w:rFonts w:cstheme="majorBidi"/>
          <w:color w:val="000000" w:themeColor="text1"/>
          <w:lang w:eastAsia="en-GB"/>
        </w:rPr>
        <w:fldChar w:fldCharType="begin" w:fldLock="1"/>
      </w:r>
      <w:r w:rsidRPr="00066541">
        <w:rPr>
          <w:rFonts w:cstheme="majorBidi"/>
          <w:color w:val="000000" w:themeColor="text1"/>
          <w:lang w:eastAsia="en-GB"/>
        </w:rPr>
        <w:instrText>ADDIN CSL_CITATION {"citationItems":[{"id":"ITEM-1","itemData":{"abstract":"Terdapat tiga sektor manufaktur yang ada di BEI 2023 antara lain sektor industri dasar dan kimia, aneka industri, dan industri barang konsumsi. Berikut daftar lengkap saham manufaktur yang terdaftar di BEI sesuai sektornya masing-masing.","author":[{"dropping-particle":"","family":"Wijayanti","given":"Ratih Ika","non-dropping-particle":"","parse-names":false,"suffix":""}],"container-title":"IDX Channel","id":"ITEM-1","issued":{"date-parts":[["2023"]]},"title":"Daftar Perusahaan Manufaktur yang Terdaftar di BEI 2023","type":"article-journal"},"uris":["http://www.mendeley.com/documents/?uuid=81ae52af-f730-48cd-9c09-958e8c663289"]}],"mendeley":{"formattedCitation":"(Wijayanti, 2023)","plainTextFormattedCitation":"(Wijayanti, 2023)","previouslyFormattedCitation":"(Wijayanti, 2023)"},"properties":{"noteIndex":0},"schema":"https://github.com/citation-style-language/schema/raw/master/csl-citation.json"}</w:instrText>
      </w:r>
      <w:r w:rsidR="00986164" w:rsidRPr="00066541">
        <w:rPr>
          <w:rFonts w:cstheme="majorBidi"/>
          <w:color w:val="000000" w:themeColor="text1"/>
          <w:lang w:eastAsia="en-GB"/>
        </w:rPr>
        <w:fldChar w:fldCharType="separate"/>
      </w:r>
      <w:r w:rsidRPr="00066541">
        <w:rPr>
          <w:rFonts w:cstheme="majorBidi"/>
          <w:color w:val="000000" w:themeColor="text1"/>
          <w:lang w:eastAsia="en-GB"/>
        </w:rPr>
        <w:t>(Wijayanti, 2023)</w:t>
      </w:r>
      <w:r w:rsidR="00986164" w:rsidRPr="00066541">
        <w:rPr>
          <w:rFonts w:cstheme="majorBidi"/>
          <w:color w:val="000000" w:themeColor="text1"/>
          <w:lang w:eastAsia="en-GB"/>
        </w:rPr>
        <w:fldChar w:fldCharType="end"/>
      </w:r>
    </w:p>
    <w:p w:rsidR="00A41A7C" w:rsidRPr="00066541" w:rsidRDefault="00A41A7C" w:rsidP="00A41A7C">
      <w:pPr>
        <w:spacing w:after="0"/>
        <w:ind w:firstLine="567"/>
        <w:jc w:val="both"/>
        <w:rPr>
          <w:rFonts w:cstheme="majorBidi"/>
          <w:color w:val="000000" w:themeColor="text1"/>
          <w:lang w:eastAsia="en-GB"/>
        </w:rPr>
      </w:pPr>
      <w:r w:rsidRPr="00066541">
        <w:rPr>
          <w:rFonts w:cstheme="majorBidi"/>
          <w:color w:val="000000" w:themeColor="text1"/>
          <w:lang w:val="en-GB" w:eastAsia="en-GB"/>
        </w:rPr>
        <w:t xml:space="preserve">Gambar 2.1 menunjukkan kerangka konseptual yang </w:t>
      </w:r>
      <w:r w:rsidRPr="00066541">
        <w:rPr>
          <w:rFonts w:cstheme="majorBidi"/>
          <w:color w:val="000000" w:themeColor="text1"/>
          <w:lang w:eastAsia="en-GB"/>
        </w:rPr>
        <w:t>memperlihatkankorelasi</w:t>
      </w:r>
      <w:r w:rsidRPr="00066541">
        <w:rPr>
          <w:rFonts w:cstheme="majorBidi"/>
          <w:color w:val="000000" w:themeColor="text1"/>
          <w:lang w:val="en-GB" w:eastAsia="en-GB"/>
        </w:rPr>
        <w:t xml:space="preserve"> antara variabel </w:t>
      </w:r>
      <w:r w:rsidRPr="00066541">
        <w:rPr>
          <w:rFonts w:cstheme="majorBidi"/>
          <w:color w:val="000000" w:themeColor="text1"/>
          <w:lang w:eastAsia="en-GB"/>
        </w:rPr>
        <w:t>bebas</w:t>
      </w:r>
      <w:r w:rsidRPr="00066541">
        <w:rPr>
          <w:rFonts w:cstheme="majorBidi"/>
          <w:color w:val="000000" w:themeColor="text1"/>
          <w:lang w:val="en-GB" w:eastAsia="en-GB"/>
        </w:rPr>
        <w:t xml:space="preserve"> yaitu Likuiditas (X1), Solvabilitas (X2), dan Profitabilitas (X3) terhadap variabel </w:t>
      </w:r>
      <w:r w:rsidRPr="00066541">
        <w:rPr>
          <w:rFonts w:cstheme="majorBidi"/>
          <w:color w:val="000000" w:themeColor="text1"/>
          <w:lang w:eastAsia="en-GB"/>
        </w:rPr>
        <w:t>terikat</w:t>
      </w:r>
      <w:r w:rsidRPr="00066541">
        <w:rPr>
          <w:rFonts w:cstheme="majorBidi"/>
          <w:color w:val="000000" w:themeColor="text1"/>
          <w:lang w:val="en-GB" w:eastAsia="en-GB"/>
        </w:rPr>
        <w:t xml:space="preserve"> yaitu Kinerja Keuangan (Y). Model ini bertujuan untuk mengidentifikasi pengaruh faktor-faktor keuangan utama terhadap kinerja keuangan suatu perusahaan.</w:t>
      </w:r>
    </w:p>
    <w:p w:rsidR="00A41A7C" w:rsidRPr="00066541" w:rsidRDefault="00A41A7C" w:rsidP="00A41A7C">
      <w:pPr>
        <w:pStyle w:val="Heading2"/>
        <w:tabs>
          <w:tab w:val="left" w:pos="2254"/>
        </w:tabs>
        <w:spacing w:before="0"/>
        <w:rPr>
          <w:lang w:eastAsia="en-GB"/>
        </w:rPr>
      </w:pPr>
      <w:bookmarkStart w:id="12" w:name="_Toc201095823"/>
      <w:r w:rsidRPr="00066541">
        <w:rPr>
          <w:lang w:eastAsia="en-GB"/>
        </w:rPr>
        <w:t>2.4 Hipotesis Penelitian</w:t>
      </w:r>
      <w:bookmarkEnd w:id="12"/>
    </w:p>
    <w:p w:rsidR="00A41A7C" w:rsidRPr="00066541" w:rsidRDefault="00A41A7C" w:rsidP="00A41A7C">
      <w:pPr>
        <w:ind w:firstLine="567"/>
        <w:jc w:val="both"/>
        <w:rPr>
          <w:color w:val="000000" w:themeColor="text1"/>
        </w:rPr>
      </w:pPr>
      <w:r w:rsidRPr="00066541">
        <w:rPr>
          <w:color w:val="000000" w:themeColor="text1"/>
        </w:rPr>
        <w:t>Menurut (Sugiyono, 2019), hipotesis adalah solusi sesaat untuk hambatan dalam produksi penelitian, dengan masalah penelitian dinyatakan sebagai pertanyaan. Menggunakan kerangka konseptual yang dijelaskan di atas, peneliti mengusulkan hipotesis berikut:</w:t>
      </w:r>
    </w:p>
    <w:p w:rsidR="00A41A7C" w:rsidRPr="00066541" w:rsidRDefault="00A41A7C" w:rsidP="00A41A7C">
      <w:pPr>
        <w:spacing w:after="0"/>
        <w:jc w:val="both"/>
        <w:rPr>
          <w:rFonts w:cstheme="majorBidi"/>
          <w:color w:val="000000" w:themeColor="text1"/>
        </w:rPr>
      </w:pPr>
      <w:r w:rsidRPr="00066541">
        <w:rPr>
          <w:rFonts w:cstheme="majorBidi"/>
          <w:color w:val="000000" w:themeColor="text1"/>
          <w:position w:val="2"/>
        </w:rPr>
        <w:lastRenderedPageBreak/>
        <w:t>H</w:t>
      </w:r>
      <w:r w:rsidRPr="00066541">
        <w:rPr>
          <w:rFonts w:cstheme="majorBidi"/>
          <w:color w:val="000000" w:themeColor="text1"/>
          <w:sz w:val="16"/>
        </w:rPr>
        <w:t xml:space="preserve">1 </w:t>
      </w:r>
      <w:r w:rsidRPr="00066541">
        <w:rPr>
          <w:rFonts w:cstheme="majorBidi"/>
          <w:color w:val="000000" w:themeColor="text1"/>
          <w:position w:val="2"/>
        </w:rPr>
        <w:t xml:space="preserve">: </w:t>
      </w:r>
      <w:r w:rsidRPr="00066541">
        <w:rPr>
          <w:rFonts w:cstheme="majorBidi"/>
          <w:iCs/>
          <w:color w:val="000000" w:themeColor="text1"/>
          <w:position w:val="2"/>
        </w:rPr>
        <w:t>Likuiditas</w:t>
      </w:r>
      <w:r w:rsidRPr="00066541">
        <w:rPr>
          <w:rFonts w:cstheme="majorBidi"/>
          <w:color w:val="000000" w:themeColor="text1"/>
          <w:position w:val="2"/>
        </w:rPr>
        <w:t xml:space="preserve">berpengaruh </w:t>
      </w:r>
      <w:r>
        <w:rPr>
          <w:rFonts w:cstheme="majorBidi"/>
          <w:color w:val="000000" w:themeColor="text1"/>
          <w:position w:val="2"/>
        </w:rPr>
        <w:t xml:space="preserve">secara negatif </w:t>
      </w:r>
      <w:r w:rsidRPr="00066541">
        <w:rPr>
          <w:rFonts w:cstheme="majorBidi"/>
          <w:color w:val="000000" w:themeColor="text1"/>
          <w:position w:val="2"/>
        </w:rPr>
        <w:t xml:space="preserve">terhadap kinerja keuangan pada </w:t>
      </w:r>
      <w:r w:rsidRPr="00066541">
        <w:rPr>
          <w:rFonts w:cstheme="majorBidi"/>
          <w:color w:val="000000" w:themeColor="text1"/>
        </w:rPr>
        <w:t>PT. Panji Anugerah Sentosa Medan.</w:t>
      </w:r>
    </w:p>
    <w:p w:rsidR="00A41A7C" w:rsidRPr="00066541" w:rsidRDefault="00A41A7C" w:rsidP="00A41A7C">
      <w:pPr>
        <w:spacing w:after="0"/>
        <w:jc w:val="both"/>
        <w:rPr>
          <w:rFonts w:cstheme="majorBidi"/>
          <w:color w:val="000000" w:themeColor="text1"/>
        </w:rPr>
      </w:pPr>
      <w:r w:rsidRPr="00066541">
        <w:rPr>
          <w:rFonts w:cstheme="majorBidi"/>
          <w:color w:val="000000" w:themeColor="text1"/>
          <w:position w:val="2"/>
        </w:rPr>
        <w:t>H</w:t>
      </w:r>
      <w:r w:rsidRPr="00066541">
        <w:rPr>
          <w:rFonts w:cstheme="majorBidi"/>
          <w:color w:val="000000" w:themeColor="text1"/>
          <w:sz w:val="16"/>
        </w:rPr>
        <w:t>2</w:t>
      </w:r>
      <w:r w:rsidRPr="00066541">
        <w:rPr>
          <w:rFonts w:cstheme="majorBidi"/>
          <w:color w:val="000000" w:themeColor="text1"/>
          <w:position w:val="2"/>
        </w:rPr>
        <w:t xml:space="preserve">: </w:t>
      </w:r>
      <w:r w:rsidRPr="00066541">
        <w:rPr>
          <w:rFonts w:cstheme="majorBidi"/>
          <w:iCs/>
          <w:color w:val="000000" w:themeColor="text1"/>
          <w:position w:val="2"/>
        </w:rPr>
        <w:t>Solvabilitas</w:t>
      </w:r>
      <w:r>
        <w:rPr>
          <w:rFonts w:cstheme="majorBidi"/>
          <w:iCs/>
          <w:color w:val="000000" w:themeColor="text1"/>
          <w:position w:val="2"/>
        </w:rPr>
        <w:t xml:space="preserve">tidak </w:t>
      </w:r>
      <w:r w:rsidRPr="00066541">
        <w:rPr>
          <w:rFonts w:cstheme="majorBidi"/>
          <w:color w:val="000000" w:themeColor="text1"/>
          <w:position w:val="2"/>
        </w:rPr>
        <w:t xml:space="preserve">berpengaruh terhadap kinerja </w:t>
      </w:r>
      <w:r w:rsidRPr="00066541">
        <w:rPr>
          <w:rFonts w:cstheme="majorBidi"/>
          <w:color w:val="000000" w:themeColor="text1"/>
        </w:rPr>
        <w:t>keuangan pada PT. Panji Anugerah Sentosa Medan.</w:t>
      </w:r>
    </w:p>
    <w:p w:rsidR="00A41A7C" w:rsidRPr="00066541" w:rsidRDefault="00A41A7C" w:rsidP="00A41A7C">
      <w:pPr>
        <w:spacing w:after="0"/>
        <w:jc w:val="both"/>
        <w:rPr>
          <w:rFonts w:cstheme="majorBidi"/>
          <w:color w:val="000000" w:themeColor="text1"/>
        </w:rPr>
      </w:pPr>
      <w:r w:rsidRPr="00066541">
        <w:rPr>
          <w:rFonts w:cstheme="majorBidi"/>
          <w:color w:val="000000" w:themeColor="text1"/>
          <w:position w:val="2"/>
        </w:rPr>
        <w:t>H</w:t>
      </w:r>
      <w:r w:rsidRPr="00066541">
        <w:rPr>
          <w:rFonts w:cstheme="majorBidi"/>
          <w:color w:val="000000" w:themeColor="text1"/>
          <w:sz w:val="16"/>
        </w:rPr>
        <w:t xml:space="preserve">3 </w:t>
      </w:r>
      <w:r w:rsidRPr="00066541">
        <w:rPr>
          <w:rFonts w:cstheme="majorBidi"/>
          <w:color w:val="000000" w:themeColor="text1"/>
          <w:position w:val="2"/>
        </w:rPr>
        <w:t>:</w:t>
      </w:r>
      <w:r w:rsidRPr="00066541">
        <w:rPr>
          <w:rFonts w:cstheme="majorBidi"/>
          <w:color w:val="000000" w:themeColor="text1"/>
        </w:rPr>
        <w:t>Profitabilitas berpengaruh terhadap kinerja keuangan pada PT. Panji Anugerah Sentosa Medan.</w:t>
      </w:r>
    </w:p>
    <w:p w:rsidR="00A41A7C" w:rsidRPr="00066541" w:rsidRDefault="00A41A7C" w:rsidP="00A41A7C">
      <w:pPr>
        <w:spacing w:after="0"/>
        <w:jc w:val="both"/>
        <w:rPr>
          <w:rFonts w:cstheme="majorBidi"/>
          <w:color w:val="000000" w:themeColor="text1"/>
        </w:rPr>
      </w:pPr>
      <w:r w:rsidRPr="00066541">
        <w:rPr>
          <w:rFonts w:cstheme="majorBidi"/>
          <w:color w:val="000000" w:themeColor="text1"/>
          <w:position w:val="2"/>
        </w:rPr>
        <w:t>H</w:t>
      </w:r>
      <w:r w:rsidRPr="00066541">
        <w:rPr>
          <w:rFonts w:cstheme="majorBidi"/>
          <w:color w:val="000000" w:themeColor="text1"/>
          <w:position w:val="2"/>
          <w:vertAlign w:val="subscript"/>
        </w:rPr>
        <w:t xml:space="preserve">4 </w:t>
      </w:r>
      <w:r w:rsidRPr="00066541">
        <w:rPr>
          <w:rFonts w:cstheme="majorBidi"/>
          <w:color w:val="000000" w:themeColor="text1"/>
          <w:position w:val="2"/>
        </w:rPr>
        <w:t xml:space="preserve">: </w:t>
      </w:r>
      <w:r w:rsidRPr="00066541">
        <w:rPr>
          <w:rFonts w:cstheme="majorBidi"/>
          <w:iCs/>
          <w:color w:val="000000" w:themeColor="text1"/>
          <w:position w:val="2"/>
        </w:rPr>
        <w:t>Likuiditas, Solvabilitas, dan Profitabilitas</w:t>
      </w:r>
      <w:r w:rsidRPr="00066541">
        <w:rPr>
          <w:rFonts w:cstheme="majorBidi"/>
          <w:color w:val="000000" w:themeColor="text1"/>
        </w:rPr>
        <w:t>berpengaruh secara simultan terhadap kinerja keuangan PT. Panji Anugerah Sentosa Medan</w:t>
      </w:r>
    </w:p>
    <w:p w:rsidR="00CE2AFA" w:rsidRPr="00A41A7C" w:rsidRDefault="004B4099" w:rsidP="00A41A7C">
      <w:bookmarkStart w:id="13" w:name="_GoBack"/>
      <w:bookmarkEnd w:id="13"/>
    </w:p>
    <w:sectPr w:rsidR="00CE2AFA" w:rsidRPr="00A41A7C" w:rsidSect="00E76007">
      <w:headerReference w:type="even" r:id="rId14"/>
      <w:headerReference w:type="default" r:id="rId15"/>
      <w:footerReference w:type="default" r:id="rId16"/>
      <w:head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099" w:rsidRDefault="004B4099" w:rsidP="00986164">
      <w:pPr>
        <w:spacing w:after="0" w:line="240" w:lineRule="auto"/>
      </w:pPr>
      <w:r>
        <w:separator/>
      </w:r>
    </w:p>
  </w:endnote>
  <w:endnote w:type="continuationSeparator" w:id="1">
    <w:p w:rsidR="004B4099" w:rsidRDefault="004B4099" w:rsidP="00986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8" w:rsidRDefault="00D72A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727377224"/>
      <w:docPartObj>
        <w:docPartGallery w:val="Page Numbers (Bottom of Page)"/>
        <w:docPartUnique/>
      </w:docPartObj>
    </w:sdtPr>
    <w:sdtEndPr>
      <w:rPr>
        <w:noProof/>
      </w:rPr>
    </w:sdtEndPr>
    <w:sdtContent>
      <w:p w:rsidR="00A41A7C" w:rsidRDefault="00986164">
        <w:pPr>
          <w:pStyle w:val="Footer"/>
          <w:jc w:val="center"/>
        </w:pPr>
        <w:r>
          <w:rPr>
            <w:noProof w:val="0"/>
          </w:rPr>
          <w:fldChar w:fldCharType="begin"/>
        </w:r>
        <w:r w:rsidR="00A41A7C">
          <w:instrText xml:space="preserve"> PAGE   \* MERGEFORMAT </w:instrText>
        </w:r>
        <w:r>
          <w:rPr>
            <w:noProof w:val="0"/>
          </w:rPr>
          <w:fldChar w:fldCharType="separate"/>
        </w:r>
        <w:r w:rsidR="00D72AB8">
          <w:t>1</w:t>
        </w:r>
        <w:r>
          <w:fldChar w:fldCharType="end"/>
        </w:r>
      </w:p>
    </w:sdtContent>
  </w:sdt>
  <w:p w:rsidR="00A41A7C" w:rsidRDefault="00A41A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8" w:rsidRDefault="00D72A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3B" w:rsidRDefault="00986164">
    <w:pPr>
      <w:pStyle w:val="Footer"/>
      <w:jc w:val="center"/>
    </w:pPr>
    <w:r>
      <w:rPr>
        <w:noProof w:val="0"/>
      </w:rPr>
      <w:fldChar w:fldCharType="begin"/>
    </w:r>
    <w:r w:rsidR="00A41A7C">
      <w:instrText xml:space="preserve"> PAGE   \* MERGEFORMAT </w:instrText>
    </w:r>
    <w:r>
      <w:rPr>
        <w:noProof w:val="0"/>
      </w:rPr>
      <w:fldChar w:fldCharType="separate"/>
    </w:r>
    <w:r w:rsidR="00D72AB8">
      <w:t>13</w:t>
    </w:r>
    <w:r>
      <w:fldChar w:fldCharType="end"/>
    </w:r>
  </w:p>
  <w:p w:rsidR="004C6F3B" w:rsidRDefault="004B4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099" w:rsidRDefault="004B4099" w:rsidP="00986164">
      <w:pPr>
        <w:spacing w:after="0" w:line="240" w:lineRule="auto"/>
      </w:pPr>
      <w:r>
        <w:separator/>
      </w:r>
    </w:p>
  </w:footnote>
  <w:footnote w:type="continuationSeparator" w:id="1">
    <w:p w:rsidR="004B4099" w:rsidRDefault="004B4099" w:rsidP="009861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7C" w:rsidRDefault="00986164">
    <w:pPr>
      <w:pStyle w:val="Header"/>
    </w:pPr>
    <w:r w:rsidRPr="0098616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45" o:spid="_x0000_s2059" type="#_x0000_t75" style="position:absolute;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B8" w:rsidRDefault="00D72AB8" w:rsidP="00D72AB8">
    <w:pPr>
      <w:pStyle w:val="Header"/>
      <w:jc w:val="right"/>
    </w:pPr>
    <w:r>
      <w:t>PUBLISH: 19/11/2025 15:42:39</w:t>
    </w:r>
  </w:p>
  <w:p w:rsidR="00A41A7C" w:rsidRDefault="00986164" w:rsidP="006C1501">
    <w:pPr>
      <w:pStyle w:val="Header"/>
      <w:jc w:val="right"/>
    </w:pPr>
    <w:r w:rsidRPr="0098616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46" o:spid="_x0000_s2060" type="#_x0000_t75" style="position:absolute;left:0;text-align:left;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A41A7C" w:rsidRDefault="00A41A7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7C" w:rsidRDefault="00986164">
    <w:pPr>
      <w:pStyle w:val="Header"/>
    </w:pPr>
    <w:r w:rsidRPr="0098616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44" o:spid="_x0000_s2058" type="#_x0000_t75" style="position:absolute;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986164">
    <w:pPr>
      <w:pStyle w:val="Header"/>
    </w:pPr>
    <w:r w:rsidRPr="0098616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3"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3B" w:rsidRDefault="00986164" w:rsidP="00F01602">
    <w:pPr>
      <w:pStyle w:val="Header"/>
      <w:jc w:val="right"/>
    </w:pPr>
    <w:r w:rsidRPr="0098616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4"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D72AB8" w:rsidRDefault="00D72AB8" w:rsidP="00D72AB8">
    <w:pPr>
      <w:pStyle w:val="Header"/>
      <w:jc w:val="right"/>
    </w:pPr>
    <w:r>
      <w:t>PUBLISH: 19/11/2025 15:42:39</w:t>
    </w:r>
  </w:p>
  <w:p w:rsidR="004C6F3B" w:rsidRDefault="004B409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986164">
    <w:pPr>
      <w:pStyle w:val="Header"/>
    </w:pPr>
    <w:r w:rsidRPr="0098616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2"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637"/>
    <w:multiLevelType w:val="hybridMultilevel"/>
    <w:tmpl w:val="25A82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8B4482"/>
    <w:multiLevelType w:val="hybridMultilevel"/>
    <w:tmpl w:val="ACCC9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37F6616"/>
    <w:multiLevelType w:val="hybridMultilevel"/>
    <w:tmpl w:val="55BCA7DA"/>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1154FC"/>
    <w:multiLevelType w:val="multilevel"/>
    <w:tmpl w:val="43080EA0"/>
    <w:lvl w:ilvl="0">
      <w:start w:val="1"/>
      <w:numFmt w:val="decimal"/>
      <w:lvlText w:val="%1."/>
      <w:lvlJc w:val="left"/>
      <w:pPr>
        <w:ind w:left="502" w:hanging="360"/>
      </w:pPr>
      <w:rPr>
        <w:rFonts w:hint="default"/>
      </w:rPr>
    </w:lvl>
    <w:lvl w:ilvl="1">
      <w:start w:val="7"/>
      <w:numFmt w:val="decimal"/>
      <w:isLgl/>
      <w:lvlText w:val="%1.%2"/>
      <w:lvlJc w:val="left"/>
      <w:pPr>
        <w:ind w:left="622" w:hanging="48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nsid w:val="45DB1F19"/>
    <w:multiLevelType w:val="hybridMultilevel"/>
    <w:tmpl w:val="06A42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6139B0"/>
    <w:multiLevelType w:val="hybridMultilevel"/>
    <w:tmpl w:val="E272B576"/>
    <w:lvl w:ilvl="0" w:tplc="0809000F">
      <w:start w:val="1"/>
      <w:numFmt w:val="decimal"/>
      <w:lvlText w:val="%1."/>
      <w:lvlJc w:val="left"/>
      <w:pPr>
        <w:ind w:left="720" w:hanging="360"/>
      </w:pPr>
    </w:lvl>
    <w:lvl w:ilvl="1" w:tplc="DF184C00">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4A6E23"/>
    <w:multiLevelType w:val="hybridMultilevel"/>
    <w:tmpl w:val="0C4AD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A300F5"/>
    <w:multiLevelType w:val="hybridMultilevel"/>
    <w:tmpl w:val="BAD2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B80518"/>
    <w:multiLevelType w:val="hybridMultilevel"/>
    <w:tmpl w:val="157C7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B53A9F"/>
    <w:multiLevelType w:val="multilevel"/>
    <w:tmpl w:val="5D0AC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0E5A4F"/>
    <w:multiLevelType w:val="hybridMultilevel"/>
    <w:tmpl w:val="5BB001E2"/>
    <w:lvl w:ilvl="0" w:tplc="14D2FA00">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6DDE25C4"/>
    <w:multiLevelType w:val="hybridMultilevel"/>
    <w:tmpl w:val="2266E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D22A79"/>
    <w:multiLevelType w:val="hybridMultilevel"/>
    <w:tmpl w:val="38243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7"/>
  </w:num>
  <w:num w:numId="5">
    <w:abstractNumId w:val="5"/>
  </w:num>
  <w:num w:numId="6">
    <w:abstractNumId w:val="12"/>
  </w:num>
  <w:num w:numId="7">
    <w:abstractNumId w:val="11"/>
  </w:num>
  <w:num w:numId="8">
    <w:abstractNumId w:val="1"/>
  </w:num>
  <w:num w:numId="9">
    <w:abstractNumId w:val="8"/>
  </w:num>
  <w:num w:numId="10">
    <w:abstractNumId w:val="0"/>
  </w:num>
  <w:num w:numId="11">
    <w:abstractNumId w:val="3"/>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1jGBUk7Sgte5MP6KX42UXStFrbw=" w:salt="OXshfmRQhhFtAssKpJZUJ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007"/>
    <w:rsid w:val="004B4099"/>
    <w:rsid w:val="0057063E"/>
    <w:rsid w:val="0092107C"/>
    <w:rsid w:val="00986164"/>
    <w:rsid w:val="00A41A7C"/>
    <w:rsid w:val="00B03184"/>
    <w:rsid w:val="00B5047F"/>
    <w:rsid w:val="00D72AB8"/>
    <w:rsid w:val="00E760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5"/>
        <o:r id="V:Rule2" type="connector" idref="#Straight Arrow Connector 24"/>
        <o:r id="V:Rule3" type="connector" idref="#Straight Arrow Connector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val="id"/>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2025-11-19T08:46:00Z</dcterms:created>
  <dcterms:modified xsi:type="dcterms:W3CDTF">2025-11-19T08:46:00Z</dcterms:modified>
</cp:coreProperties>
</file>