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36" w:rsidRPr="00E12C3B" w:rsidRDefault="00C76C36" w:rsidP="00C76C36">
      <w:pPr>
        <w:autoSpaceDE w:val="0"/>
        <w:autoSpaceDN w:val="0"/>
        <w:adjustRightInd w:val="0"/>
        <w:spacing w:line="480" w:lineRule="auto"/>
        <w:jc w:val="center"/>
        <w:rPr>
          <w:b/>
          <w:lang w:val="sv-SE"/>
        </w:rPr>
      </w:pPr>
      <w:r w:rsidRPr="00E12C3B">
        <w:rPr>
          <w:b/>
          <w:lang w:val="sv-SE"/>
        </w:rPr>
        <w:t>BAB II</w:t>
      </w:r>
    </w:p>
    <w:p w:rsidR="00C76C36" w:rsidRPr="00E12C3B" w:rsidRDefault="00C76C36" w:rsidP="00C76C36">
      <w:pPr>
        <w:autoSpaceDE w:val="0"/>
        <w:autoSpaceDN w:val="0"/>
        <w:adjustRightInd w:val="0"/>
        <w:jc w:val="center"/>
        <w:rPr>
          <w:lang w:val="sv-SE"/>
        </w:rPr>
      </w:pPr>
      <w:r>
        <w:rPr>
          <w:b/>
          <w:lang w:val="sv-SE"/>
        </w:rPr>
        <w:t>TINJAUAN PUSTAKA</w:t>
      </w:r>
    </w:p>
    <w:p w:rsidR="00C76C36" w:rsidRPr="00E12C3B" w:rsidRDefault="00C76C36" w:rsidP="00C76C36">
      <w:pPr>
        <w:autoSpaceDE w:val="0"/>
        <w:autoSpaceDN w:val="0"/>
        <w:adjustRightInd w:val="0"/>
        <w:jc w:val="center"/>
        <w:rPr>
          <w:lang w:val="sv-SE"/>
        </w:rPr>
      </w:pPr>
    </w:p>
    <w:p w:rsidR="00C76C36" w:rsidRPr="00E12C3B" w:rsidRDefault="00C76C36" w:rsidP="00C76C36">
      <w:pPr>
        <w:pStyle w:val="ListParagraph"/>
        <w:numPr>
          <w:ilvl w:val="0"/>
          <w:numId w:val="13"/>
        </w:numPr>
        <w:autoSpaceDE w:val="0"/>
        <w:autoSpaceDN w:val="0"/>
        <w:adjustRightInd w:val="0"/>
        <w:spacing w:after="0" w:line="480" w:lineRule="auto"/>
        <w:ind w:left="360"/>
        <w:jc w:val="both"/>
        <w:rPr>
          <w:rFonts w:ascii="Times New Roman" w:hAnsi="Times New Roman"/>
          <w:sz w:val="24"/>
          <w:szCs w:val="24"/>
          <w:lang w:val="sv-SE"/>
        </w:rPr>
      </w:pPr>
      <w:bookmarkStart w:id="0" w:name="_Hlk160464781"/>
      <w:r w:rsidRPr="00E12C3B">
        <w:rPr>
          <w:rFonts w:ascii="Times New Roman" w:hAnsi="Times New Roman"/>
          <w:b/>
          <w:bCs/>
          <w:sz w:val="24"/>
          <w:szCs w:val="24"/>
          <w:lang w:eastAsia="id-ID"/>
        </w:rPr>
        <w:t>Tindak Pidana Desersi</w:t>
      </w:r>
      <w:bookmarkEnd w:id="0"/>
    </w:p>
    <w:p w:rsidR="00C76C36" w:rsidRPr="00E12C3B" w:rsidRDefault="00C76C36" w:rsidP="00C76C36">
      <w:pPr>
        <w:autoSpaceDE w:val="0"/>
        <w:autoSpaceDN w:val="0"/>
        <w:adjustRightInd w:val="0"/>
        <w:spacing w:line="480" w:lineRule="auto"/>
        <w:ind w:firstLine="709"/>
        <w:jc w:val="both"/>
        <w:rPr>
          <w:color w:val="000000"/>
          <w:lang w:eastAsia="id-ID"/>
        </w:rPr>
      </w:pPr>
      <w:r w:rsidRPr="00E12C3B">
        <w:t>Tindak pidana desersi merupakan suatu tindak pidana militer murni yaitu merupakan tindakan-tindakan yang dilarang atau diharuskan yang pada perinsipnya hanya mungkin dilakukan oleh seoarang militer, karena keadaan yang persifat khusus atau karena suatu kepentingan militer menghendaki tindakan tersebut yang ditentukan sebagai tindak pidana.</w:t>
      </w:r>
      <w:r w:rsidRPr="00E12C3B">
        <w:rPr>
          <w:lang w:eastAsia="id-ID"/>
        </w:rPr>
        <w:t>Dalam lingkungan militer sifat kejahatan desersi yang dilakukan si pelaku yaitu melakukan ketidakhadiran atau menarik diri dari kewajiban dinasnya dengan jalan tidak sah, di tempat atau di tempat-tempat yang telah ditentukan baginya.</w:t>
      </w:r>
      <w:r w:rsidRPr="00E12C3B">
        <w:rPr>
          <w:rStyle w:val="FootnoteReference"/>
          <w:lang w:eastAsia="id-ID"/>
        </w:rPr>
        <w:footnoteReference w:id="2"/>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 xml:space="preserve">Tindak pidana desersi merupakan tindak pidana militer yang paling banyak dilakukan oleh anggota TNI, padahal anggota TNI sudah mengetahui mengenai fungsi, tugas dan tanggungjawab mereka sebagai anggota TNI yang ditugaskan untuk mengamankan Negara Kesatuan Republik Indonesia. Menurut Pasal 6 Undang-undang Nomor 34 Tahun 2004 tentang Tentara Nasional Indonesia yakni: </w:t>
      </w:r>
    </w:p>
    <w:p w:rsidR="00C76C36" w:rsidRPr="00E12C3B" w:rsidRDefault="00C76C36" w:rsidP="00C76C36">
      <w:pPr>
        <w:pStyle w:val="ListParagraph"/>
        <w:numPr>
          <w:ilvl w:val="0"/>
          <w:numId w:val="14"/>
        </w:numPr>
        <w:tabs>
          <w:tab w:val="left" w:pos="1134"/>
        </w:tabs>
        <w:autoSpaceDE w:val="0"/>
        <w:autoSpaceDN w:val="0"/>
        <w:adjustRightInd w:val="0"/>
        <w:spacing w:after="0"/>
        <w:ind w:left="1134" w:hanging="425"/>
        <w:rPr>
          <w:rFonts w:ascii="Times New Roman" w:hAnsi="Times New Roman"/>
          <w:color w:val="000000"/>
          <w:sz w:val="24"/>
          <w:szCs w:val="24"/>
          <w:lang w:eastAsia="id-ID"/>
        </w:rPr>
      </w:pPr>
      <w:r w:rsidRPr="00E12C3B">
        <w:rPr>
          <w:rFonts w:ascii="Times New Roman" w:hAnsi="Times New Roman"/>
          <w:color w:val="000000"/>
          <w:sz w:val="24"/>
          <w:szCs w:val="24"/>
          <w:lang w:eastAsia="id-ID"/>
        </w:rPr>
        <w:t>TNI sebagai alat pertahanan negara, berfungsi sebagai</w:t>
      </w:r>
      <w:r w:rsidRPr="00E12C3B">
        <w:rPr>
          <w:rFonts w:ascii="Times New Roman" w:hAnsi="Times New Roman"/>
          <w:color w:val="000000"/>
          <w:sz w:val="24"/>
          <w:szCs w:val="24"/>
          <w:lang w:val="en-US" w:eastAsia="id-ID"/>
        </w:rPr>
        <w:t xml:space="preserve"> :</w:t>
      </w:r>
    </w:p>
    <w:p w:rsidR="00C76C36" w:rsidRPr="00E12C3B" w:rsidRDefault="00C76C36" w:rsidP="00C76C36">
      <w:pPr>
        <w:pStyle w:val="ListParagraph"/>
        <w:numPr>
          <w:ilvl w:val="2"/>
          <w:numId w:val="7"/>
        </w:numPr>
        <w:autoSpaceDE w:val="0"/>
        <w:autoSpaceDN w:val="0"/>
        <w:adjustRightInd w:val="0"/>
        <w:spacing w:after="0" w:line="240" w:lineRule="auto"/>
        <w:ind w:left="1560" w:hanging="426"/>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Penangkal terhadap setiap bentuk ancaman militer dan ancaman bersenjata dari luar dan dalam negeri terhadap kedaulatan, keutuhan wilayah, dan keselamatan bangsa; </w:t>
      </w:r>
    </w:p>
    <w:p w:rsidR="00C76C36" w:rsidRPr="00E12C3B" w:rsidRDefault="00C76C36" w:rsidP="00C76C36">
      <w:pPr>
        <w:pStyle w:val="ListParagraph"/>
        <w:numPr>
          <w:ilvl w:val="2"/>
          <w:numId w:val="7"/>
        </w:numPr>
        <w:autoSpaceDE w:val="0"/>
        <w:autoSpaceDN w:val="0"/>
        <w:adjustRightInd w:val="0"/>
        <w:spacing w:after="0" w:line="240" w:lineRule="auto"/>
        <w:ind w:left="1560" w:hanging="426"/>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Penindak terhadap setiap bentuk ancaman sebagaimana dimaksud pada ayat (1) huruf a; </w:t>
      </w:r>
    </w:p>
    <w:p w:rsidR="00C76C36" w:rsidRPr="00E12C3B" w:rsidRDefault="00C76C36" w:rsidP="00C76C36">
      <w:pPr>
        <w:pStyle w:val="ListParagraph"/>
        <w:numPr>
          <w:ilvl w:val="2"/>
          <w:numId w:val="7"/>
        </w:numPr>
        <w:autoSpaceDE w:val="0"/>
        <w:autoSpaceDN w:val="0"/>
        <w:adjustRightInd w:val="0"/>
        <w:spacing w:after="0" w:line="240" w:lineRule="auto"/>
        <w:ind w:left="1560" w:hanging="426"/>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Pemulih terhadap kondisi keamanan negara yang terganggu akibat kekacauan keamanan. </w:t>
      </w:r>
    </w:p>
    <w:p w:rsidR="00C76C36" w:rsidRPr="00E12C3B" w:rsidRDefault="00C76C36" w:rsidP="00C76C36">
      <w:pPr>
        <w:pStyle w:val="ListParagraph"/>
        <w:numPr>
          <w:ilvl w:val="0"/>
          <w:numId w:val="14"/>
        </w:numPr>
        <w:autoSpaceDE w:val="0"/>
        <w:autoSpaceDN w:val="0"/>
        <w:adjustRightInd w:val="0"/>
        <w:spacing w:after="0" w:line="240" w:lineRule="auto"/>
        <w:ind w:left="1134" w:hanging="425"/>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lastRenderedPageBreak/>
        <w:t xml:space="preserve">Dalam melaksanakan fungsi sebagaimana dimaksud pada ayat (1), TNI merupakan komponen utama sistem pertahanan negara. </w:t>
      </w:r>
    </w:p>
    <w:p w:rsidR="00C76C36" w:rsidRPr="00E12C3B" w:rsidRDefault="00C76C36" w:rsidP="00C76C36">
      <w:pPr>
        <w:autoSpaceDE w:val="0"/>
        <w:autoSpaceDN w:val="0"/>
        <w:adjustRightInd w:val="0"/>
        <w:ind w:firstLine="709"/>
        <w:jc w:val="both"/>
        <w:rPr>
          <w:color w:val="000000"/>
          <w:lang w:eastAsia="id-ID"/>
        </w:rPr>
      </w:pP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Menurut Pasal 7 Undang-undang Nomor 34 Tahun 2004 tentang Tentara Nasional Indonesi yakni :</w:t>
      </w:r>
    </w:p>
    <w:p w:rsidR="00C76C36" w:rsidRPr="00E12C3B" w:rsidRDefault="00C76C36" w:rsidP="00C76C36">
      <w:pPr>
        <w:pStyle w:val="ListParagraph"/>
        <w:numPr>
          <w:ilvl w:val="0"/>
          <w:numId w:val="15"/>
        </w:numPr>
        <w:autoSpaceDE w:val="0"/>
        <w:autoSpaceDN w:val="0"/>
        <w:adjustRightInd w:val="0"/>
        <w:spacing w:after="0" w:line="480" w:lineRule="auto"/>
        <w:ind w:left="36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Tugas pokok TNI adalah menegakkan kedaulatan negara, mempertahankan keutuhan wilayah Negara Kesatuan Republik Indonesia yang berdasarkan Pancasila dan Undang-Undang Dasar Negara Republik Indonesia Tahun 1945, serta melindungi segenap bangsa dan seluruh tumpah darah Indonesia dari ancaman dan gangguan terhadap keutuhan bangsa dan negara. </w:t>
      </w:r>
    </w:p>
    <w:p w:rsidR="00C76C36" w:rsidRPr="00E12C3B" w:rsidRDefault="00C76C36" w:rsidP="00C76C36">
      <w:pPr>
        <w:pStyle w:val="ListParagraph"/>
        <w:numPr>
          <w:ilvl w:val="0"/>
          <w:numId w:val="15"/>
        </w:numPr>
        <w:autoSpaceDE w:val="0"/>
        <w:autoSpaceDN w:val="0"/>
        <w:adjustRightInd w:val="0"/>
        <w:spacing w:after="0" w:line="480" w:lineRule="auto"/>
        <w:ind w:left="36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Tugas pokok sebagaimana dimaksud pada ayat (1) dilakukan dengan: </w:t>
      </w:r>
    </w:p>
    <w:p w:rsidR="00C76C36" w:rsidRPr="00E12C3B" w:rsidRDefault="00C76C36" w:rsidP="00C76C36">
      <w:pPr>
        <w:pStyle w:val="ListParagraph"/>
        <w:numPr>
          <w:ilvl w:val="4"/>
          <w:numId w:val="7"/>
        </w:numPr>
        <w:tabs>
          <w:tab w:val="clear" w:pos="3600"/>
          <w:tab w:val="num" w:pos="720"/>
        </w:tabs>
        <w:autoSpaceDE w:val="0"/>
        <w:autoSpaceDN w:val="0"/>
        <w:adjustRightInd w:val="0"/>
        <w:spacing w:after="0" w:line="480" w:lineRule="auto"/>
        <w:ind w:left="72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Operasi militer untuk perang. </w:t>
      </w:r>
    </w:p>
    <w:p w:rsidR="00C76C36" w:rsidRPr="00E12C3B" w:rsidRDefault="00C76C36" w:rsidP="00C76C36">
      <w:pPr>
        <w:pStyle w:val="ListParagraph"/>
        <w:numPr>
          <w:ilvl w:val="4"/>
          <w:numId w:val="7"/>
        </w:numPr>
        <w:tabs>
          <w:tab w:val="clear" w:pos="3600"/>
          <w:tab w:val="num" w:pos="720"/>
        </w:tabs>
        <w:autoSpaceDE w:val="0"/>
        <w:autoSpaceDN w:val="0"/>
        <w:adjustRightInd w:val="0"/>
        <w:spacing w:after="0" w:line="480" w:lineRule="auto"/>
        <w:ind w:left="72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Operasi militer selain perang, yaitu untuk :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Mengatasi gerakan separatisme bersenjata;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Mengatasi pemberontakan bersenjata;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Mengatasi aksi terorisme;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Mengamankan wilayah perbatasan;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Mengamankan objek vital nasional yang bersifat strategis;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Melaksanakan tugas perdamaian dunia sesuai dengan kebijakan politik luar negeri;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Mengamankan Presiden dan wakil presiden beserta keluarganya;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Memberdayakan wilayah pertahanan dan kekuatan pendukungnya secara dini sesuai dengan sistem pertahanan semesta;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Membantu tugas pemerintahan di daerah;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lastRenderedPageBreak/>
        <w:t xml:space="preserve">Membantu kepolisian Negara Republik Indonesia dalam rangka tugas keamanan dan ketertiban masyarakat yang diatur dalam undang-undang;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Membantu mengamankan tamu negara setingkat kepala dan perwakilan pemerintah asing yang sedang berada di Indonesia;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Membantu menaggulangi akibat bencana alam, pengungsian, dan pemberian bantuan kemanusiaan;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Membantu pencarian dan pertolongan dalam kecelakaan (search and rescue); </w:t>
      </w:r>
    </w:p>
    <w:p w:rsidR="00C76C36" w:rsidRPr="00E12C3B" w:rsidRDefault="00C76C36" w:rsidP="00C76C36">
      <w:pPr>
        <w:pStyle w:val="ListParagraph"/>
        <w:numPr>
          <w:ilvl w:val="4"/>
          <w:numId w:val="12"/>
        </w:numPr>
        <w:tabs>
          <w:tab w:val="clear" w:pos="3600"/>
          <w:tab w:val="left" w:pos="1134"/>
        </w:tabs>
        <w:autoSpaceDE w:val="0"/>
        <w:autoSpaceDN w:val="0"/>
        <w:adjustRightInd w:val="0"/>
        <w:spacing w:after="0" w:line="480" w:lineRule="auto"/>
        <w:ind w:left="1134" w:hanging="41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Membantu pemerintah dalam pengamanan pelayaran dan penerbangan terhadap pembajakan, perompakan, dan penyelundupan. </w:t>
      </w:r>
    </w:p>
    <w:p w:rsidR="00C76C36" w:rsidRPr="00E12C3B" w:rsidRDefault="00C76C36" w:rsidP="00C76C36">
      <w:pPr>
        <w:pStyle w:val="ListParagraph"/>
        <w:numPr>
          <w:ilvl w:val="0"/>
          <w:numId w:val="15"/>
        </w:numPr>
        <w:tabs>
          <w:tab w:val="left" w:pos="1134"/>
        </w:tabs>
        <w:autoSpaceDE w:val="0"/>
        <w:autoSpaceDN w:val="0"/>
        <w:adjustRightInd w:val="0"/>
        <w:spacing w:after="0" w:line="480" w:lineRule="auto"/>
        <w:ind w:left="425" w:hanging="425"/>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Ketentuan sebagaimana dimaksud pada ayat (2) dilaksanakan berdasarkan kebijakan dan keputusan politik negara. </w:t>
      </w:r>
    </w:p>
    <w:p w:rsidR="00C76C36" w:rsidRPr="00E12C3B" w:rsidRDefault="00C76C36" w:rsidP="00C76C36">
      <w:pPr>
        <w:pStyle w:val="ListParagraph"/>
        <w:autoSpaceDE w:val="0"/>
        <w:autoSpaceDN w:val="0"/>
        <w:adjustRightInd w:val="0"/>
        <w:spacing w:after="0" w:line="480" w:lineRule="auto"/>
        <w:ind w:left="0" w:firstLine="709"/>
        <w:jc w:val="both"/>
        <w:rPr>
          <w:rFonts w:ascii="Times New Roman" w:hAnsi="Times New Roman"/>
          <w:sz w:val="24"/>
          <w:szCs w:val="24"/>
        </w:rPr>
      </w:pPr>
      <w:r w:rsidRPr="00E12C3B">
        <w:rPr>
          <w:rFonts w:ascii="Times New Roman" w:hAnsi="Times New Roman"/>
          <w:sz w:val="24"/>
          <w:szCs w:val="24"/>
        </w:rPr>
        <w:t>Fungsi dan tugas dari anggota TNI sebagaimana diatur dalam Pasal 6 dan Pasal 7 Undang-undang Nomor 34 Tahun 2004 tentang Tentara Nasional Indonesia, bahwa peran anggota TNI sebagai angkatan bersenjata sangat penting dalam menjaga keamanan di kesatuan ataupun negara pada saat perang maupun damai serta sebagai komponen utama dalam mempertahankan wilayah Negara Kesatuan Republik Indonesia dari ancaman bahkan serangan eksternal maupun internal.</w:t>
      </w:r>
    </w:p>
    <w:p w:rsidR="00C76C36" w:rsidRPr="00E12C3B" w:rsidRDefault="00C76C36" w:rsidP="00C76C36">
      <w:pPr>
        <w:pStyle w:val="ListParagraph"/>
        <w:autoSpaceDE w:val="0"/>
        <w:autoSpaceDN w:val="0"/>
        <w:adjustRightInd w:val="0"/>
        <w:spacing w:after="0" w:line="468" w:lineRule="auto"/>
        <w:ind w:left="0" w:firstLine="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Tindak Pidana Militer yang pada umumnya terdapat dalam KUHPM, dibagi menjadi dua bagian yaitu: </w:t>
      </w:r>
    </w:p>
    <w:p w:rsidR="00C76C36" w:rsidRPr="00E12C3B" w:rsidRDefault="00C76C36" w:rsidP="00C76C36">
      <w:pPr>
        <w:autoSpaceDE w:val="0"/>
        <w:autoSpaceDN w:val="0"/>
        <w:adjustRightInd w:val="0"/>
        <w:spacing w:line="468" w:lineRule="auto"/>
        <w:rPr>
          <w:color w:val="000000"/>
          <w:lang w:eastAsia="id-ID"/>
        </w:rPr>
      </w:pPr>
      <w:r w:rsidRPr="00E12C3B">
        <w:rPr>
          <w:bCs/>
          <w:color w:val="000000"/>
          <w:lang w:eastAsia="id-ID"/>
        </w:rPr>
        <w:t xml:space="preserve">1. Tindak Pidana Militer Murni </w:t>
      </w:r>
    </w:p>
    <w:p w:rsidR="00C76C36" w:rsidRPr="00E12C3B" w:rsidRDefault="00C76C36" w:rsidP="00C76C36">
      <w:pPr>
        <w:pStyle w:val="ListParagraph"/>
        <w:autoSpaceDE w:val="0"/>
        <w:autoSpaceDN w:val="0"/>
        <w:adjustRightInd w:val="0"/>
        <w:spacing w:after="0" w:line="468" w:lineRule="auto"/>
        <w:ind w:left="0" w:firstLine="709"/>
        <w:jc w:val="both"/>
        <w:rPr>
          <w:rFonts w:ascii="Times New Roman" w:hAnsi="Times New Roman"/>
          <w:sz w:val="24"/>
          <w:szCs w:val="24"/>
        </w:rPr>
      </w:pPr>
      <w:r w:rsidRPr="00E12C3B">
        <w:rPr>
          <w:rFonts w:ascii="Times New Roman" w:eastAsia="Times New Roman" w:hAnsi="Times New Roman"/>
          <w:color w:val="000000"/>
          <w:sz w:val="24"/>
          <w:szCs w:val="24"/>
          <w:lang w:val="en-US" w:eastAsia="id-ID"/>
        </w:rPr>
        <w:lastRenderedPageBreak/>
        <w:t>Tindak pidana militer murni yaitu tindakan-tindakan terlarang/ diharuskan yang pada prinsipnya hanya dilanggar oleh seorang militer karena keadaannya yang bersifat khusus atau karena suatu kepentingan militer menghendaki tindakan tersebut ditentukan sebagai tindak pidana.Dikatakan “pada prinsipnya” karena dalam uaraian tindak pidana – tindak pidana tersebut adanya perluasan subjek militer tersebut. Contoh tindak pidana militer murni sebagai berikut:</w:t>
      </w:r>
    </w:p>
    <w:p w:rsidR="00C76C36" w:rsidRPr="00E12C3B" w:rsidRDefault="00C76C36" w:rsidP="00C76C36">
      <w:pPr>
        <w:pStyle w:val="ListParagraph"/>
        <w:numPr>
          <w:ilvl w:val="4"/>
          <w:numId w:val="11"/>
        </w:numPr>
        <w:tabs>
          <w:tab w:val="clear" w:pos="3600"/>
          <w:tab w:val="num" w:pos="360"/>
        </w:tabs>
        <w:autoSpaceDE w:val="0"/>
        <w:autoSpaceDN w:val="0"/>
        <w:adjustRightInd w:val="0"/>
        <w:spacing w:after="0" w:line="468" w:lineRule="auto"/>
        <w:ind w:left="360"/>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Tidak Hadir Tanpa Izin (Pasal 85 KUHPM); </w:t>
      </w:r>
    </w:p>
    <w:p w:rsidR="00C76C36" w:rsidRPr="00E12C3B" w:rsidRDefault="00C76C36" w:rsidP="00C76C36">
      <w:pPr>
        <w:pStyle w:val="ListParagraph"/>
        <w:numPr>
          <w:ilvl w:val="4"/>
          <w:numId w:val="11"/>
        </w:numPr>
        <w:tabs>
          <w:tab w:val="clear" w:pos="3600"/>
          <w:tab w:val="num" w:pos="360"/>
        </w:tabs>
        <w:autoSpaceDE w:val="0"/>
        <w:autoSpaceDN w:val="0"/>
        <w:adjustRightInd w:val="0"/>
        <w:spacing w:after="0" w:line="468" w:lineRule="auto"/>
        <w:ind w:left="360"/>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Kejahatan Desersi (Pasal 87 KUHPM); </w:t>
      </w:r>
    </w:p>
    <w:p w:rsidR="00C76C36" w:rsidRPr="00E12C3B" w:rsidRDefault="00C76C36" w:rsidP="00C76C36">
      <w:pPr>
        <w:pStyle w:val="ListParagraph"/>
        <w:numPr>
          <w:ilvl w:val="4"/>
          <w:numId w:val="11"/>
        </w:numPr>
        <w:tabs>
          <w:tab w:val="clear" w:pos="3600"/>
          <w:tab w:val="num" w:pos="360"/>
        </w:tabs>
        <w:autoSpaceDE w:val="0"/>
        <w:autoSpaceDN w:val="0"/>
        <w:adjustRightInd w:val="0"/>
        <w:spacing w:after="0" w:line="468" w:lineRule="auto"/>
        <w:ind w:left="360"/>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Insubordinasi (105 KUHPM). </w:t>
      </w:r>
      <w:r w:rsidRPr="00E12C3B">
        <w:rPr>
          <w:rStyle w:val="FootnoteReference"/>
          <w:rFonts w:ascii="Times New Roman" w:hAnsi="Times New Roman"/>
          <w:color w:val="000000"/>
          <w:sz w:val="24"/>
          <w:szCs w:val="24"/>
          <w:lang w:eastAsia="id-ID"/>
        </w:rPr>
        <w:footnoteReference w:id="3"/>
      </w:r>
    </w:p>
    <w:p w:rsidR="00C76C36" w:rsidRPr="00E12C3B" w:rsidRDefault="00C76C36" w:rsidP="00C76C36">
      <w:pPr>
        <w:autoSpaceDE w:val="0"/>
        <w:autoSpaceDN w:val="0"/>
        <w:adjustRightInd w:val="0"/>
        <w:spacing w:line="468" w:lineRule="auto"/>
        <w:ind w:firstLine="709"/>
        <w:jc w:val="both"/>
      </w:pPr>
      <w:r w:rsidRPr="00E12C3B">
        <w:t>Tindak pidana militer murni sebagaimana yang disebutkan di atas, bahwa tindak pidana militer murni terdapat 3 (tiga) jenis tindak pidana yaitu THTI, desersi dan insubordinasi.Ketiga jenis tindak pidana tersebut hanya dilakukan oleh anggota TNI saja dan diancam hukuman pidana sebagaimana diatur dalam peraturan perundang-undangan yang berlaku dikalangan TNI.Bagi masyarakat sipil tindak pidana tersebut tidak diberlakukan.</w:t>
      </w:r>
    </w:p>
    <w:p w:rsidR="00C76C36" w:rsidRPr="00E12C3B" w:rsidRDefault="00C76C36" w:rsidP="00C76C36">
      <w:pPr>
        <w:pStyle w:val="ListParagraph"/>
        <w:numPr>
          <w:ilvl w:val="3"/>
          <w:numId w:val="11"/>
        </w:numPr>
        <w:tabs>
          <w:tab w:val="clear" w:pos="2880"/>
          <w:tab w:val="num" w:pos="360"/>
        </w:tabs>
        <w:autoSpaceDE w:val="0"/>
        <w:autoSpaceDN w:val="0"/>
        <w:adjustRightInd w:val="0"/>
        <w:spacing w:after="0" w:line="480" w:lineRule="auto"/>
        <w:ind w:left="360"/>
        <w:rPr>
          <w:rFonts w:ascii="Times New Roman" w:hAnsi="Times New Roman"/>
          <w:color w:val="000000"/>
          <w:sz w:val="24"/>
          <w:szCs w:val="24"/>
          <w:lang w:eastAsia="id-ID"/>
        </w:rPr>
      </w:pPr>
      <w:r w:rsidRPr="00E12C3B">
        <w:rPr>
          <w:rFonts w:ascii="Times New Roman" w:hAnsi="Times New Roman"/>
          <w:bCs/>
          <w:color w:val="000000"/>
          <w:sz w:val="24"/>
          <w:szCs w:val="24"/>
          <w:lang w:eastAsia="id-ID"/>
        </w:rPr>
        <w:t xml:space="preserve">Tindak Pidana Militer Campuran </w:t>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Tindak pidana militer campuran yaitu tindakan-tindakan terlarang/ diharuskan yang seharusnya sudah ditentukan dalam perundang-undangan lain, akan tetapi diatur lagi dalam KUHPM karena adanya suatu keadaan yang khas militer.</w:t>
      </w:r>
      <w:r w:rsidRPr="00E12C3B">
        <w:rPr>
          <w:rStyle w:val="FootnoteReference"/>
          <w:color w:val="000000"/>
          <w:lang w:eastAsia="id-ID"/>
        </w:rPr>
        <w:footnoteReference w:id="4"/>
      </w:r>
      <w:r w:rsidRPr="00E12C3B">
        <w:rPr>
          <w:color w:val="000000"/>
          <w:lang w:eastAsia="id-ID"/>
        </w:rPr>
        <w:t xml:space="preserve"> Tindak pidana militer campuran yang dilakukan oleh militer ini dalam tindak pidananya bisa saja dilakukan oleh kalangan sipil, contohnya tindak pidana </w:t>
      </w:r>
      <w:r w:rsidRPr="00E12C3B">
        <w:rPr>
          <w:color w:val="000000"/>
          <w:lang w:eastAsia="id-ID"/>
        </w:rPr>
        <w:lastRenderedPageBreak/>
        <w:t>pencabulan, tindak pidana pencurian, tindak pidana pembunuhan, dan lain sebagainya yang bukan termasuk kategori tindak pidana militer murni.</w:t>
      </w:r>
    </w:p>
    <w:p w:rsidR="00C76C36" w:rsidRPr="00E12C3B" w:rsidRDefault="00C76C36" w:rsidP="00C76C36">
      <w:pPr>
        <w:autoSpaceDE w:val="0"/>
        <w:autoSpaceDN w:val="0"/>
        <w:adjustRightInd w:val="0"/>
        <w:spacing w:line="480" w:lineRule="auto"/>
        <w:ind w:firstLine="709"/>
        <w:jc w:val="both"/>
        <w:rPr>
          <w:lang w:val="sv-SE"/>
        </w:rPr>
      </w:pPr>
      <w:r w:rsidRPr="00E12C3B">
        <w:t>Pada dasarnya tindak pidana desrsi diatur dalam Pasal 87 KUHPM, yaitu d</w:t>
      </w:r>
      <w:r w:rsidRPr="00E12C3B">
        <w:rPr>
          <w:color w:val="000000"/>
          <w:lang w:eastAsia="id-ID"/>
        </w:rPr>
        <w:t>iancam karena desersi, militer :</w:t>
      </w:r>
    </w:p>
    <w:p w:rsidR="00C76C36" w:rsidRPr="00E12C3B" w:rsidRDefault="00C76C36" w:rsidP="00C76C36">
      <w:pPr>
        <w:pStyle w:val="ListParagraph"/>
        <w:tabs>
          <w:tab w:val="left" w:pos="993"/>
        </w:tabs>
        <w:autoSpaceDE w:val="0"/>
        <w:autoSpaceDN w:val="0"/>
        <w:adjustRightInd w:val="0"/>
        <w:spacing w:after="0"/>
        <w:ind w:left="993"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Ke-1 yang pergi dengan maksud menarik diri untuk selamanya dari kewajiban-kewajiban dinasnya menghindari bahaya perang, menyebrang menyebrang ke musuh atau memasuki dinas militer pada suatu negara atau kekuasaanlain tanpa dibenarkan untuk itu. </w:t>
      </w:r>
    </w:p>
    <w:p w:rsidR="00C76C36" w:rsidRPr="00E12C3B" w:rsidRDefault="00C76C36" w:rsidP="00C76C36">
      <w:pPr>
        <w:pStyle w:val="ListParagraph"/>
        <w:tabs>
          <w:tab w:val="left" w:pos="993"/>
        </w:tabs>
        <w:autoSpaceDE w:val="0"/>
        <w:autoSpaceDN w:val="0"/>
        <w:adjustRightInd w:val="0"/>
        <w:spacing w:after="0"/>
        <w:ind w:left="993"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Ke-2 </w:t>
      </w:r>
      <w:r w:rsidRPr="00E12C3B">
        <w:rPr>
          <w:rFonts w:ascii="Times New Roman" w:hAnsi="Times New Roman"/>
          <w:color w:val="000000"/>
          <w:sz w:val="24"/>
          <w:szCs w:val="24"/>
          <w:lang w:eastAsia="id-ID"/>
        </w:rPr>
        <w:tab/>
        <w:t xml:space="preserve">karena salahnya atau dengan sengaja melakukan ketidakhadiran tanpa ijin dalam waktu damai lebih lama dari 30 (tiga puluh) hari, dalam waktu perang lebih lama 4 (empat) hari. </w:t>
      </w:r>
    </w:p>
    <w:p w:rsidR="00C76C36" w:rsidRPr="00E12C3B" w:rsidRDefault="00C76C36" w:rsidP="00C76C36">
      <w:pPr>
        <w:pStyle w:val="ListParagraph"/>
        <w:tabs>
          <w:tab w:val="left" w:pos="993"/>
        </w:tabs>
        <w:autoSpaceDE w:val="0"/>
        <w:autoSpaceDN w:val="0"/>
        <w:adjustRightInd w:val="0"/>
        <w:spacing w:after="0"/>
        <w:ind w:left="993"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Ke-3 </w:t>
      </w:r>
      <w:r w:rsidRPr="00E12C3B">
        <w:rPr>
          <w:rFonts w:ascii="Times New Roman" w:hAnsi="Times New Roman"/>
          <w:color w:val="000000"/>
          <w:sz w:val="24"/>
          <w:szCs w:val="24"/>
          <w:lang w:eastAsia="id-ID"/>
        </w:rPr>
        <w:tab/>
        <w:t>Dengan sengaja melakukan ketidakhadiran tanpa ijin dan karenanya tidak ikut melaksanakan sebagian atau seluruhnya dari suatu perjalanan yang diperintahkan seperti yang diuraikan dalam Pasal 85 Ke-2.</w:t>
      </w:r>
    </w:p>
    <w:p w:rsidR="00C76C36" w:rsidRPr="00E12C3B" w:rsidRDefault="00C76C36" w:rsidP="00C76C36">
      <w:pPr>
        <w:pStyle w:val="ListParagraph"/>
        <w:tabs>
          <w:tab w:val="left" w:pos="993"/>
        </w:tabs>
        <w:autoSpaceDE w:val="0"/>
        <w:autoSpaceDN w:val="0"/>
        <w:adjustRightInd w:val="0"/>
        <w:spacing w:after="0"/>
        <w:ind w:left="993" w:hanging="709"/>
        <w:jc w:val="both"/>
        <w:rPr>
          <w:rFonts w:ascii="Times New Roman" w:hAnsi="Times New Roman"/>
          <w:color w:val="000000"/>
          <w:sz w:val="24"/>
          <w:szCs w:val="24"/>
          <w:lang w:eastAsia="id-ID"/>
        </w:rPr>
      </w:pPr>
    </w:p>
    <w:p w:rsidR="00C76C36" w:rsidRPr="00E12C3B" w:rsidRDefault="00C76C36" w:rsidP="00C76C36">
      <w:pPr>
        <w:autoSpaceDE w:val="0"/>
        <w:autoSpaceDN w:val="0"/>
        <w:adjustRightInd w:val="0"/>
        <w:spacing w:line="456" w:lineRule="auto"/>
        <w:ind w:firstLine="709"/>
        <w:jc w:val="both"/>
      </w:pPr>
      <w:r w:rsidRPr="00E12C3B">
        <w:t>Berdasarkan KUHPM Pasal 87 ayat (1) ke-1 dinyatakan sebagai persyaratan pertama desersi. Tetapi selain maksud tersebut ada tiga tujuan lain yang masing-masing sudah dapat menjadikan penghindaran itu menjadi desersi, yaitu hendak menghindar dari bahaya perang, hendak menyebrang ke pihak musuh, dan tanpa ijin hendak memasuki dinas militer pada suatu negara atau kekuasaan lain. Sedangkan dalam Pasal 87 ayat (1) ke-2 dirumuskan mengenai waktu ketidakhadiran yang menyebabkan desersi, yaitu lebih dari 30 (tiga puluh) hari diwaktu damai dan lebih lama dari 4 (empat) hari diwaktu perang.Disini tidak dipersoalkan maksud dan tujuan dari si pelaku serta tidak dipersoalkan apakah hal itu dilakukan dengan sengaja atau terjadi karena kealpaan saja.</w:t>
      </w:r>
      <w:r w:rsidRPr="00E12C3B">
        <w:rPr>
          <w:rStyle w:val="FootnoteReference"/>
        </w:rPr>
        <w:footnoteReference w:id="5"/>
      </w:r>
    </w:p>
    <w:p w:rsidR="00C76C36" w:rsidRPr="00E12C3B" w:rsidRDefault="00C76C36" w:rsidP="00C76C36">
      <w:pPr>
        <w:autoSpaceDE w:val="0"/>
        <w:autoSpaceDN w:val="0"/>
        <w:adjustRightInd w:val="0"/>
        <w:spacing w:line="456" w:lineRule="auto"/>
        <w:ind w:firstLine="709"/>
        <w:jc w:val="both"/>
      </w:pPr>
      <w:r w:rsidRPr="00E12C3B">
        <w:t xml:space="preserve">Selanjutnya dalam Pasal 87 ayat (1) ke-3 KUHPM dirumuskan bahwa ketidakhadiran yang sengaja disebut sebagai desersi, apabila mengakibatkan </w:t>
      </w:r>
      <w:r w:rsidRPr="00E12C3B">
        <w:lastRenderedPageBreak/>
        <w:t>militer bersangkutan tidak dapat melaksanakan perintah untuk ikut melakukan perjalanan ke suatu tempat di pulau lain baik untuk seluruh perjalanan itu dan masalah ini sangat penting bagi TNI-AL dan TNI-AU</w:t>
      </w:r>
      <w:r w:rsidRPr="00E12C3B">
        <w:rPr>
          <w:color w:val="FF0000"/>
        </w:rPr>
        <w:t>.</w:t>
      </w:r>
      <w:r w:rsidRPr="00E12C3B">
        <w:rPr>
          <w:rStyle w:val="FootnoteReference"/>
          <w:color w:val="FF0000"/>
        </w:rPr>
        <w:footnoteReference w:id="6"/>
      </w:r>
      <w:r w:rsidRPr="00E12C3B">
        <w:t>Dengan demikian tidak semua seorang militer atas kemauannya sendiri tidak hadir ditempat untuk melaksanakan tugas termasuk desersi.Tetapi harus mempunyai maksud dan tujuan dari pelaku, sebagaimana telah diuraikan, dan jangka waktu yang telah ditetapkan dan akibat yang sudah ditentukan dalam KUHPM.</w:t>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t xml:space="preserve">Menurut Sianturi rumusan tindak pidana desersi dalam KUHPM pasal 87 dapat dapat dibagi menjadi dua bentuk, yaitu desersi murni dan desersi sebagai </w:t>
      </w:r>
      <w:r w:rsidRPr="00E12C3B">
        <w:rPr>
          <w:color w:val="000000"/>
          <w:lang w:eastAsia="id-ID"/>
        </w:rPr>
        <w:t>dan desersi sebagai peningkatan kejahatan THTI.</w:t>
      </w:r>
      <w:r w:rsidRPr="00E12C3B">
        <w:rPr>
          <w:rStyle w:val="FootnoteReference"/>
          <w:color w:val="000000"/>
          <w:lang w:eastAsia="id-ID"/>
        </w:rPr>
        <w:footnoteReference w:id="7"/>
      </w:r>
      <w:r w:rsidRPr="00E12C3B">
        <w:rPr>
          <w:color w:val="000000"/>
          <w:lang w:eastAsia="id-ID"/>
        </w:rPr>
        <w:t xml:space="preserve"> diatur dalam Pasal 87 ayat (1) ke-2 dan ke-3 sedangkan dalam KUHP ditemukan beberapa pasal yang berkaitan dengan desersi, seperti Pasal 124, 165 dan 236 KUHP. Akan tetapi hal tersebut bukan sebagai pelaku desersi, melainkan sebagai penggerak desersi. Misalnya Pasal 236 KUHP yang berbunyi sebagai berikut,”Barang siapa yang dalam waktu damai dengan sengaja menggerakkan dengan salah satu sarana tersebut Pasal 55 ayat (1) nomor 2 seseorang militer yang dalam dinas negara supaya melakukan desersi atau mempermudahnya dengan salah satu cara tersebut dalam Pasal 56 diancam dengan pidana penjara maksimum Sembilan bulan”. Dari rumusan Pasal 236 KUHP ini, menunjukkan bahwa subyeknya adalah barang siapa yang berarti bisa militer maupun non militer, namun dalam prakteknya adalah non militer. Karena bagi pelakunya seorang militer diterapkan Pasal 87 KUHPM jo Pasal 52 KUHP.</w:t>
      </w:r>
    </w:p>
    <w:p w:rsidR="00C76C36" w:rsidRPr="00E12C3B" w:rsidRDefault="00C76C36" w:rsidP="00C76C36">
      <w:pPr>
        <w:autoSpaceDE w:val="0"/>
        <w:autoSpaceDN w:val="0"/>
        <w:adjustRightInd w:val="0"/>
        <w:ind w:firstLine="709"/>
        <w:jc w:val="both"/>
        <w:rPr>
          <w:color w:val="000000"/>
          <w:lang w:eastAsia="id-ID"/>
        </w:rPr>
      </w:pPr>
    </w:p>
    <w:p w:rsidR="00C76C36" w:rsidRPr="00E12C3B" w:rsidRDefault="00C76C36" w:rsidP="00C76C36">
      <w:pPr>
        <w:pStyle w:val="ListParagraph"/>
        <w:numPr>
          <w:ilvl w:val="0"/>
          <w:numId w:val="12"/>
        </w:numPr>
        <w:tabs>
          <w:tab w:val="clear" w:pos="720"/>
          <w:tab w:val="num" w:pos="360"/>
        </w:tabs>
        <w:autoSpaceDE w:val="0"/>
        <w:autoSpaceDN w:val="0"/>
        <w:adjustRightInd w:val="0"/>
        <w:spacing w:after="0" w:line="480" w:lineRule="auto"/>
        <w:ind w:left="360"/>
        <w:rPr>
          <w:rFonts w:ascii="Times New Roman" w:hAnsi="Times New Roman"/>
          <w:b/>
          <w:color w:val="000000"/>
          <w:sz w:val="24"/>
          <w:szCs w:val="24"/>
          <w:lang w:eastAsia="id-ID"/>
        </w:rPr>
      </w:pPr>
      <w:bookmarkStart w:id="3" w:name="_Hlk160465477"/>
      <w:r w:rsidRPr="00E12C3B">
        <w:rPr>
          <w:rFonts w:ascii="Times New Roman" w:hAnsi="Times New Roman"/>
          <w:b/>
          <w:color w:val="000000"/>
          <w:sz w:val="24"/>
          <w:szCs w:val="24"/>
          <w:lang w:eastAsia="id-ID"/>
        </w:rPr>
        <w:t>Unsur Unsur Tindak Pidana Desersi</w:t>
      </w:r>
      <w:bookmarkEnd w:id="3"/>
    </w:p>
    <w:p w:rsidR="00C76C36" w:rsidRPr="00E12C3B" w:rsidRDefault="00C76C36" w:rsidP="00C76C36">
      <w:pPr>
        <w:pStyle w:val="Default"/>
        <w:spacing w:line="480" w:lineRule="auto"/>
        <w:ind w:left="360"/>
        <w:rPr>
          <w:rFonts w:ascii="Times New Roman" w:hAnsi="Times New Roman" w:cs="Times New Roman"/>
        </w:rPr>
      </w:pPr>
      <w:r w:rsidRPr="00E12C3B">
        <w:rPr>
          <w:rFonts w:ascii="Times New Roman" w:hAnsi="Times New Roman" w:cs="Times New Roman"/>
        </w:rPr>
        <w:t>Desersi menurut bentuknya dibedakan menjadi :</w:t>
      </w:r>
    </w:p>
    <w:p w:rsidR="00C76C36" w:rsidRPr="00E12C3B" w:rsidRDefault="00C76C36" w:rsidP="00C76C36">
      <w:pPr>
        <w:pStyle w:val="ListParagraph"/>
        <w:numPr>
          <w:ilvl w:val="1"/>
          <w:numId w:val="12"/>
        </w:numPr>
        <w:tabs>
          <w:tab w:val="clear" w:pos="1440"/>
        </w:tabs>
        <w:autoSpaceDE w:val="0"/>
        <w:autoSpaceDN w:val="0"/>
        <w:adjustRightInd w:val="0"/>
        <w:spacing w:after="0" w:line="480" w:lineRule="auto"/>
        <w:ind w:left="360"/>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Desersi Murni </w:t>
      </w:r>
    </w:p>
    <w:p w:rsidR="00C76C36" w:rsidRPr="00E12C3B" w:rsidRDefault="00C76C36" w:rsidP="00C76C36">
      <w:pPr>
        <w:autoSpaceDE w:val="0"/>
        <w:autoSpaceDN w:val="0"/>
        <w:adjustRightInd w:val="0"/>
        <w:spacing w:line="480" w:lineRule="auto"/>
        <w:ind w:firstLine="709"/>
        <w:jc w:val="both"/>
      </w:pPr>
      <w:r w:rsidRPr="00E12C3B">
        <w:rPr>
          <w:color w:val="000000"/>
          <w:lang w:eastAsia="id-ID"/>
        </w:rPr>
        <w:t>Desersi murni adalah desersi yang dilakukan oleh seorang militer yang pergi dengan maksud menarik diri untuk selamanya dari kewajiban-kewajiban dinasnya, menghindari bahaya perang, menyebrang ke musuh atau memasuki dinas militer pada suatu negara atau kekuasan lain tanpa dibenarkan untuk hal itu. Desersi murni diatur dalam Pasal 87 ayat (1) ke-1 KUHPM, dari rumusan pasal</w:t>
      </w:r>
      <w:r w:rsidRPr="00E12C3B">
        <w:t xml:space="preserve"> terssebut menunjukkan bahwa tindakan desersi ini diawali dengan perbuatan pergi.Pergi yang dimaksud adalah perbuatan menjauhkan diri dari, menyembunyikan diri dari, meneruskan ketidakhadiran pada atau membuat diri tertinggal untuk pada suatu tempat atau tempat-tempat seharusnya militer itu berada untuk memenuhi kewajiban-kewajiban dianasnya.Namun selama maksud tersebut tidak diwujudkan dalam suatu tindakan yang nyata maka belum dapat dikatakan perbuatan yang melawan hukum.</w:t>
      </w:r>
      <w:r w:rsidRPr="00E12C3B">
        <w:rPr>
          <w:rStyle w:val="FootnoteReference"/>
        </w:rPr>
        <w:footnoteReference w:id="8"/>
      </w:r>
    </w:p>
    <w:p w:rsidR="00C76C36" w:rsidRPr="00E12C3B" w:rsidRDefault="00C76C36" w:rsidP="00C76C36">
      <w:pPr>
        <w:autoSpaceDE w:val="0"/>
        <w:autoSpaceDN w:val="0"/>
        <w:adjustRightInd w:val="0"/>
        <w:spacing w:line="456" w:lineRule="auto"/>
        <w:ind w:firstLine="709"/>
        <w:jc w:val="both"/>
      </w:pPr>
      <w:r w:rsidRPr="00E12C3B">
        <w:t xml:space="preserve">Perbuatan pergi belum tentu sudah mengubahkan suatu perbuatan yang melawan hukum.Apabila kepergiannya tanpa ijin, sudah jelas sudah melawan hukum.Akan tetapi apabila kepergiannya tersebut sudah mendapat ijin misalnya cuti, maka kepergiannya tidak bersifat melawan hukum. Jadi jika seorang militer meninggalkan tempat tugasnya karena sudah mendapat ijin/cuti, kemudian ia bermaksud untuk tidak akan kembali lagi selamanya ketempat tugasnya, tindakannya tersebut sudah merupakan perbuatan yang melawan hukum, </w:t>
      </w:r>
      <w:r w:rsidRPr="00E12C3B">
        <w:lastRenderedPageBreak/>
        <w:t>walaupun kepergiannya itu sudah mendapat ijin, sekaligus perbuatan atau tindakannya itu telah memenuhi unsur kejahatan desersi.</w:t>
      </w:r>
      <w:r w:rsidRPr="00E12C3B">
        <w:rPr>
          <w:rStyle w:val="FootnoteReference"/>
        </w:rPr>
        <w:footnoteReference w:id="9"/>
      </w:r>
    </w:p>
    <w:p w:rsidR="00C76C36" w:rsidRPr="00E12C3B" w:rsidRDefault="00C76C36" w:rsidP="00C76C36">
      <w:pPr>
        <w:autoSpaceDE w:val="0"/>
        <w:autoSpaceDN w:val="0"/>
        <w:adjustRightInd w:val="0"/>
        <w:spacing w:line="456" w:lineRule="auto"/>
        <w:ind w:firstLine="709"/>
        <w:jc w:val="both"/>
      </w:pPr>
      <w:r w:rsidRPr="00E12C3B">
        <w:t>Berdasarkan Pasal 87 ayat (1) ke-1 ada istilah dengan maksud, hal ini mengundang arti kesengajaan. Jadi perbuatan pergi seperti menarik diri untuk selamanya dari kewajiban-kewajiban dinasnya, menghidari bahaya perang,menyebrang ke musuh atau memasuki dinas militer pada suatu negara, dilakukan dengan kesadaran atau sesuai dengan kehendaknya yang dalam hal ini untuk mewujudkan maksudnya.</w:t>
      </w:r>
    </w:p>
    <w:p w:rsidR="00C76C36" w:rsidRPr="00E12C3B" w:rsidRDefault="00C76C36" w:rsidP="00C76C36">
      <w:pPr>
        <w:autoSpaceDE w:val="0"/>
        <w:autoSpaceDN w:val="0"/>
        <w:adjustRightInd w:val="0"/>
        <w:spacing w:line="516" w:lineRule="auto"/>
        <w:ind w:firstLine="709"/>
        <w:jc w:val="both"/>
      </w:pPr>
      <w:r w:rsidRPr="00E12C3B">
        <w:t>Berdasarkan Pasal 96 ayat (1) dijelaskan bahwa yang disebut musuh termasuk juga pemberontak, negara atau kekuasaan yang akan menjadi lawan perang, sedangkan pada ayat (2) yang disebut perang termasuk juga permusuhan dengan daerah-daerah swapraja, begitu juga perang saudara.Kemudian pada ayat (3) yang disebut masa perang termasuk juga waktu selama perang sedang mengancam, segera sesudah diperintahkan mobilisasi angkatan perang dan selama mobilisasi itu berlaku.</w:t>
      </w:r>
      <w:r w:rsidRPr="00E12C3B">
        <w:rPr>
          <w:rStyle w:val="FootnoteReference"/>
        </w:rPr>
        <w:footnoteReference w:id="10"/>
      </w:r>
      <w:r w:rsidRPr="00E12C3B">
        <w:t>Rumusan Pasal 96 KUHP, menunjukkan bahwa keadaan atau waktu perang tidak semata-mata ketika perang sedang berlangsung, melainkan waktu apabila perang sangat mungkin akan terjadi setelah mobilisasi.</w:t>
      </w:r>
    </w:p>
    <w:p w:rsidR="00C76C36" w:rsidRPr="00E12C3B" w:rsidRDefault="00C76C36" w:rsidP="00C76C36">
      <w:pPr>
        <w:pStyle w:val="ListParagraph"/>
        <w:numPr>
          <w:ilvl w:val="1"/>
          <w:numId w:val="12"/>
        </w:numPr>
        <w:tabs>
          <w:tab w:val="clear" w:pos="1440"/>
        </w:tabs>
        <w:autoSpaceDE w:val="0"/>
        <w:autoSpaceDN w:val="0"/>
        <w:adjustRightInd w:val="0"/>
        <w:spacing w:after="0" w:line="516" w:lineRule="auto"/>
        <w:ind w:left="36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Desersi Sebagai Peningkatan Kejahatan </w:t>
      </w:r>
    </w:p>
    <w:p w:rsidR="00C76C36" w:rsidRPr="00E12C3B" w:rsidRDefault="00C76C36" w:rsidP="00C76C36">
      <w:pPr>
        <w:autoSpaceDE w:val="0"/>
        <w:autoSpaceDN w:val="0"/>
        <w:adjustRightInd w:val="0"/>
        <w:spacing w:line="516" w:lineRule="auto"/>
        <w:ind w:firstLine="709"/>
        <w:jc w:val="both"/>
        <w:rPr>
          <w:color w:val="000000"/>
          <w:lang w:eastAsia="id-ID"/>
        </w:rPr>
      </w:pPr>
      <w:r w:rsidRPr="00E12C3B">
        <w:rPr>
          <w:color w:val="000000"/>
          <w:lang w:eastAsia="id-ID"/>
        </w:rPr>
        <w:t xml:space="preserve">Salah satu bentuk tindak pidana yang diatur didalam KUHPM adalah desersi sebagai peningkatan kejahatan THTI. Seseorang dikatakan tidak hadir tanpa ijin jika ia tidak berada pada suatu tempat atau tempat-tempat dimana ia </w:t>
      </w:r>
      <w:r w:rsidRPr="00E12C3B">
        <w:rPr>
          <w:color w:val="000000"/>
          <w:lang w:eastAsia="id-ID"/>
        </w:rPr>
        <w:lastRenderedPageBreak/>
        <w:t>seharusnya berada untuk melaksanakan sesuatu tugas yang dipercayakan kepadanya.</w:t>
      </w:r>
      <w:r w:rsidRPr="00E12C3B">
        <w:rPr>
          <w:rStyle w:val="FootnoteReference"/>
          <w:color w:val="000000"/>
          <w:lang w:eastAsia="id-ID"/>
        </w:rPr>
        <w:footnoteReference w:id="11"/>
      </w:r>
      <w:r w:rsidRPr="00E12C3B">
        <w:rPr>
          <w:color w:val="000000"/>
          <w:lang w:eastAsia="id-ID"/>
        </w:rPr>
        <w:t xml:space="preserve"> Desersi sebagai peningkatan THTi diatur dalam Pasal 87 ayat (1) ke-2 dan ke-3 KUHPM sebagai berikut:Diancam karena desersi, militer: Dengan sengaja melakukan ketidakhadiran tanpa ijin dan karenanya tidak ikut melaksanakan sebagian atau seluruhnya dari suatu perjalanan yang di perintahkan, seperti yang diuraikan dlam Pasal 87 ke-2. </w:t>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Berdasarkan rumusan Pasal 87 ayat (1) ke-2, menunjukkan bahwa desersi ini berawal dari kejahatan THTI yang karena atas batas waktunya melebihi 30 (tiga puluh) hari dalam waktu damai dan 4 (empat) hari dalam waktu perang sehingga menjadi tindak pidana desersi. Tidak mempersoalkan unsur kejiwaan dari pelaku, apakah perbuatan itu dilakukan karena salahnya (culpa) atau dilakukan dengan sengaja.</w:t>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Sedangkan dalam Pasal 87ayat (1) ke-3 KUHPM, menunjukan bahwa dikatakan desersi jika seorang militer dengan sengaja melakukan ketidakhadiran tanpa ijin dan tidak ikut melaksanakan sebagian atau seluruhnya dari suatu perjalanan yang diperintahkan seperti Pasal 85 ke-2 KUHPM yaitu karena salahnya atau dengan sengaja melakukan ketidakhadiran tanpa ijin dalam waktu damai lebih lama dari 30 (tiga puluh) hari, dalam waktu perang lebih lama dari 4 (empat) hari.</w:t>
      </w:r>
    </w:p>
    <w:p w:rsidR="00C76C36" w:rsidRPr="00E12C3B" w:rsidRDefault="00C76C36" w:rsidP="00C76C36">
      <w:pPr>
        <w:autoSpaceDE w:val="0"/>
        <w:autoSpaceDN w:val="0"/>
        <w:adjustRightInd w:val="0"/>
        <w:spacing w:line="480" w:lineRule="auto"/>
        <w:ind w:firstLine="709"/>
        <w:jc w:val="both"/>
      </w:pPr>
      <w:r w:rsidRPr="00E12C3B">
        <w:t>Berdasarkan pengertian Pasal 87 ayat (1) ke-1 KUHPM, maka ada 4 (empat) unsur tindak pidana desersi murni, yaitu :</w:t>
      </w:r>
    </w:p>
    <w:p w:rsidR="00C76C36" w:rsidRPr="00E12C3B" w:rsidRDefault="00C76C36" w:rsidP="00C76C36">
      <w:pPr>
        <w:autoSpaceDE w:val="0"/>
        <w:autoSpaceDN w:val="0"/>
        <w:adjustRightInd w:val="0"/>
        <w:spacing w:line="480" w:lineRule="auto"/>
        <w:rPr>
          <w:color w:val="000000"/>
          <w:lang w:eastAsia="id-ID"/>
        </w:rPr>
      </w:pPr>
      <w:r w:rsidRPr="00E12C3B">
        <w:rPr>
          <w:color w:val="000000"/>
          <w:lang w:eastAsia="id-ID"/>
        </w:rPr>
        <w:t>a. Unsur : Militer</w:t>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lastRenderedPageBreak/>
        <w:t>Dimaksud dengan militer menurut Pasal 46 KUHPM adalah mereka yang berikatan dinas secara sukarela pada Angkatan Perang yang wajib berada dalam dinas secara terus menerus dalam tenggang waktu ikatan dinas tersebut. Menurut Undang-Undang Republik Indonesia Nomor 34 Tahun 2004 Pasal 1 angka 20, yang diamaksud dengan militer adalah kekuatan angkatan perang dari suatu negara. Seorang militer ditandai dengan mempunyai : Pangkat, NRP (Nomor Registrasi Pusat), Jabatan, Kesatuan dalam melaksanakan tugasnya atau berdinas menggunakan serangam sesuai dengan matranya lengkap dengan tanda pangkat, lokasi kesatuan dan atribut lainnya.</w:t>
      </w:r>
      <w:r w:rsidRPr="00E12C3B">
        <w:rPr>
          <w:rStyle w:val="FootnoteReference"/>
          <w:color w:val="000000"/>
          <w:lang w:eastAsia="id-ID"/>
        </w:rPr>
        <w:footnoteReference w:id="12"/>
      </w:r>
    </w:p>
    <w:p w:rsidR="00C76C36" w:rsidRPr="00E12C3B" w:rsidRDefault="00C76C36" w:rsidP="00C76C36">
      <w:pPr>
        <w:pStyle w:val="ListParagraph"/>
        <w:numPr>
          <w:ilvl w:val="0"/>
          <w:numId w:val="11"/>
        </w:numPr>
        <w:tabs>
          <w:tab w:val="clear" w:pos="720"/>
          <w:tab w:val="num" w:pos="360"/>
        </w:tabs>
        <w:autoSpaceDE w:val="0"/>
        <w:autoSpaceDN w:val="0"/>
        <w:adjustRightInd w:val="0"/>
        <w:spacing w:after="0" w:line="480" w:lineRule="auto"/>
        <w:ind w:left="360"/>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Unsur pergi </w:t>
      </w:r>
    </w:p>
    <w:p w:rsidR="00C76C36" w:rsidRPr="00E12C3B" w:rsidRDefault="00C76C36" w:rsidP="00C76C36">
      <w:pPr>
        <w:autoSpaceDE w:val="0"/>
        <w:autoSpaceDN w:val="0"/>
        <w:adjustRightInd w:val="0"/>
        <w:spacing w:line="504" w:lineRule="auto"/>
        <w:ind w:firstLine="709"/>
        <w:jc w:val="both"/>
      </w:pPr>
      <w:r w:rsidRPr="00E12C3B">
        <w:t xml:space="preserve">Dimaksud dengan pergi </w:t>
      </w:r>
      <w:r w:rsidRPr="00E12C3B">
        <w:rPr>
          <w:i/>
        </w:rPr>
        <w:t>(verwijderen)</w:t>
      </w:r>
      <w:r w:rsidRPr="00E12C3B">
        <w:t xml:space="preserve"> yaitu perbuatan menjauhkan diri dari, menyembunyikan diri dari, meneruskan ketidakhadiran pada atau membuat diri sendiri tertinggal untuk sampai pada, suatu tempat atau tempat-tempat dimana militer itu seharusnya berada untuk memenuhi kewajiban-kewajiban dinas yang ditugaskan kepadanya.</w:t>
      </w:r>
      <w:r w:rsidRPr="00E12C3B">
        <w:rPr>
          <w:rStyle w:val="FootnoteReference"/>
        </w:rPr>
        <w:footnoteReference w:id="13"/>
      </w:r>
    </w:p>
    <w:p w:rsidR="00C76C36" w:rsidRPr="00E12C3B" w:rsidRDefault="00C76C36" w:rsidP="00C76C36">
      <w:pPr>
        <w:autoSpaceDE w:val="0"/>
        <w:autoSpaceDN w:val="0"/>
        <w:adjustRightInd w:val="0"/>
        <w:spacing w:line="504" w:lineRule="auto"/>
        <w:ind w:firstLine="709"/>
        <w:jc w:val="both"/>
      </w:pPr>
      <w:r w:rsidRPr="00E12C3B">
        <w:t xml:space="preserve">Perbuatan pergi ini belum tentu perbuatan melawan hukum.Jika kepergiannya itu tanpa ijin sudah jelas merupakan sifat melawan hukum dan dapat dilihat dari kata-kata tanpa ijin tersebut.Tetapi jika kepergiannya sudah mendapat ijin (cuti) maka kepergiannya tidak melawan hukum.Jadi jika seorang militer meninggalkan tempat tugasnya karena sudah mendapatkan ijin/cuti, kemudian tidak bermaksud untuk kembali lagi ketempat tugas selamanya, maka tindakan </w:t>
      </w:r>
      <w:r w:rsidRPr="00E12C3B">
        <w:lastRenderedPageBreak/>
        <w:t>tersebut sudah merupakan tindakan melanwan hukum, walaupun kepergiannya itu mendapatkan ijin.</w:t>
      </w:r>
    </w:p>
    <w:p w:rsidR="00C76C36" w:rsidRPr="00E12C3B" w:rsidRDefault="00C76C36" w:rsidP="00C76C36">
      <w:pPr>
        <w:pStyle w:val="ListParagraph"/>
        <w:numPr>
          <w:ilvl w:val="0"/>
          <w:numId w:val="11"/>
        </w:numPr>
        <w:tabs>
          <w:tab w:val="clear" w:pos="720"/>
          <w:tab w:val="num" w:pos="360"/>
        </w:tabs>
        <w:autoSpaceDE w:val="0"/>
        <w:autoSpaceDN w:val="0"/>
        <w:adjustRightInd w:val="0"/>
        <w:spacing w:after="0" w:line="480" w:lineRule="auto"/>
        <w:ind w:left="360"/>
        <w:jc w:val="both"/>
        <w:rPr>
          <w:rFonts w:ascii="Times New Roman" w:hAnsi="Times New Roman"/>
          <w:sz w:val="24"/>
          <w:szCs w:val="24"/>
        </w:rPr>
      </w:pPr>
      <w:r w:rsidRPr="00E12C3B">
        <w:rPr>
          <w:rFonts w:ascii="Times New Roman" w:hAnsi="Times New Roman"/>
          <w:color w:val="000000"/>
          <w:sz w:val="24"/>
          <w:szCs w:val="24"/>
          <w:lang w:eastAsia="id-ID"/>
        </w:rPr>
        <w:t xml:space="preserve">Unsur dengan maksud </w:t>
      </w:r>
    </w:p>
    <w:p w:rsidR="00C76C36" w:rsidRPr="00E12C3B" w:rsidRDefault="00C76C36" w:rsidP="00C76C36">
      <w:pPr>
        <w:autoSpaceDE w:val="0"/>
        <w:autoSpaceDN w:val="0"/>
        <w:adjustRightInd w:val="0"/>
        <w:spacing w:line="480" w:lineRule="auto"/>
        <w:ind w:firstLine="709"/>
        <w:jc w:val="both"/>
      </w:pPr>
      <w:r w:rsidRPr="00E12C3B">
        <w:t>Kata-kata “dengan maksud” merupakan pengganti dari kata “dengan sengaja”, merupakan bentuk kesalahan dari si pelaku.Menurut Memori Van Toelichting yang diamksud dengan sengaja atau kesengajaan adalah menghendaki dan menginsafi terjadinya atau tindakan beserta akibatnya.</w:t>
      </w:r>
    </w:p>
    <w:p w:rsidR="00C76C36" w:rsidRPr="00E12C3B" w:rsidRDefault="00C76C36" w:rsidP="00C76C36">
      <w:pPr>
        <w:pStyle w:val="ListParagraph"/>
        <w:numPr>
          <w:ilvl w:val="0"/>
          <w:numId w:val="11"/>
        </w:numPr>
        <w:tabs>
          <w:tab w:val="clear" w:pos="720"/>
        </w:tabs>
        <w:autoSpaceDE w:val="0"/>
        <w:autoSpaceDN w:val="0"/>
        <w:adjustRightInd w:val="0"/>
        <w:spacing w:after="0" w:line="480" w:lineRule="auto"/>
        <w:ind w:left="36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Unsur menarik diri untuk selamanya dari kewajiban-kewajiban dinasnya, menghindari bahaya perang, menyebrang ke musuh atau memasuki dinas militer pada suatu negara atau kekuasaan lain tanpa dibenarkan untuk itu. </w:t>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Unsur ke-4 ini merupakan tindakan dari pelaku yang dirumuskan secara alternatif.Hal tersebut dapat dilihat dari penggunaan kata “atau” yang berarti pilihan. Sehingga apabila diperjelas rumusan unsure ke-4 ini menjadi sebagai berikut : menarik diri untuk selamanya dari kewajiban-kewajiban dinasnya, atau menhindari bahaya perang, atau menyebrang ke musuh atau memasuki suatu ikatan dinas militer pada suatu negara atau kekuasaan lain tanpa dibenarkan untuk itu. Apabiala tindakan pelaku ini telah memenuhi salah satu tindakan yang dirumuskan dalam unsur ke-4 ini, maka pelaku sudah memenuhi unsur ke empat.</w:t>
      </w:r>
    </w:p>
    <w:p w:rsidR="00C76C36" w:rsidRPr="00E12C3B" w:rsidRDefault="00C76C36" w:rsidP="00C76C36">
      <w:pPr>
        <w:autoSpaceDE w:val="0"/>
        <w:autoSpaceDN w:val="0"/>
        <w:adjustRightInd w:val="0"/>
        <w:spacing w:line="480" w:lineRule="auto"/>
        <w:ind w:firstLine="709"/>
        <w:jc w:val="both"/>
      </w:pPr>
      <w:r w:rsidRPr="00E12C3B">
        <w:t xml:space="preserve">Tindak pidana desersi sebagai peningkatan kejahatan Tidak Hadir Tanpa Izin (THTI) diatur dalam Pasal 87 ayat (1) ke-2 dan ke-3 KUHPM. Desersi yang sering kali terjadi dikalangan militer ialah desersi sebagai peningatan THTI pada waktu damai yang dirumuskan dalam Pasal 87 ayat (1) ke-2, yaitu : “militer yang </w:t>
      </w:r>
      <w:r w:rsidRPr="00E12C3B">
        <w:lastRenderedPageBreak/>
        <w:t xml:space="preserve">karena salahnya atau dengan sengaja melakukan ketidak hadiran tanpa ijin dalam waktu damai lebih lama tiga puluh hari”. </w:t>
      </w:r>
      <w:r w:rsidRPr="00E12C3B">
        <w:rPr>
          <w:rStyle w:val="FootnoteReference"/>
        </w:rPr>
        <w:footnoteReference w:id="14"/>
      </w:r>
    </w:p>
    <w:p w:rsidR="00C76C36" w:rsidRPr="00E12C3B" w:rsidRDefault="00C76C36" w:rsidP="00C76C36">
      <w:pPr>
        <w:autoSpaceDE w:val="0"/>
        <w:autoSpaceDN w:val="0"/>
        <w:adjustRightInd w:val="0"/>
        <w:spacing w:line="480" w:lineRule="auto"/>
        <w:ind w:firstLine="709"/>
        <w:jc w:val="both"/>
      </w:pPr>
      <w:r w:rsidRPr="00E12C3B">
        <w:t>Unsur-unsur tindak pidana desersi dalam Pasal 87 ayat (1) ke-2 KUHPM adalah sebagai berikut :</w:t>
      </w:r>
    </w:p>
    <w:p w:rsidR="00C76C36" w:rsidRPr="00E12C3B" w:rsidRDefault="00C76C36" w:rsidP="00C76C36">
      <w:pPr>
        <w:pStyle w:val="ListParagraph"/>
        <w:numPr>
          <w:ilvl w:val="3"/>
          <w:numId w:val="12"/>
        </w:numPr>
        <w:tabs>
          <w:tab w:val="clear" w:pos="2880"/>
          <w:tab w:val="num" w:pos="360"/>
        </w:tabs>
        <w:autoSpaceDE w:val="0"/>
        <w:autoSpaceDN w:val="0"/>
        <w:adjustRightInd w:val="0"/>
        <w:spacing w:after="0" w:line="480" w:lineRule="auto"/>
        <w:ind w:left="36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Unsur Militer</w:t>
      </w:r>
    </w:p>
    <w:p w:rsidR="00C76C36" w:rsidRPr="00E12C3B" w:rsidRDefault="00C76C36" w:rsidP="00C76C36">
      <w:pPr>
        <w:pStyle w:val="ListParagraph"/>
        <w:autoSpaceDE w:val="0"/>
        <w:autoSpaceDN w:val="0"/>
        <w:adjustRightInd w:val="0"/>
        <w:spacing w:after="0" w:line="480" w:lineRule="auto"/>
        <w:ind w:left="36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Dimaksud dengan Militer menurut Pasal 46 KUHPM adalah mereka yang berikatan dinas secara sukarela pada Angkatan Perang yang wajib berada dalam dinas secara terus menerus dalam tenggang waktu ikatan dinas tersebut. Yang dimaksud dengan militer di Indonesia adalah kekuatan angkatan perang dari suatu negara. Bahwa seorang militer ditandai dengan mempunyai : Pangkat, NRP (Nomor Registrasi Pusat), Kesatuan didalam melaksanakan tugasnya atau berdinas memakai pakaian seragam sesuai dengan matranya lengkap dengan tanda pangkat, lokasi kesatuan dan atribut lainnya. </w:t>
      </w:r>
      <w:r w:rsidRPr="00E12C3B">
        <w:rPr>
          <w:rStyle w:val="FootnoteReference"/>
          <w:rFonts w:ascii="Times New Roman" w:hAnsi="Times New Roman"/>
          <w:color w:val="000000"/>
          <w:sz w:val="24"/>
          <w:szCs w:val="24"/>
          <w:lang w:eastAsia="id-ID"/>
        </w:rPr>
        <w:footnoteReference w:id="15"/>
      </w:r>
    </w:p>
    <w:p w:rsidR="00C76C36" w:rsidRPr="00E12C3B" w:rsidRDefault="00C76C36" w:rsidP="00C76C36">
      <w:pPr>
        <w:pStyle w:val="ListParagraph"/>
        <w:numPr>
          <w:ilvl w:val="3"/>
          <w:numId w:val="12"/>
        </w:numPr>
        <w:tabs>
          <w:tab w:val="clear" w:pos="2880"/>
          <w:tab w:val="num" w:pos="360"/>
        </w:tabs>
        <w:autoSpaceDE w:val="0"/>
        <w:autoSpaceDN w:val="0"/>
        <w:adjustRightInd w:val="0"/>
        <w:spacing w:after="0"/>
        <w:ind w:left="360"/>
        <w:rPr>
          <w:rFonts w:ascii="Times New Roman" w:hAnsi="Times New Roman"/>
          <w:color w:val="000000"/>
          <w:sz w:val="24"/>
          <w:szCs w:val="24"/>
          <w:lang w:eastAsia="id-ID"/>
        </w:rPr>
      </w:pPr>
      <w:r w:rsidRPr="00E12C3B">
        <w:rPr>
          <w:rFonts w:ascii="Times New Roman" w:hAnsi="Times New Roman"/>
          <w:color w:val="000000"/>
          <w:sz w:val="24"/>
          <w:szCs w:val="24"/>
          <w:lang w:eastAsia="id-ID"/>
        </w:rPr>
        <w:t>Unsur dengan sengaja atau karena salahnya</w:t>
      </w:r>
    </w:p>
    <w:p w:rsidR="00C76C36" w:rsidRPr="00E12C3B" w:rsidRDefault="00C76C36" w:rsidP="00C76C36">
      <w:pPr>
        <w:pStyle w:val="ListParagraph"/>
        <w:autoSpaceDE w:val="0"/>
        <w:autoSpaceDN w:val="0"/>
        <w:adjustRightInd w:val="0"/>
        <w:spacing w:after="0"/>
        <w:ind w:left="1440"/>
        <w:rPr>
          <w:rFonts w:ascii="Times New Roman" w:hAnsi="Times New Roman"/>
          <w:color w:val="000000"/>
          <w:sz w:val="24"/>
          <w:szCs w:val="24"/>
          <w:lang w:eastAsia="id-ID"/>
        </w:rPr>
      </w:pP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Unsur dengan sengaja merupakan salah satu bentuk dari kesalahan pelaku, menurut Memori Van Toelichting yang dimaksud dengan sengaja atau kesenjangan adalah menghendaki dan menginsafi terjadinya suatu tindakan beserta akibatnya.Dimana seorang yang melakukan suatu tindakan dengan sengaja harus menginsafi perbuatan tersebut beserta dengan akibatnya.</w:t>
      </w:r>
      <w:r w:rsidRPr="00E12C3B">
        <w:rPr>
          <w:rStyle w:val="FootnoteReference"/>
          <w:color w:val="000000"/>
          <w:lang w:eastAsia="id-ID"/>
        </w:rPr>
        <w:footnoteReference w:id="16"/>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 xml:space="preserve">Dalam unsur sengaja ini dapat diartikan adanya maksud untuk melakukan perbuatan yang dilarang, berupa pergi meninggalkan kesatuan, menjauhkan diri </w:t>
      </w:r>
      <w:r w:rsidRPr="00E12C3B">
        <w:rPr>
          <w:color w:val="000000"/>
          <w:lang w:eastAsia="id-ID"/>
        </w:rPr>
        <w:lastRenderedPageBreak/>
        <w:t xml:space="preserve">dari kesatuan tanpa ijin dari komandan satuannya.Sedangkan unsur salahnya merupakan salah satu kealpaan (culpa).Kealpaan adalah bentuk kesalahan yang lebih rendah derajatnya dari pada kesengajaan.Kealpaan dapat dikatakan kebalikan dari kesengajaan, karena didalam kesengajaan akibat yang timbul merupakan akibat yang dikehendaki oleh pelaku, tetapi akibat yang timbul dari kealpaan merupakan akibat yang tidak dikehendaki oleh pelaku. </w:t>
      </w:r>
      <w:r w:rsidRPr="00E12C3B">
        <w:rPr>
          <w:rStyle w:val="FootnoteReference"/>
          <w:color w:val="000000"/>
          <w:lang w:eastAsia="id-ID"/>
        </w:rPr>
        <w:footnoteReference w:id="17"/>
      </w:r>
    </w:p>
    <w:p w:rsidR="00C76C36" w:rsidRPr="00E12C3B" w:rsidRDefault="00C76C36" w:rsidP="00C76C36">
      <w:pPr>
        <w:pStyle w:val="ListParagraph"/>
        <w:numPr>
          <w:ilvl w:val="1"/>
          <w:numId w:val="12"/>
        </w:numPr>
        <w:tabs>
          <w:tab w:val="clear" w:pos="1440"/>
          <w:tab w:val="num" w:pos="360"/>
        </w:tabs>
        <w:autoSpaceDE w:val="0"/>
        <w:autoSpaceDN w:val="0"/>
        <w:adjustRightInd w:val="0"/>
        <w:spacing w:after="0" w:line="480" w:lineRule="auto"/>
        <w:ind w:left="36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Unsur </w:t>
      </w:r>
      <w:r w:rsidRPr="00E12C3B">
        <w:rPr>
          <w:rFonts w:ascii="Times New Roman" w:hAnsi="Times New Roman"/>
          <w:color w:val="000000"/>
          <w:sz w:val="24"/>
          <w:szCs w:val="24"/>
          <w:lang w:val="en-US" w:eastAsia="id-ID"/>
        </w:rPr>
        <w:t>m</w:t>
      </w:r>
      <w:r w:rsidRPr="00E12C3B">
        <w:rPr>
          <w:rFonts w:ascii="Times New Roman" w:hAnsi="Times New Roman"/>
          <w:color w:val="000000"/>
          <w:sz w:val="24"/>
          <w:szCs w:val="24"/>
          <w:lang w:eastAsia="id-ID"/>
        </w:rPr>
        <w:t>elakukan ketidakhadiran tanpa ijin”</w:t>
      </w:r>
    </w:p>
    <w:p w:rsidR="00C76C36" w:rsidRPr="00E12C3B" w:rsidRDefault="00C76C36" w:rsidP="00C76C36">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Melakukan ketidakhadiran tanpa ijin adalah tidak hadir dikesatuan, sebagaimana semestinya seorang prajurit, misalnya mendahului dengan apel pagi, melaksanakan tugas-tugas yang menjadi kewajiban dan tanggung jawabnya, kemudian apel siang. </w:t>
      </w:r>
      <w:r w:rsidRPr="00E12C3B">
        <w:rPr>
          <w:rFonts w:ascii="Times New Roman" w:hAnsi="Times New Roman"/>
          <w:color w:val="000000"/>
          <w:sz w:val="24"/>
          <w:szCs w:val="24"/>
          <w:lang w:val="en-US" w:eastAsia="id-ID"/>
        </w:rPr>
        <w:t>T</w:t>
      </w:r>
      <w:r w:rsidRPr="00E12C3B">
        <w:rPr>
          <w:rFonts w:ascii="Times New Roman" w:hAnsi="Times New Roman"/>
          <w:color w:val="000000"/>
          <w:sz w:val="24"/>
          <w:szCs w:val="24"/>
          <w:lang w:eastAsia="id-ID"/>
        </w:rPr>
        <w:t xml:space="preserve">anpa ijin adalah ketidakhadiran tanpa sepengetahuan atau ijin dari komandan atau pimpinan. Sedangkan yang dimaksud dengan “tidak hadir” adalah tidak berada ditempat yang telah ditentukan untuk melaksanakan tugas yang telah diberikan oleh komandan atau kesatuan atau kewajiban sebagai anggota TNI. </w:t>
      </w:r>
      <w:r w:rsidRPr="00E12C3B">
        <w:rPr>
          <w:rStyle w:val="FootnoteReference"/>
          <w:rFonts w:ascii="Times New Roman" w:hAnsi="Times New Roman"/>
          <w:color w:val="000000"/>
          <w:sz w:val="24"/>
          <w:szCs w:val="24"/>
          <w:lang w:eastAsia="id-ID"/>
        </w:rPr>
        <w:footnoteReference w:id="18"/>
      </w:r>
    </w:p>
    <w:p w:rsidR="00C76C36" w:rsidRPr="00E12C3B" w:rsidRDefault="00C76C36" w:rsidP="00C76C36">
      <w:pPr>
        <w:pStyle w:val="ListParagraph"/>
        <w:numPr>
          <w:ilvl w:val="1"/>
          <w:numId w:val="12"/>
        </w:numPr>
        <w:tabs>
          <w:tab w:val="clear" w:pos="1440"/>
          <w:tab w:val="num" w:pos="360"/>
        </w:tabs>
        <w:autoSpaceDE w:val="0"/>
        <w:autoSpaceDN w:val="0"/>
        <w:adjustRightInd w:val="0"/>
        <w:spacing w:after="0" w:line="480" w:lineRule="auto"/>
        <w:ind w:left="36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Unsur dalam waktu damai lebih dari tiga puluh hari, dalam waktu perang lebih dari empat hari</w:t>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 xml:space="preserve">Dalam waktu damai lebih dari tiga puluh hari berarti seorang prajurit melakukan ketidakhadiran tanpa ijin secara berturut-turut lebih dari tiga puluh hari pada saat Negara Indonesia dalam keadaan damai atau kesatuannya tidak sedang melaksanakan tugas sebagaimana dimaksud dalam pasal 58 KUHPM yaitu perluasan dari keadaan perang.Sedangkan dalam waktu perang lebih dari empat </w:t>
      </w:r>
      <w:r w:rsidRPr="00E12C3B">
        <w:rPr>
          <w:color w:val="000000"/>
          <w:lang w:eastAsia="id-ID"/>
        </w:rPr>
        <w:lastRenderedPageBreak/>
        <w:t>hari berarti seorang prajurit melakukan ketidakhadiran tanpa ijin secara berturut-turut lebih dari empat hari pada saat Negara Indonesia dalam keadaan perang atau kesatuannya sedang melaksanakan tugas sebagaimana dimaksud dalam Pasal 58 KUHPM yaitu perluasan dari keadaan perang.</w:t>
      </w:r>
    </w:p>
    <w:p w:rsidR="00C76C36" w:rsidRPr="00E12C3B" w:rsidRDefault="00C76C36" w:rsidP="00C76C36">
      <w:pPr>
        <w:autoSpaceDE w:val="0"/>
        <w:autoSpaceDN w:val="0"/>
        <w:adjustRightInd w:val="0"/>
        <w:spacing w:line="480" w:lineRule="auto"/>
        <w:ind w:firstLine="709"/>
        <w:jc w:val="both"/>
        <w:rPr>
          <w:color w:val="000000"/>
          <w:lang w:eastAsia="id-ID"/>
        </w:rPr>
      </w:pPr>
      <w:r w:rsidRPr="00E12C3B">
        <w:rPr>
          <w:color w:val="000000"/>
          <w:lang w:eastAsia="id-ID"/>
        </w:rPr>
        <w:t>Menurut S.R Sianturi, tindak pidana desersi selain diatur dalam KUHPM juga disebutkan dalam Pasal 124, Pasal 165 ayat (1) dan Pasal 236 KUHP yang dijelaskan sebagai berikut :</w:t>
      </w:r>
    </w:p>
    <w:p w:rsidR="00C76C36" w:rsidRPr="00E12C3B" w:rsidRDefault="00C76C36" w:rsidP="00C76C36">
      <w:pPr>
        <w:pStyle w:val="ListParagraph"/>
        <w:numPr>
          <w:ilvl w:val="3"/>
          <w:numId w:val="12"/>
        </w:numPr>
        <w:tabs>
          <w:tab w:val="clear" w:pos="2880"/>
          <w:tab w:val="num" w:pos="1080"/>
        </w:tabs>
        <w:autoSpaceDE w:val="0"/>
        <w:autoSpaceDN w:val="0"/>
        <w:adjustRightInd w:val="0"/>
        <w:spacing w:after="0"/>
        <w:ind w:left="108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Berdasarkan Pasal 124 ayat (3) ke-2 KUHP dapat diambil kesimpulan jika seorang militer mengajurkan desersi dalam masyarakat militer, ini berarti bahwa anggota militer tersebut telah melakukan penghianatan dan dapat dituntut berdasarkan Pasal 64 KUHPM (perbarenganTindak Pidana, pasal 63 KUHP); </w:t>
      </w:r>
    </w:p>
    <w:p w:rsidR="00C76C36" w:rsidRPr="00E12C3B" w:rsidRDefault="00C76C36" w:rsidP="00C76C36">
      <w:pPr>
        <w:pStyle w:val="ListParagraph"/>
        <w:numPr>
          <w:ilvl w:val="3"/>
          <w:numId w:val="12"/>
        </w:numPr>
        <w:tabs>
          <w:tab w:val="clear" w:pos="2880"/>
          <w:tab w:val="num" w:pos="1080"/>
        </w:tabs>
        <w:autoSpaceDE w:val="0"/>
        <w:autoSpaceDN w:val="0"/>
        <w:adjustRightInd w:val="0"/>
        <w:spacing w:after="0"/>
        <w:ind w:left="108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Berdasarkan Pasal 165 ayat (1) KUHP dapat diambil kesimpulan anggota militer wajib turut serta memelihara ketertiban umum, ini berarti jika anggota militer dengan sengaja tidak memberitahukan adanya niat untuk desersi dalam waktu perang kepada penguasa yang berwenang dapat dituntut dalam Pasal 133 KUHPM; </w:t>
      </w:r>
    </w:p>
    <w:p w:rsidR="00C76C36" w:rsidRPr="00E12C3B" w:rsidRDefault="00C76C36" w:rsidP="00C76C36">
      <w:pPr>
        <w:pStyle w:val="ListParagraph"/>
        <w:numPr>
          <w:ilvl w:val="3"/>
          <w:numId w:val="12"/>
        </w:numPr>
        <w:tabs>
          <w:tab w:val="clear" w:pos="2880"/>
          <w:tab w:val="num" w:pos="1080"/>
        </w:tabs>
        <w:autoSpaceDE w:val="0"/>
        <w:autoSpaceDN w:val="0"/>
        <w:adjustRightInd w:val="0"/>
        <w:spacing w:after="0"/>
        <w:ind w:left="1080"/>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Berdasarkan Pasal 236 KUHP dapat diambil kesimpulan jika anggota militer dengan cara tersebut Pasal 55 ke-2 KUHP menganjurkan seorang anggota militer supaya melakukan desersi atau mempermudahnya salah satu cara tersebut Pasal 56 KUHP dapat dituntut dalam Pasal 93 KUHPM</w:t>
      </w:r>
      <w:r w:rsidRPr="00E12C3B">
        <w:rPr>
          <w:rFonts w:ascii="Times New Roman" w:hAnsi="Times New Roman"/>
          <w:color w:val="000000"/>
          <w:sz w:val="24"/>
          <w:szCs w:val="24"/>
          <w:lang w:val="en-US" w:eastAsia="id-ID"/>
        </w:rPr>
        <w:t>.</w:t>
      </w:r>
      <w:r w:rsidRPr="00E12C3B">
        <w:rPr>
          <w:rStyle w:val="FootnoteReference"/>
          <w:rFonts w:ascii="Times New Roman" w:hAnsi="Times New Roman"/>
          <w:color w:val="000000"/>
          <w:sz w:val="24"/>
          <w:szCs w:val="24"/>
          <w:lang w:val="en-US" w:eastAsia="id-ID"/>
        </w:rPr>
        <w:footnoteReference w:id="19"/>
      </w:r>
    </w:p>
    <w:p w:rsidR="00C76C36" w:rsidRPr="00E12C3B" w:rsidRDefault="00C76C36" w:rsidP="00C76C36">
      <w:pPr>
        <w:pStyle w:val="ListParagraph"/>
        <w:autoSpaceDE w:val="0"/>
        <w:autoSpaceDN w:val="0"/>
        <w:adjustRightInd w:val="0"/>
        <w:spacing w:after="0"/>
        <w:ind w:left="1080"/>
        <w:jc w:val="both"/>
        <w:rPr>
          <w:rFonts w:ascii="Times New Roman" w:hAnsi="Times New Roman"/>
          <w:color w:val="000000"/>
          <w:sz w:val="24"/>
          <w:szCs w:val="24"/>
          <w:lang w:eastAsia="id-ID"/>
        </w:rPr>
      </w:pPr>
    </w:p>
    <w:p w:rsidR="00C76C36" w:rsidRPr="00E12C3B" w:rsidRDefault="00C76C36" w:rsidP="00C76C36">
      <w:pPr>
        <w:autoSpaceDE w:val="0"/>
        <w:autoSpaceDN w:val="0"/>
        <w:adjustRightInd w:val="0"/>
        <w:spacing w:line="480" w:lineRule="auto"/>
        <w:ind w:firstLine="709"/>
        <w:jc w:val="both"/>
      </w:pPr>
      <w:r w:rsidRPr="00E12C3B">
        <w:t>Bentuk-bentuk desersi seperti yang diuraikan diatas pada umumnya bukan merupakan suatu kejahatan dalam masyarakat umum, tetapi dalam lingkungan militer, desersi ditentukan sebagai suatu kejahatan karena terdapat hukum khusus dan lebih keras dan berat bagi anggota TNI.</w:t>
      </w:r>
    </w:p>
    <w:p w:rsidR="00C76C36" w:rsidRPr="00E12C3B" w:rsidRDefault="00C76C36" w:rsidP="00C76C36">
      <w:pPr>
        <w:autoSpaceDE w:val="0"/>
        <w:autoSpaceDN w:val="0"/>
        <w:adjustRightInd w:val="0"/>
        <w:ind w:firstLine="709"/>
        <w:jc w:val="both"/>
      </w:pPr>
    </w:p>
    <w:p w:rsidR="00C76C36" w:rsidRPr="00E12C3B" w:rsidRDefault="00C76C36" w:rsidP="00C76C36">
      <w:pPr>
        <w:pStyle w:val="ListParagraph"/>
        <w:numPr>
          <w:ilvl w:val="0"/>
          <w:numId w:val="12"/>
        </w:numPr>
        <w:tabs>
          <w:tab w:val="clear" w:pos="720"/>
          <w:tab w:val="num" w:pos="360"/>
        </w:tabs>
        <w:autoSpaceDE w:val="0"/>
        <w:autoSpaceDN w:val="0"/>
        <w:adjustRightInd w:val="0"/>
        <w:spacing w:after="0" w:line="480" w:lineRule="auto"/>
        <w:ind w:left="360"/>
        <w:rPr>
          <w:rFonts w:ascii="Times New Roman" w:hAnsi="Times New Roman"/>
          <w:b/>
          <w:color w:val="000000"/>
          <w:sz w:val="24"/>
          <w:szCs w:val="24"/>
          <w:lang w:eastAsia="id-ID"/>
        </w:rPr>
      </w:pPr>
      <w:bookmarkStart w:id="6" w:name="_Hlk160465498"/>
      <w:r w:rsidRPr="00E12C3B">
        <w:rPr>
          <w:rFonts w:ascii="Times New Roman" w:hAnsi="Times New Roman"/>
          <w:b/>
          <w:color w:val="000000"/>
          <w:sz w:val="24"/>
          <w:szCs w:val="24"/>
          <w:lang w:eastAsia="id-ID"/>
        </w:rPr>
        <w:t>Ancaman</w:t>
      </w:r>
      <w:r w:rsidRPr="00E12C3B">
        <w:rPr>
          <w:rFonts w:ascii="Times New Roman" w:hAnsi="Times New Roman"/>
          <w:b/>
          <w:color w:val="000000"/>
          <w:sz w:val="24"/>
          <w:szCs w:val="24"/>
          <w:lang w:val="en-US" w:eastAsia="id-ID"/>
        </w:rPr>
        <w:t>/Sanksi Tindak</w:t>
      </w:r>
      <w:r w:rsidRPr="00E12C3B">
        <w:rPr>
          <w:rFonts w:ascii="Times New Roman" w:hAnsi="Times New Roman"/>
          <w:b/>
          <w:color w:val="000000"/>
          <w:sz w:val="24"/>
          <w:szCs w:val="24"/>
          <w:lang w:eastAsia="id-ID"/>
        </w:rPr>
        <w:t xml:space="preserve"> Pidana Desersi </w:t>
      </w:r>
      <w:bookmarkEnd w:id="6"/>
    </w:p>
    <w:p w:rsidR="00C76C36" w:rsidRPr="00E12C3B" w:rsidRDefault="00C76C36" w:rsidP="00C76C36">
      <w:pPr>
        <w:autoSpaceDE w:val="0"/>
        <w:autoSpaceDN w:val="0"/>
        <w:adjustRightInd w:val="0"/>
        <w:spacing w:line="456" w:lineRule="auto"/>
        <w:ind w:firstLine="709"/>
        <w:jc w:val="both"/>
      </w:pPr>
      <w:r w:rsidRPr="00E12C3B">
        <w:lastRenderedPageBreak/>
        <w:t>Ancaman tindak pidana desersi diatur dalam Pasal 87 ayat (2) dan ayat (3) KUHPM. Pada Pasal 87 ayat (2) KUHPM ancaman pidana penjara maksimum 2 (dua) tahun 8 (delapan) bulan untuk desersi yang dilakukan dalam waktu damai, dan pasal 87 ayat (3) KUHPM ancaman pidana penjara maksimum 8 (delapan) tahun (6) bulan untuk desersi yang dilakukan dalam waktu perang.</w:t>
      </w:r>
      <w:r w:rsidRPr="00E12C3B">
        <w:rPr>
          <w:rStyle w:val="FootnoteReference"/>
        </w:rPr>
        <w:footnoteReference w:id="20"/>
      </w:r>
      <w:r w:rsidRPr="00E12C3B">
        <w:t xml:space="preserve"> Dengan demikian tindak pidana desersi proses penyelesaian hukumnya secara pidana, karena ancaman pidananya lebih dari 3 bulan. Dan prajurit TNI yang melakukan tindak pidana ringan, penyelesaian perkaranya dapat dilakukan melalui hukum disiplin prajurit.</w:t>
      </w:r>
    </w:p>
    <w:p w:rsidR="00C76C36" w:rsidRPr="00E12C3B" w:rsidRDefault="00C76C36" w:rsidP="00C76C36">
      <w:pPr>
        <w:autoSpaceDE w:val="0"/>
        <w:autoSpaceDN w:val="0"/>
        <w:adjustRightInd w:val="0"/>
        <w:spacing w:line="456" w:lineRule="auto"/>
        <w:ind w:firstLine="709"/>
        <w:jc w:val="both"/>
        <w:rPr>
          <w:color w:val="000000"/>
          <w:lang w:eastAsia="id-ID"/>
        </w:rPr>
      </w:pPr>
      <w:r w:rsidRPr="00E12C3B">
        <w:rPr>
          <w:color w:val="000000"/>
          <w:lang w:eastAsia="id-ID"/>
        </w:rPr>
        <w:t>Menurut Undang-Undang Nomor 26 Tahun 1997 tentang Hukum Disiplin ABRI (sekarang Hukum Disiplin Prajurit), yang diamksud dengan tindak pidana sedemikian ringan sifatnya adalah suatu tindak pidana yang memenuhi syarat-syarat sebagai berikut :</w:t>
      </w:r>
    </w:p>
    <w:p w:rsidR="00C76C36" w:rsidRPr="00E12C3B" w:rsidRDefault="00C76C36" w:rsidP="00C76C36">
      <w:pPr>
        <w:pStyle w:val="ListParagraph"/>
        <w:numPr>
          <w:ilvl w:val="1"/>
          <w:numId w:val="12"/>
        </w:numPr>
        <w:tabs>
          <w:tab w:val="clear" w:pos="1440"/>
          <w:tab w:val="num" w:pos="1069"/>
        </w:tabs>
        <w:autoSpaceDE w:val="0"/>
        <w:autoSpaceDN w:val="0"/>
        <w:adjustRightInd w:val="0"/>
        <w:spacing w:after="0"/>
        <w:ind w:left="106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Tindak pidana yang diancam dengan pidana penjara paling lama 3 (tiga) bulan ataukurungan paling lama 6 (enam) bulan atau denda paling tinggi Rp 6.000.000 (enam juta rupiah). </w:t>
      </w:r>
    </w:p>
    <w:p w:rsidR="00C76C36" w:rsidRPr="00E12C3B" w:rsidRDefault="00C76C36" w:rsidP="00C76C36">
      <w:pPr>
        <w:pStyle w:val="ListParagraph"/>
        <w:numPr>
          <w:ilvl w:val="1"/>
          <w:numId w:val="12"/>
        </w:numPr>
        <w:tabs>
          <w:tab w:val="clear" w:pos="1440"/>
          <w:tab w:val="num" w:pos="1069"/>
        </w:tabs>
        <w:autoSpaceDE w:val="0"/>
        <w:autoSpaceDN w:val="0"/>
        <w:adjustRightInd w:val="0"/>
        <w:spacing w:after="0"/>
        <w:ind w:left="106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erkaranya sederhana dan mudah pembuktiannya. </w:t>
      </w:r>
    </w:p>
    <w:p w:rsidR="00C76C36" w:rsidRPr="00E12C3B" w:rsidRDefault="00C76C36" w:rsidP="00C76C36">
      <w:pPr>
        <w:pStyle w:val="ListParagraph"/>
        <w:numPr>
          <w:ilvl w:val="1"/>
          <w:numId w:val="12"/>
        </w:numPr>
        <w:tabs>
          <w:tab w:val="clear" w:pos="1440"/>
          <w:tab w:val="num" w:pos="1069"/>
        </w:tabs>
        <w:autoSpaceDE w:val="0"/>
        <w:autoSpaceDN w:val="0"/>
        <w:adjustRightInd w:val="0"/>
        <w:spacing w:after="0"/>
        <w:ind w:left="106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Tindak pidana yang terjadi tidak akan mengakibatkan terganggunya kepentingan TNI atau umum. </w:t>
      </w:r>
      <w:r w:rsidRPr="00E12C3B">
        <w:rPr>
          <w:rStyle w:val="FootnoteReference"/>
          <w:rFonts w:ascii="Times New Roman" w:hAnsi="Times New Roman"/>
          <w:color w:val="000000"/>
          <w:sz w:val="24"/>
          <w:szCs w:val="24"/>
          <w:lang w:eastAsia="id-ID"/>
        </w:rPr>
        <w:footnoteReference w:id="21"/>
      </w:r>
    </w:p>
    <w:p w:rsidR="00C76C36" w:rsidRPr="00E12C3B" w:rsidRDefault="00C76C36" w:rsidP="00C76C36">
      <w:pPr>
        <w:pStyle w:val="ListParagraph"/>
        <w:autoSpaceDE w:val="0"/>
        <w:autoSpaceDN w:val="0"/>
        <w:adjustRightInd w:val="0"/>
        <w:spacing w:after="0"/>
        <w:ind w:left="1069"/>
        <w:jc w:val="both"/>
        <w:rPr>
          <w:rFonts w:ascii="Times New Roman" w:hAnsi="Times New Roman"/>
          <w:color w:val="000000"/>
          <w:sz w:val="24"/>
          <w:szCs w:val="24"/>
          <w:lang w:eastAsia="id-ID"/>
        </w:rPr>
      </w:pPr>
    </w:p>
    <w:p w:rsidR="00C76C36" w:rsidRPr="00E12C3B" w:rsidRDefault="00C76C36" w:rsidP="00C76C36">
      <w:pPr>
        <w:autoSpaceDE w:val="0"/>
        <w:autoSpaceDN w:val="0"/>
        <w:adjustRightInd w:val="0"/>
        <w:spacing w:line="480" w:lineRule="auto"/>
        <w:ind w:firstLine="709"/>
        <w:jc w:val="both"/>
      </w:pPr>
      <w:r w:rsidRPr="00E12C3B">
        <w:t>Pasal 5 ayat (1) Undang-Undang Nomor 26 Tahun 1997 tentang Hukum Disiplin Prajurit meliputi pelanggaran hukum disiplin murni dan pelanggaran hukum disiplin tidak murni.</w:t>
      </w:r>
      <w:r w:rsidRPr="00E12C3B">
        <w:rPr>
          <w:rStyle w:val="FootnoteReference"/>
        </w:rPr>
        <w:footnoteReference w:id="22"/>
      </w:r>
      <w:r w:rsidRPr="00E12C3B">
        <w:t xml:space="preserve">Pelanggaran hukum disiplin murni merupakan setiap perbuatan yang bukan tindak pidana tetapi bertentangan dengan perintah kedinasan atau perbuatan yang tidak sesuai dengan tata kehidupan </w:t>
      </w:r>
      <w:r w:rsidRPr="00E12C3B">
        <w:lastRenderedPageBreak/>
        <w:t>prajurit.Sedangkan hukum disiplin tidak murni adalah setiap perbuatan yang merupakan tindak pidana yang sedemikian ringan sifatnya sehingga dapat diselesaikan dengan hukumdisiplin prajurit.</w:t>
      </w:r>
    </w:p>
    <w:p w:rsidR="00C76C36" w:rsidRPr="00E12C3B" w:rsidRDefault="00C76C36" w:rsidP="00C76C36">
      <w:pPr>
        <w:autoSpaceDE w:val="0"/>
        <w:autoSpaceDN w:val="0"/>
        <w:adjustRightInd w:val="0"/>
        <w:spacing w:line="516" w:lineRule="auto"/>
        <w:ind w:firstLine="709"/>
        <w:jc w:val="both"/>
      </w:pPr>
      <w:r w:rsidRPr="00E12C3B">
        <w:t>Pemberatan ancaman pidana desersi diatur dalam Pasal 88 KUHPM, diamana ancaman pidananya di duakalikan dari Pasal 87 KUHPM. Pasal 88 KUHPM</w:t>
      </w:r>
      <w:r w:rsidRPr="00E12C3B">
        <w:rPr>
          <w:color w:val="000000"/>
          <w:lang w:eastAsia="id-ID"/>
        </w:rPr>
        <w:t xml:space="preserve"> : Maksimum ancaman pidana yang ditetapkan dalam Pasal 86 dan 87 didua kalikan.</w:t>
      </w:r>
    </w:p>
    <w:p w:rsidR="00C76C36" w:rsidRPr="00E12C3B" w:rsidRDefault="00C76C36" w:rsidP="00C76C36">
      <w:pPr>
        <w:pStyle w:val="ListParagraph"/>
        <w:tabs>
          <w:tab w:val="left" w:pos="709"/>
        </w:tabs>
        <w:autoSpaceDE w:val="0"/>
        <w:autoSpaceDN w:val="0"/>
        <w:adjustRightInd w:val="0"/>
        <w:spacing w:after="0" w:line="480" w:lineRule="auto"/>
        <w:ind w:left="709"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Ke-1 </w:t>
      </w:r>
      <w:r w:rsidRPr="00E12C3B">
        <w:rPr>
          <w:rFonts w:ascii="Times New Roman" w:hAnsi="Times New Roman"/>
          <w:color w:val="000000"/>
          <w:sz w:val="24"/>
          <w:szCs w:val="24"/>
          <w:lang w:eastAsia="id-ID"/>
        </w:rPr>
        <w:tab/>
        <w:t xml:space="preserve">Apabila ketika melakukan kejahatan itu belum lewat lima tahun, sejak petindak telah menjalani seluruhnya atau sebagian dari pidana yang dijatuhkan kepadanya dengan putusan, karena melakukan desersi atau dengan sengaja melakukan ketidakhadiran tanpa ijin atau sajak pidana itu seluruhnya dihapuskan baginya, atau apabila melakukan kejahatan itu hak menjalankan pidana tersebut belum daluwarsa. </w:t>
      </w:r>
    </w:p>
    <w:p w:rsidR="00C76C36" w:rsidRPr="00E12C3B" w:rsidRDefault="00C76C36" w:rsidP="00C76C36">
      <w:pPr>
        <w:pStyle w:val="ListParagraph"/>
        <w:tabs>
          <w:tab w:val="left" w:pos="709"/>
        </w:tabs>
        <w:autoSpaceDE w:val="0"/>
        <w:autoSpaceDN w:val="0"/>
        <w:adjustRightInd w:val="0"/>
        <w:spacing w:after="0" w:line="516" w:lineRule="auto"/>
        <w:ind w:left="709"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Ke-2 Apabiala dua orang atau lebih, masing-masing untuk diri sendiri, dalam melakukan salah satu kejahatan-kejahatan tersebut dalam pasal-pasal 86 dan 87, pergi secara bersama-sama atau sebagai kelanjutan dari pemufakatan jahat.</w:t>
      </w:r>
    </w:p>
    <w:p w:rsidR="00C76C36" w:rsidRPr="00E12C3B" w:rsidRDefault="00C76C36" w:rsidP="00C76C36">
      <w:pPr>
        <w:pStyle w:val="ListParagraph"/>
        <w:tabs>
          <w:tab w:val="left" w:pos="709"/>
        </w:tabs>
        <w:autoSpaceDE w:val="0"/>
        <w:autoSpaceDN w:val="0"/>
        <w:adjustRightInd w:val="0"/>
        <w:spacing w:after="0" w:line="456" w:lineRule="auto"/>
        <w:ind w:left="709"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 Ke-3 Apabila dia petindak adalah militer pemegang komando. </w:t>
      </w:r>
    </w:p>
    <w:p w:rsidR="00C76C36" w:rsidRPr="00E12C3B" w:rsidRDefault="00C76C36" w:rsidP="00C76C36">
      <w:pPr>
        <w:pStyle w:val="ListParagraph"/>
        <w:tabs>
          <w:tab w:val="left" w:pos="709"/>
        </w:tabs>
        <w:autoSpaceDE w:val="0"/>
        <w:autoSpaceDN w:val="0"/>
        <w:adjustRightInd w:val="0"/>
        <w:spacing w:after="0" w:line="480" w:lineRule="auto"/>
        <w:ind w:left="709"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Ke-4 Apabila dia melakukan melakukan kejahatan itu, sedang dalam menjalankan dinas. </w:t>
      </w:r>
    </w:p>
    <w:p w:rsidR="00C76C36" w:rsidRPr="00E12C3B" w:rsidRDefault="00C76C36" w:rsidP="00C76C36">
      <w:pPr>
        <w:pStyle w:val="ListParagraph"/>
        <w:tabs>
          <w:tab w:val="left" w:pos="709"/>
        </w:tabs>
        <w:autoSpaceDE w:val="0"/>
        <w:autoSpaceDN w:val="0"/>
        <w:adjustRightInd w:val="0"/>
        <w:spacing w:after="0" w:line="456" w:lineRule="auto"/>
        <w:ind w:left="709"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Ke-5 Apabila dia pergi kea tau di luar negeri. </w:t>
      </w:r>
    </w:p>
    <w:p w:rsidR="00C76C36" w:rsidRPr="00E12C3B" w:rsidRDefault="00C76C36" w:rsidP="00C76C36">
      <w:pPr>
        <w:pStyle w:val="ListParagraph"/>
        <w:tabs>
          <w:tab w:val="left" w:pos="709"/>
        </w:tabs>
        <w:autoSpaceDE w:val="0"/>
        <w:autoSpaceDN w:val="0"/>
        <w:adjustRightInd w:val="0"/>
        <w:spacing w:after="0" w:line="456" w:lineRule="auto"/>
        <w:ind w:left="709"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Ke-6 Apabila dia melakukan kejahatan itu dengan melakukan suatu perahu laut, pesawat terbang atau kendaraan yang termasuk pada angkatan perang. </w:t>
      </w:r>
    </w:p>
    <w:p w:rsidR="00C76C36" w:rsidRPr="00E12C3B" w:rsidRDefault="00C76C36" w:rsidP="00C76C36">
      <w:pPr>
        <w:pStyle w:val="ListParagraph"/>
        <w:tabs>
          <w:tab w:val="left" w:pos="709"/>
        </w:tabs>
        <w:autoSpaceDE w:val="0"/>
        <w:autoSpaceDN w:val="0"/>
        <w:adjustRightInd w:val="0"/>
        <w:spacing w:after="0" w:line="456" w:lineRule="auto"/>
        <w:ind w:left="709" w:hanging="709"/>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lastRenderedPageBreak/>
        <w:t xml:space="preserve">Ke-7 Apabila dia melakukan kejahatan itu dengan membawa serta suatu binatang yang digunakan untuk kebutuhan angkatan perang, senjata atau amunisi. </w:t>
      </w:r>
    </w:p>
    <w:p w:rsidR="00C76C36" w:rsidRPr="00E12C3B" w:rsidRDefault="00C76C36" w:rsidP="00C76C36">
      <w:pPr>
        <w:pStyle w:val="ListParagraph"/>
        <w:autoSpaceDE w:val="0"/>
        <w:autoSpaceDN w:val="0"/>
        <w:adjustRightInd w:val="0"/>
        <w:spacing w:after="0" w:line="480" w:lineRule="auto"/>
        <w:ind w:left="0" w:firstLine="709"/>
        <w:jc w:val="both"/>
        <w:rPr>
          <w:rFonts w:ascii="Times New Roman" w:hAnsi="Times New Roman"/>
          <w:sz w:val="24"/>
          <w:szCs w:val="24"/>
        </w:rPr>
      </w:pPr>
      <w:r w:rsidRPr="00E12C3B">
        <w:rPr>
          <w:rFonts w:ascii="Times New Roman" w:hAnsi="Times New Roman"/>
          <w:sz w:val="24"/>
          <w:szCs w:val="24"/>
        </w:rPr>
        <w:t>Dengan pengertian, bahwa maksimum ketentuan ancaman pidana tersebut pada pasal 87 ayat ketiga dinaikkan menjadi lima belas tahun.Apabila kejahatan tersebut dalam Pasal 86 atau kejahatan desersi dalam keadaan damai dibarengi dengan dua atau lebih keadaan-keadaan dalam ayat pertama ke-1 sampai ke-7, maka maksimum ancaman pidana yang ditentukan pada ayat tersebut ditambah dengan setengahnya.</w:t>
      </w:r>
    </w:p>
    <w:p w:rsidR="00C76C36" w:rsidRPr="00E12C3B" w:rsidRDefault="00C76C36" w:rsidP="00C76C36">
      <w:pPr>
        <w:pStyle w:val="ListParagraph"/>
        <w:autoSpaceDE w:val="0"/>
        <w:autoSpaceDN w:val="0"/>
        <w:adjustRightInd w:val="0"/>
        <w:spacing w:after="0" w:line="456" w:lineRule="auto"/>
        <w:ind w:left="0" w:firstLine="709"/>
        <w:jc w:val="both"/>
        <w:rPr>
          <w:rFonts w:ascii="Times New Roman" w:hAnsi="Times New Roman"/>
          <w:color w:val="000000"/>
          <w:sz w:val="24"/>
          <w:szCs w:val="24"/>
          <w:lang w:eastAsia="id-ID"/>
        </w:rPr>
      </w:pPr>
      <w:r w:rsidRPr="00E12C3B">
        <w:rPr>
          <w:rFonts w:ascii="Times New Roman" w:hAnsi="Times New Roman"/>
          <w:sz w:val="24"/>
          <w:szCs w:val="24"/>
        </w:rPr>
        <w:t>Berdasarkan rumusan Pasal 88 KUHPM menunjukkan bahwa ancaman pidana desersi dalam Pasal 87 KUHPM diduakalikan, dengan syarat:</w:t>
      </w:r>
    </w:p>
    <w:p w:rsidR="00C76C36" w:rsidRPr="00E12C3B" w:rsidRDefault="00C76C36" w:rsidP="00C76C36">
      <w:pPr>
        <w:pStyle w:val="ListParagraph"/>
        <w:numPr>
          <w:ilvl w:val="3"/>
          <w:numId w:val="12"/>
        </w:numPr>
        <w:tabs>
          <w:tab w:val="clear" w:pos="2880"/>
        </w:tabs>
        <w:autoSpaceDE w:val="0"/>
        <w:autoSpaceDN w:val="0"/>
        <w:adjustRightInd w:val="0"/>
        <w:spacing w:after="0" w:line="240" w:lineRule="auto"/>
        <w:ind w:left="993" w:hanging="284"/>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Karena pengulangan belum lewat lima tahun </w:t>
      </w:r>
    </w:p>
    <w:p w:rsidR="00C76C36" w:rsidRPr="00E12C3B" w:rsidRDefault="00C76C36" w:rsidP="00C76C36">
      <w:pPr>
        <w:pStyle w:val="ListParagraph"/>
        <w:numPr>
          <w:ilvl w:val="3"/>
          <w:numId w:val="12"/>
        </w:numPr>
        <w:tabs>
          <w:tab w:val="clear" w:pos="2880"/>
        </w:tabs>
        <w:autoSpaceDE w:val="0"/>
        <w:autoSpaceDN w:val="0"/>
        <w:adjustRightInd w:val="0"/>
        <w:spacing w:after="0" w:line="240" w:lineRule="auto"/>
        <w:ind w:left="993" w:hanging="284"/>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Dua orang atau lebih pergi secara bersama-sama </w:t>
      </w:r>
    </w:p>
    <w:p w:rsidR="00C76C36" w:rsidRPr="00E12C3B" w:rsidRDefault="00C76C36" w:rsidP="00C76C36">
      <w:pPr>
        <w:pStyle w:val="ListParagraph"/>
        <w:numPr>
          <w:ilvl w:val="3"/>
          <w:numId w:val="12"/>
        </w:numPr>
        <w:tabs>
          <w:tab w:val="clear" w:pos="2880"/>
        </w:tabs>
        <w:autoSpaceDE w:val="0"/>
        <w:autoSpaceDN w:val="0"/>
        <w:adjustRightInd w:val="0"/>
        <w:spacing w:after="0" w:line="240" w:lineRule="auto"/>
        <w:ind w:left="993" w:hanging="284"/>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Jika militer pemegang komando sebagai subyek </w:t>
      </w:r>
    </w:p>
    <w:p w:rsidR="00C76C36" w:rsidRPr="00E12C3B" w:rsidRDefault="00C76C36" w:rsidP="00C76C36">
      <w:pPr>
        <w:pStyle w:val="ListParagraph"/>
        <w:numPr>
          <w:ilvl w:val="3"/>
          <w:numId w:val="12"/>
        </w:numPr>
        <w:tabs>
          <w:tab w:val="clear" w:pos="2880"/>
        </w:tabs>
        <w:autoSpaceDE w:val="0"/>
        <w:autoSpaceDN w:val="0"/>
        <w:adjustRightInd w:val="0"/>
        <w:spacing w:after="0" w:line="240" w:lineRule="auto"/>
        <w:ind w:left="993" w:hanging="284"/>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Sedang menjalankan dinas </w:t>
      </w:r>
    </w:p>
    <w:p w:rsidR="00C76C36" w:rsidRPr="00E12C3B" w:rsidRDefault="00C76C36" w:rsidP="00C76C36">
      <w:pPr>
        <w:pStyle w:val="ListParagraph"/>
        <w:numPr>
          <w:ilvl w:val="3"/>
          <w:numId w:val="12"/>
        </w:numPr>
        <w:tabs>
          <w:tab w:val="clear" w:pos="2880"/>
        </w:tabs>
        <w:autoSpaceDE w:val="0"/>
        <w:autoSpaceDN w:val="0"/>
        <w:adjustRightInd w:val="0"/>
        <w:spacing w:after="0" w:line="240" w:lineRule="auto"/>
        <w:ind w:left="993" w:hanging="28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Pergi ke atau di luar negeri </w:t>
      </w:r>
    </w:p>
    <w:p w:rsidR="00C76C36" w:rsidRPr="00E12C3B" w:rsidRDefault="00C76C36" w:rsidP="00C76C36">
      <w:pPr>
        <w:pStyle w:val="ListParagraph"/>
        <w:numPr>
          <w:ilvl w:val="3"/>
          <w:numId w:val="12"/>
        </w:numPr>
        <w:tabs>
          <w:tab w:val="clear" w:pos="2880"/>
        </w:tabs>
        <w:autoSpaceDE w:val="0"/>
        <w:autoSpaceDN w:val="0"/>
        <w:adjustRightInd w:val="0"/>
        <w:spacing w:after="0" w:line="240" w:lineRule="auto"/>
        <w:ind w:left="993" w:hanging="28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Dengan menggunakan perahu laut, pesewat terbang atau kendaraan angkatan perang </w:t>
      </w:r>
    </w:p>
    <w:p w:rsidR="00C76C36" w:rsidRPr="00E12C3B" w:rsidRDefault="00C76C36" w:rsidP="00C76C36">
      <w:pPr>
        <w:pStyle w:val="ListParagraph"/>
        <w:numPr>
          <w:ilvl w:val="3"/>
          <w:numId w:val="12"/>
        </w:numPr>
        <w:tabs>
          <w:tab w:val="clear" w:pos="2880"/>
        </w:tabs>
        <w:autoSpaceDE w:val="0"/>
        <w:autoSpaceDN w:val="0"/>
        <w:adjustRightInd w:val="0"/>
        <w:spacing w:after="0" w:line="240" w:lineRule="auto"/>
        <w:ind w:left="993" w:hanging="28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 xml:space="preserve">Dengan membawa binatang, senjata atau amunisi </w:t>
      </w:r>
    </w:p>
    <w:p w:rsidR="00C76C36" w:rsidRDefault="00C76C36" w:rsidP="00C76C36">
      <w:pPr>
        <w:pStyle w:val="ListParagraph"/>
        <w:numPr>
          <w:ilvl w:val="3"/>
          <w:numId w:val="12"/>
        </w:numPr>
        <w:tabs>
          <w:tab w:val="clear" w:pos="2880"/>
        </w:tabs>
        <w:autoSpaceDE w:val="0"/>
        <w:autoSpaceDN w:val="0"/>
        <w:adjustRightInd w:val="0"/>
        <w:spacing w:after="0" w:line="240" w:lineRule="auto"/>
        <w:ind w:left="993" w:hanging="284"/>
        <w:jc w:val="both"/>
        <w:rPr>
          <w:rFonts w:ascii="Times New Roman" w:hAnsi="Times New Roman"/>
          <w:color w:val="000000"/>
          <w:sz w:val="24"/>
          <w:szCs w:val="24"/>
          <w:lang w:eastAsia="id-ID"/>
        </w:rPr>
      </w:pPr>
      <w:r w:rsidRPr="00E12C3B">
        <w:rPr>
          <w:rFonts w:ascii="Times New Roman" w:hAnsi="Times New Roman"/>
          <w:color w:val="000000"/>
          <w:sz w:val="24"/>
          <w:szCs w:val="24"/>
          <w:lang w:eastAsia="id-ID"/>
        </w:rPr>
        <w:t>Perbarengan keadaan-keadaan yang memberatkan</w:t>
      </w:r>
      <w:r w:rsidRPr="00E12C3B">
        <w:rPr>
          <w:rFonts w:ascii="Times New Roman" w:hAnsi="Times New Roman"/>
          <w:color w:val="000000"/>
          <w:sz w:val="24"/>
          <w:szCs w:val="24"/>
          <w:lang w:val="en-US" w:eastAsia="id-ID"/>
        </w:rPr>
        <w:t>.</w:t>
      </w:r>
      <w:r w:rsidRPr="00E12C3B">
        <w:rPr>
          <w:rStyle w:val="FootnoteReference"/>
          <w:rFonts w:ascii="Times New Roman" w:hAnsi="Times New Roman"/>
          <w:color w:val="000000"/>
          <w:sz w:val="24"/>
          <w:szCs w:val="24"/>
          <w:lang w:val="en-US" w:eastAsia="id-ID"/>
        </w:rPr>
        <w:footnoteReference w:id="23"/>
      </w:r>
    </w:p>
    <w:p w:rsidR="00C76C36" w:rsidRPr="00E12C3B" w:rsidRDefault="00C76C36" w:rsidP="00C76C36">
      <w:pPr>
        <w:pStyle w:val="ListParagraph"/>
        <w:autoSpaceDE w:val="0"/>
        <w:autoSpaceDN w:val="0"/>
        <w:adjustRightInd w:val="0"/>
        <w:spacing w:after="0" w:line="240" w:lineRule="auto"/>
        <w:ind w:left="993"/>
        <w:jc w:val="both"/>
        <w:rPr>
          <w:rFonts w:ascii="Times New Roman" w:hAnsi="Times New Roman"/>
          <w:color w:val="000000"/>
          <w:sz w:val="24"/>
          <w:szCs w:val="24"/>
          <w:lang w:eastAsia="id-ID"/>
        </w:rPr>
      </w:pPr>
    </w:p>
    <w:p w:rsidR="00C76C36" w:rsidRPr="00E12C3B" w:rsidRDefault="00C76C36" w:rsidP="00C76C36">
      <w:pPr>
        <w:autoSpaceDE w:val="0"/>
        <w:autoSpaceDN w:val="0"/>
        <w:adjustRightInd w:val="0"/>
        <w:spacing w:line="480" w:lineRule="auto"/>
        <w:ind w:firstLine="709"/>
        <w:jc w:val="both"/>
        <w:rPr>
          <w:lang w:eastAsia="id-ID"/>
        </w:rPr>
      </w:pPr>
      <w:r w:rsidRPr="00E12C3B">
        <w:rPr>
          <w:lang w:val="sv-SE"/>
        </w:rPr>
        <w:t>B</w:t>
      </w:r>
      <w:r w:rsidRPr="00E12C3B">
        <w:rPr>
          <w:lang w:eastAsia="id-ID"/>
        </w:rPr>
        <w:t xml:space="preserve">agi prajurit TNI yang melakukan tindak pidana khususnya tindak pidana desersi dapat dikenakan pemberatan hukuman karena dia melakukan perulangan atau </w:t>
      </w:r>
      <w:r w:rsidRPr="00E12C3B">
        <w:rPr>
          <w:i/>
          <w:lang w:eastAsia="id-ID"/>
        </w:rPr>
        <w:t xml:space="preserve">recided </w:t>
      </w:r>
      <w:r w:rsidRPr="00E12C3B">
        <w:rPr>
          <w:lang w:eastAsia="id-ID"/>
        </w:rPr>
        <w:t xml:space="preserve">adalah apabila pelaku pernah dijatuhi hukuman oleh hakim karena melakukan kejahatan yang serupa dengan kejahatan yang ia lakukan sekarang dalam hal ini desersi atau tidak hadir dengan tidak sah karena disengaja. Perbuatan ini baru dikatakan pengulangan apabila masa kadaluarsa belum </w:t>
      </w:r>
      <w:r w:rsidRPr="00E12C3B">
        <w:rPr>
          <w:lang w:eastAsia="id-ID"/>
        </w:rPr>
        <w:lastRenderedPageBreak/>
        <w:t>habis.Khusus untuk kejahatan-kejahatan desersi masa kadaluarsanya 12 tahun sesuai dengan ketentuan Pasal 41 KUHPM.</w:t>
      </w:r>
      <w:r w:rsidRPr="00E12C3B">
        <w:rPr>
          <w:rStyle w:val="FootnoteReference"/>
          <w:lang w:eastAsia="id-ID"/>
        </w:rPr>
        <w:footnoteReference w:id="24"/>
      </w:r>
    </w:p>
    <w:p w:rsidR="00C76C36" w:rsidRPr="00E12C3B" w:rsidRDefault="00C76C36" w:rsidP="00C76C36">
      <w:pPr>
        <w:autoSpaceDE w:val="0"/>
        <w:autoSpaceDN w:val="0"/>
        <w:adjustRightInd w:val="0"/>
        <w:spacing w:line="480" w:lineRule="auto"/>
        <w:ind w:firstLine="709"/>
        <w:jc w:val="both"/>
        <w:rPr>
          <w:lang w:eastAsia="id-ID"/>
        </w:rPr>
      </w:pPr>
      <w:r w:rsidRPr="00E12C3B">
        <w:rPr>
          <w:lang w:eastAsia="id-ID"/>
        </w:rPr>
        <w:t>Hak yang juga dapat memberatkan jika tindak pidana desersi itu tidak hadir dengan tidak sah dilakukan dengan jalan pergi keluar negeri atau dilakukan di luar negeri dan yang dimaksud di luar negeri adalah militer tersebut pergi ke luar wilayah Republik Indonesia.</w:t>
      </w:r>
      <w:r w:rsidRPr="00E12C3B">
        <w:rPr>
          <w:rStyle w:val="FootnoteReference"/>
          <w:lang w:eastAsia="id-ID"/>
        </w:rPr>
        <w:footnoteReference w:id="25"/>
      </w:r>
      <w:r w:rsidRPr="00E12C3B">
        <w:rPr>
          <w:lang w:eastAsia="id-ID"/>
        </w:rPr>
        <w:t xml:space="preserve"> Sedangkan tindak pidana desersi yang diancam dengan pidana mati, pidana penjara seumur hidup atau sementara maksimum 20 tahun, yaitu :</w:t>
      </w:r>
    </w:p>
    <w:p w:rsidR="00C76C36" w:rsidRPr="00E12C3B" w:rsidRDefault="00C76C36" w:rsidP="00C76C36">
      <w:pPr>
        <w:pStyle w:val="ListParagraph"/>
        <w:numPr>
          <w:ilvl w:val="6"/>
          <w:numId w:val="12"/>
        </w:numPr>
        <w:tabs>
          <w:tab w:val="clear" w:pos="5040"/>
          <w:tab w:val="num" w:pos="1080"/>
        </w:tabs>
        <w:autoSpaceDE w:val="0"/>
        <w:autoSpaceDN w:val="0"/>
        <w:adjustRightInd w:val="0"/>
        <w:spacing w:after="0" w:line="240" w:lineRule="auto"/>
        <w:ind w:left="1080"/>
        <w:jc w:val="both"/>
        <w:rPr>
          <w:rFonts w:ascii="Times New Roman" w:hAnsi="Times New Roman"/>
          <w:sz w:val="24"/>
          <w:szCs w:val="24"/>
          <w:lang w:eastAsia="id-ID"/>
        </w:rPr>
      </w:pPr>
      <w:r w:rsidRPr="00E12C3B">
        <w:rPr>
          <w:rFonts w:ascii="Times New Roman" w:hAnsi="Times New Roman"/>
          <w:sz w:val="24"/>
          <w:szCs w:val="24"/>
          <w:lang w:eastAsia="id-ID"/>
        </w:rPr>
        <w:t>Desersi ke musuh yaitu menyeberang ke musuh seperti yang dimaksud dalamPasal 87 ayat (1) Nomor 1. Desersi kepada musuh berarti si pelaku harus sudahberada di daerah atau pihak musuh atau dengan kata lain sipelaku sudah betul-betulbekerja untuk musuh. Perbuatan ini dapat digolongkan penghianat militersebagaimana dimaksud dalam Pasal 64 KUHPM jo Pasal 124 KUHP</w:t>
      </w:r>
    </w:p>
    <w:p w:rsidR="00C76C36" w:rsidRDefault="00C76C36" w:rsidP="00C76C36">
      <w:pPr>
        <w:pStyle w:val="ListParagraph"/>
        <w:numPr>
          <w:ilvl w:val="6"/>
          <w:numId w:val="12"/>
        </w:numPr>
        <w:tabs>
          <w:tab w:val="clear" w:pos="5040"/>
          <w:tab w:val="num" w:pos="1080"/>
        </w:tabs>
        <w:autoSpaceDE w:val="0"/>
        <w:autoSpaceDN w:val="0"/>
        <w:adjustRightInd w:val="0"/>
        <w:spacing w:after="0" w:line="240" w:lineRule="auto"/>
        <w:ind w:left="1080"/>
        <w:jc w:val="both"/>
        <w:rPr>
          <w:rFonts w:ascii="Times New Roman" w:hAnsi="Times New Roman"/>
          <w:sz w:val="24"/>
          <w:szCs w:val="24"/>
          <w:lang w:val="en-US" w:eastAsia="id-ID"/>
        </w:rPr>
        <w:sectPr w:rsidR="00C76C36" w:rsidSect="00E12C3B">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851" w:footer="851" w:gutter="0"/>
          <w:pgNumType w:start="11"/>
          <w:cols w:space="720"/>
          <w:titlePg/>
          <w:docGrid w:linePitch="360"/>
        </w:sectPr>
      </w:pPr>
      <w:r w:rsidRPr="00E12C3B">
        <w:rPr>
          <w:rFonts w:ascii="Times New Roman" w:hAnsi="Times New Roman"/>
          <w:sz w:val="24"/>
          <w:szCs w:val="24"/>
          <w:lang w:eastAsia="id-ID"/>
        </w:rPr>
        <w:t>Diubah dengan Undang-Undang Nomor 39 Tahun 1947 desersi dalam waktuperang, dari satuan pasukan, perahu laut, atau pesawat terbang yang ditugaskanuntuk dinas-dinas pengamanan, ataupun dari suatu tempat atau pos yang diserangatau terancam serangan oleh musuh</w:t>
      </w:r>
      <w:r w:rsidRPr="00E12C3B">
        <w:rPr>
          <w:rFonts w:ascii="Times New Roman" w:hAnsi="Times New Roman"/>
          <w:sz w:val="24"/>
          <w:szCs w:val="24"/>
          <w:lang w:val="en-US" w:eastAsia="id-ID"/>
        </w:rPr>
        <w:t>.</w:t>
      </w:r>
      <w:r w:rsidRPr="00E12C3B">
        <w:rPr>
          <w:rStyle w:val="FootnoteReference"/>
          <w:rFonts w:ascii="Times New Roman" w:hAnsi="Times New Roman"/>
          <w:sz w:val="24"/>
          <w:szCs w:val="24"/>
          <w:lang w:val="en-US" w:eastAsia="id-ID"/>
        </w:rPr>
        <w:footnoteReference w:id="26"/>
      </w:r>
    </w:p>
    <w:p w:rsidR="006948A6" w:rsidRPr="00C76C36" w:rsidRDefault="00B36248" w:rsidP="00C76C36">
      <w:bookmarkStart w:id="7" w:name="_GoBack"/>
      <w:bookmarkEnd w:id="7"/>
    </w:p>
    <w:sectPr w:rsidR="006948A6" w:rsidRPr="00C76C36" w:rsidSect="00EA1EF1">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248" w:rsidRDefault="00B36248" w:rsidP="00270FB3">
      <w:r>
        <w:separator/>
      </w:r>
    </w:p>
  </w:endnote>
  <w:endnote w:type="continuationSeparator" w:id="1">
    <w:p w:rsidR="00B36248" w:rsidRDefault="00B36248" w:rsidP="00270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32" w:rsidRDefault="00E863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32" w:rsidRDefault="00E863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32" w:rsidRDefault="00E863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B3624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B36248">
    <w:pPr>
      <w:pStyle w:val="Footer"/>
      <w:jc w:val="center"/>
    </w:pPr>
  </w:p>
  <w:p w:rsidR="00020FAA" w:rsidRDefault="00B3624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B36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248" w:rsidRDefault="00B36248" w:rsidP="00270FB3">
      <w:r>
        <w:separator/>
      </w:r>
    </w:p>
  </w:footnote>
  <w:footnote w:type="continuationSeparator" w:id="1">
    <w:p w:rsidR="00B36248" w:rsidRDefault="00B36248" w:rsidP="00270FB3">
      <w:r>
        <w:continuationSeparator/>
      </w:r>
    </w:p>
  </w:footnote>
  <w:footnote w:id="2">
    <w:p w:rsidR="00C76C36" w:rsidRPr="00EF5FA4" w:rsidRDefault="00C76C36" w:rsidP="00C76C36">
      <w:pPr>
        <w:autoSpaceDE w:val="0"/>
        <w:autoSpaceDN w:val="0"/>
        <w:adjustRightInd w:val="0"/>
        <w:jc w:val="both"/>
        <w:rPr>
          <w:sz w:val="20"/>
          <w:szCs w:val="20"/>
        </w:rPr>
      </w:pPr>
      <w:r w:rsidRPr="00EF5FA4">
        <w:rPr>
          <w:sz w:val="20"/>
          <w:szCs w:val="20"/>
        </w:rPr>
        <w:tab/>
      </w:r>
      <w:r w:rsidRPr="00EF5FA4">
        <w:rPr>
          <w:rStyle w:val="FootnoteReference"/>
          <w:sz w:val="20"/>
          <w:szCs w:val="20"/>
        </w:rPr>
        <w:footnoteRef/>
      </w:r>
      <w:r w:rsidRPr="00EF5FA4">
        <w:rPr>
          <w:sz w:val="20"/>
          <w:szCs w:val="20"/>
          <w:lang w:eastAsia="id-ID"/>
        </w:rPr>
        <w:t xml:space="preserve">Moch. Faisal Salam, </w:t>
      </w:r>
      <w:r w:rsidRPr="00EF5FA4">
        <w:rPr>
          <w:i/>
          <w:sz w:val="20"/>
          <w:szCs w:val="20"/>
          <w:lang w:eastAsia="id-ID"/>
        </w:rPr>
        <w:t>Hukum Pidana Militer di Indonesia</w:t>
      </w:r>
      <w:r w:rsidRPr="00EF5FA4">
        <w:rPr>
          <w:sz w:val="20"/>
          <w:szCs w:val="20"/>
          <w:lang w:eastAsia="id-ID"/>
        </w:rPr>
        <w:t>, Mandar Jaya, Bandung, 2016, h.221</w:t>
      </w:r>
    </w:p>
  </w:footnote>
  <w:footnote w:id="3">
    <w:p w:rsidR="00C76C36" w:rsidRPr="00EF5FA4" w:rsidRDefault="00C76C36" w:rsidP="00C76C36">
      <w:pPr>
        <w:pStyle w:val="FootnoteText"/>
        <w:jc w:val="both"/>
      </w:pPr>
      <w:r w:rsidRPr="00EF5FA4">
        <w:tab/>
      </w:r>
      <w:r w:rsidRPr="00EF5FA4">
        <w:rPr>
          <w:rStyle w:val="FootnoteReference"/>
        </w:rPr>
        <w:footnoteRef/>
      </w:r>
      <w:r w:rsidRPr="00EF5FA4">
        <w:t xml:space="preserve"> 1S.R. Sianturi</w:t>
      </w:r>
      <w:r w:rsidRPr="00EF5FA4">
        <w:rPr>
          <w:i/>
          <w:iCs/>
        </w:rPr>
        <w:t>Hukum Pidana Militer Di Indonesia</w:t>
      </w:r>
      <w:r w:rsidRPr="00EF5FA4">
        <w:t xml:space="preserve">, Alumni Ahem-Petehaem, Jakarta, 2015,h. 19  </w:t>
      </w:r>
    </w:p>
  </w:footnote>
  <w:footnote w:id="4">
    <w:p w:rsidR="00C76C36" w:rsidRPr="00EF5FA4" w:rsidRDefault="00C76C36" w:rsidP="00C76C36">
      <w:pPr>
        <w:pStyle w:val="FootnoteText"/>
        <w:jc w:val="both"/>
      </w:pPr>
      <w:r w:rsidRPr="00EF5FA4">
        <w:tab/>
      </w:r>
      <w:r w:rsidRPr="00EF5FA4">
        <w:rPr>
          <w:rStyle w:val="FootnoteReference"/>
        </w:rPr>
        <w:footnoteRef/>
      </w:r>
      <w:bookmarkStart w:id="1" w:name="_Hlk160464870"/>
      <w:r w:rsidRPr="00EF5FA4">
        <w:t xml:space="preserve">Herdjito, </w:t>
      </w:r>
      <w:r w:rsidRPr="00EF5FA4">
        <w:rPr>
          <w:i/>
          <w:iCs/>
        </w:rPr>
        <w:t xml:space="preserve">Disparitas Penjatuhan Pidana Dalam Perkara Tindak Pidana Desersi” </w:t>
      </w:r>
      <w:r w:rsidRPr="00EF5FA4">
        <w:t>Puslitbang Hukum Dan Peradilan Badan Litbang Diklat Kumdil Mahkamah Agung RI, Jakarta, 2014</w:t>
      </w:r>
      <w:bookmarkEnd w:id="1"/>
      <w:r w:rsidRPr="00EF5FA4">
        <w:t xml:space="preserve">,  h. 40  </w:t>
      </w:r>
    </w:p>
  </w:footnote>
  <w:footnote w:id="5">
    <w:p w:rsidR="00C76C36" w:rsidRPr="00EF5FA4" w:rsidRDefault="00C76C36" w:rsidP="00C76C36">
      <w:pPr>
        <w:pStyle w:val="FootnoteText"/>
        <w:jc w:val="both"/>
      </w:pPr>
      <w:r w:rsidRPr="00EF5FA4">
        <w:tab/>
      </w:r>
      <w:r w:rsidRPr="00EF5FA4">
        <w:rPr>
          <w:rStyle w:val="FootnoteReference"/>
        </w:rPr>
        <w:footnoteRef/>
      </w:r>
      <w:bookmarkStart w:id="2" w:name="_Hlk160464908"/>
      <w:r w:rsidRPr="00EF5FA4">
        <w:t>ASS, Tambunan</w:t>
      </w:r>
      <w:r w:rsidRPr="00EF5FA4">
        <w:rPr>
          <w:i/>
          <w:iCs/>
        </w:rPr>
        <w:t xml:space="preserve">, Hukum Militer Indonesia. Suatu Pengantar, </w:t>
      </w:r>
      <w:r w:rsidRPr="00EF5FA4">
        <w:t>Pusat Studi Hukum Militer STHM, Jakarta, 2015</w:t>
      </w:r>
      <w:bookmarkEnd w:id="2"/>
      <w:r w:rsidRPr="00EF5FA4">
        <w:t xml:space="preserve">, h.70.  </w:t>
      </w:r>
    </w:p>
  </w:footnote>
  <w:footnote w:id="6">
    <w:p w:rsidR="00C76C36" w:rsidRPr="00EF5FA4" w:rsidRDefault="00C76C36" w:rsidP="00C76C36">
      <w:pPr>
        <w:pStyle w:val="FootnoteText"/>
        <w:jc w:val="both"/>
      </w:pPr>
      <w:r w:rsidRPr="00EF5FA4">
        <w:tab/>
      </w:r>
      <w:r w:rsidRPr="00EF5FA4">
        <w:rPr>
          <w:rStyle w:val="FootnoteReference"/>
        </w:rPr>
        <w:footnoteRef/>
      </w:r>
      <w:r w:rsidRPr="00EF5FA4">
        <w:rPr>
          <w:i/>
        </w:rPr>
        <w:t>Ibid</w:t>
      </w:r>
      <w:r w:rsidRPr="00EF5FA4">
        <w:t>, h.71.</w:t>
      </w:r>
    </w:p>
  </w:footnote>
  <w:footnote w:id="7">
    <w:p w:rsidR="00C76C36" w:rsidRPr="00EF5FA4" w:rsidRDefault="00C76C36" w:rsidP="00C76C36">
      <w:pPr>
        <w:pStyle w:val="FootnoteText"/>
        <w:jc w:val="both"/>
      </w:pPr>
      <w:r w:rsidRPr="00EF5FA4">
        <w:tab/>
      </w:r>
      <w:r w:rsidRPr="00EF5FA4">
        <w:rPr>
          <w:rStyle w:val="FootnoteReference"/>
        </w:rPr>
        <w:footnoteRef/>
      </w:r>
      <w:r w:rsidRPr="00EF5FA4">
        <w:t xml:space="preserve"> S.R Sianturi, </w:t>
      </w:r>
      <w:r w:rsidRPr="00EF5FA4">
        <w:rPr>
          <w:i/>
        </w:rPr>
        <w:t>Op.Cit</w:t>
      </w:r>
      <w:r w:rsidRPr="00EF5FA4">
        <w:t>, h.45.</w:t>
      </w:r>
    </w:p>
  </w:footnote>
  <w:footnote w:id="8">
    <w:p w:rsidR="00C76C36" w:rsidRPr="00EF5FA4" w:rsidRDefault="00C76C36" w:rsidP="00C76C36">
      <w:pPr>
        <w:pStyle w:val="FootnoteText"/>
        <w:jc w:val="both"/>
      </w:pPr>
      <w:r w:rsidRPr="00EF5FA4">
        <w:tab/>
      </w:r>
      <w:r w:rsidRPr="00EF5FA4">
        <w:rPr>
          <w:rStyle w:val="FootnoteReference"/>
        </w:rPr>
        <w:footnoteRef/>
      </w:r>
      <w:bookmarkStart w:id="4" w:name="_Hlk160465059"/>
      <w:r w:rsidRPr="00EF5FA4">
        <w:t xml:space="preserve">Bambang Slamet Eko Sugistiyoko, “Tindak Pidana Tindak Pidana Desersi Secara In Absensia Anggota Militer”, </w:t>
      </w:r>
      <w:r w:rsidRPr="00EF5FA4">
        <w:rPr>
          <w:i/>
        </w:rPr>
        <w:t xml:space="preserve">Jurnal Unita, </w:t>
      </w:r>
      <w:r w:rsidRPr="00EF5FA4">
        <w:t>Volume 4, No 1 Tahun 2018</w:t>
      </w:r>
      <w:bookmarkEnd w:id="4"/>
      <w:r w:rsidRPr="00EF5FA4">
        <w:t>, h.712.</w:t>
      </w:r>
    </w:p>
  </w:footnote>
  <w:footnote w:id="9">
    <w:p w:rsidR="00C76C36" w:rsidRPr="00EF5FA4" w:rsidRDefault="00C76C36" w:rsidP="00C76C36">
      <w:pPr>
        <w:pStyle w:val="FootnoteText"/>
        <w:jc w:val="both"/>
      </w:pPr>
      <w:r w:rsidRPr="00EF5FA4">
        <w:tab/>
      </w:r>
      <w:r w:rsidRPr="00EF5FA4">
        <w:rPr>
          <w:rStyle w:val="FootnoteReference"/>
        </w:rPr>
        <w:footnoteRef/>
      </w:r>
      <w:r w:rsidRPr="00EF5FA4">
        <w:t xml:space="preserve">S. R Sianturi, </w:t>
      </w:r>
      <w:r w:rsidRPr="00EF5FA4">
        <w:rPr>
          <w:i/>
        </w:rPr>
        <w:t>Op.Cit</w:t>
      </w:r>
      <w:r w:rsidRPr="00EF5FA4">
        <w:t>, h.51.</w:t>
      </w:r>
    </w:p>
  </w:footnote>
  <w:footnote w:id="10">
    <w:p w:rsidR="00C76C36" w:rsidRPr="00EF5FA4" w:rsidRDefault="00C76C36" w:rsidP="00C76C36">
      <w:pPr>
        <w:pStyle w:val="FootnoteText"/>
        <w:jc w:val="both"/>
      </w:pPr>
      <w:r w:rsidRPr="00EF5FA4">
        <w:tab/>
      </w:r>
      <w:r w:rsidRPr="00EF5FA4">
        <w:rPr>
          <w:rStyle w:val="FootnoteReference"/>
        </w:rPr>
        <w:footnoteRef/>
      </w:r>
      <w:r w:rsidRPr="00EF5FA4">
        <w:t xml:space="preserve"> Lihat Pasal 96 ayat (1), (2) dan (3) </w:t>
      </w:r>
      <w:bookmarkStart w:id="5" w:name="_Hlk160465593"/>
      <w:r w:rsidRPr="00EF5FA4">
        <w:t>Undang-Undang Nomor 31 Tahun  1997 Tentang Peradilan Militer</w:t>
      </w:r>
      <w:bookmarkEnd w:id="5"/>
    </w:p>
  </w:footnote>
  <w:footnote w:id="11">
    <w:p w:rsidR="00C76C36" w:rsidRPr="00EF5FA4" w:rsidRDefault="00C76C36" w:rsidP="00C76C36">
      <w:pPr>
        <w:pStyle w:val="FootnoteText"/>
        <w:jc w:val="both"/>
      </w:pPr>
      <w:r w:rsidRPr="00EF5FA4">
        <w:tab/>
      </w:r>
      <w:r w:rsidRPr="00EF5FA4">
        <w:rPr>
          <w:rStyle w:val="FootnoteReference"/>
        </w:rPr>
        <w:footnoteRef/>
      </w:r>
      <w:r w:rsidRPr="00EF5FA4">
        <w:rPr>
          <w:color w:val="000000"/>
          <w:lang w:eastAsia="id-ID"/>
        </w:rPr>
        <w:t xml:space="preserve">S.R Sianturi, </w:t>
      </w:r>
      <w:r w:rsidRPr="00EF5FA4">
        <w:rPr>
          <w:i/>
          <w:color w:val="000000"/>
          <w:lang w:eastAsia="id-ID"/>
        </w:rPr>
        <w:t xml:space="preserve">Op.Cit, </w:t>
      </w:r>
      <w:r w:rsidRPr="00EF5FA4">
        <w:rPr>
          <w:color w:val="000000"/>
          <w:lang w:eastAsia="id-ID"/>
        </w:rPr>
        <w:t xml:space="preserve"> h. 262</w:t>
      </w:r>
    </w:p>
  </w:footnote>
  <w:footnote w:id="12">
    <w:p w:rsidR="00C76C36" w:rsidRPr="00EF5FA4" w:rsidRDefault="00C76C36" w:rsidP="00C76C36">
      <w:pPr>
        <w:pStyle w:val="FootnoteText"/>
        <w:jc w:val="both"/>
      </w:pPr>
      <w:r w:rsidRPr="00EF5FA4">
        <w:tab/>
      </w:r>
      <w:r w:rsidRPr="00EF5FA4">
        <w:rPr>
          <w:rStyle w:val="FootnoteReference"/>
        </w:rPr>
        <w:footnoteRef/>
      </w:r>
      <w:r w:rsidRPr="00EF5FA4">
        <w:t xml:space="preserve"> Lihat Pasal 1(20) Undang-Undang Nomor 34 Tahun 2004 Tentang Tentara Nasioanal Indonesia  </w:t>
      </w:r>
    </w:p>
  </w:footnote>
  <w:footnote w:id="13">
    <w:p w:rsidR="00C76C36" w:rsidRPr="00EF5FA4" w:rsidRDefault="00C76C36" w:rsidP="00C76C36">
      <w:pPr>
        <w:pStyle w:val="FootnoteText"/>
        <w:jc w:val="both"/>
      </w:pPr>
      <w:r w:rsidRPr="00EF5FA4">
        <w:tab/>
      </w:r>
      <w:r w:rsidRPr="00EF5FA4">
        <w:rPr>
          <w:rStyle w:val="FootnoteReference"/>
        </w:rPr>
        <w:footnoteRef/>
      </w:r>
      <w:r w:rsidRPr="00EF5FA4">
        <w:t xml:space="preserve"> A. Mulya Sumaperwata, Hukum Acara Peradilan Militer, Pasundan Law Faculty Alumnus Press, Bandung,  2017, h.45.</w:t>
      </w:r>
    </w:p>
  </w:footnote>
  <w:footnote w:id="14">
    <w:p w:rsidR="00C76C36" w:rsidRPr="00EF5FA4" w:rsidRDefault="00C76C36" w:rsidP="00C76C36">
      <w:pPr>
        <w:pStyle w:val="FootnoteText"/>
        <w:jc w:val="both"/>
      </w:pPr>
      <w:r w:rsidRPr="00EF5FA4">
        <w:tab/>
      </w:r>
      <w:r w:rsidRPr="00EF5FA4">
        <w:rPr>
          <w:rStyle w:val="FootnoteReference"/>
        </w:rPr>
        <w:footnoteRef/>
      </w:r>
      <w:r w:rsidRPr="00EF5FA4">
        <w:t xml:space="preserve"> Andi Hamzah, </w:t>
      </w:r>
      <w:r w:rsidRPr="00EF5FA4">
        <w:rPr>
          <w:i/>
        </w:rPr>
        <w:t>Hukum Disiplin Militer</w:t>
      </w:r>
      <w:r w:rsidRPr="00EF5FA4">
        <w:t>, Rineka Cipta, Jakarta, 2016, h.25.</w:t>
      </w:r>
    </w:p>
  </w:footnote>
  <w:footnote w:id="15">
    <w:p w:rsidR="00C76C36" w:rsidRPr="00EF5FA4" w:rsidRDefault="00C76C36" w:rsidP="00C76C36">
      <w:pPr>
        <w:pStyle w:val="FootnoteText"/>
        <w:jc w:val="both"/>
      </w:pPr>
      <w:r w:rsidRPr="00EF5FA4">
        <w:tab/>
      </w:r>
      <w:r w:rsidRPr="00EF5FA4">
        <w:rPr>
          <w:rStyle w:val="FootnoteReference"/>
        </w:rPr>
        <w:footnoteRef/>
      </w:r>
      <w:r w:rsidRPr="00EF5FA4">
        <w:rPr>
          <w:i/>
        </w:rPr>
        <w:t>Ibid</w:t>
      </w:r>
      <w:r w:rsidRPr="00EF5FA4">
        <w:t>, h.26.</w:t>
      </w:r>
    </w:p>
  </w:footnote>
  <w:footnote w:id="16">
    <w:p w:rsidR="00C76C36" w:rsidRPr="00EF5FA4" w:rsidRDefault="00C76C36" w:rsidP="00C76C36">
      <w:pPr>
        <w:pStyle w:val="FootnoteText"/>
        <w:jc w:val="both"/>
      </w:pPr>
      <w:r w:rsidRPr="00EF5FA4">
        <w:tab/>
      </w:r>
      <w:r w:rsidRPr="00EF5FA4">
        <w:rPr>
          <w:rStyle w:val="FootnoteReference"/>
        </w:rPr>
        <w:footnoteRef/>
      </w:r>
      <w:r w:rsidRPr="00EF5FA4">
        <w:rPr>
          <w:i/>
        </w:rPr>
        <w:t>Ibid</w:t>
      </w:r>
      <w:r w:rsidRPr="00EF5FA4">
        <w:t>, h.30..</w:t>
      </w:r>
    </w:p>
  </w:footnote>
  <w:footnote w:id="17">
    <w:p w:rsidR="00C76C36" w:rsidRPr="00EF5FA4" w:rsidRDefault="00C76C36" w:rsidP="00C76C36">
      <w:pPr>
        <w:pStyle w:val="FootnoteText"/>
        <w:jc w:val="both"/>
      </w:pPr>
      <w:r w:rsidRPr="00EF5FA4">
        <w:tab/>
      </w:r>
      <w:r w:rsidRPr="00EF5FA4">
        <w:rPr>
          <w:rStyle w:val="FootnoteReference"/>
        </w:rPr>
        <w:footnoteRef/>
      </w:r>
      <w:r w:rsidRPr="00EF5FA4">
        <w:t xml:space="preserve"> E. Y. Kanter dan S.R. Sianturi, </w:t>
      </w:r>
      <w:r w:rsidRPr="00EF5FA4">
        <w:rPr>
          <w:i/>
        </w:rPr>
        <w:t xml:space="preserve">Hukum Pidana Militer di Indonesia, </w:t>
      </w:r>
      <w:r w:rsidRPr="00EF5FA4">
        <w:t>Alumni AHM-PTHM, Jakarta,  2015, .72.</w:t>
      </w:r>
    </w:p>
  </w:footnote>
  <w:footnote w:id="18">
    <w:p w:rsidR="00C76C36" w:rsidRPr="00EF5FA4" w:rsidRDefault="00C76C36" w:rsidP="00C76C36">
      <w:pPr>
        <w:pStyle w:val="FootnoteText"/>
        <w:jc w:val="both"/>
      </w:pPr>
      <w:r w:rsidRPr="00EF5FA4">
        <w:tab/>
      </w:r>
      <w:r w:rsidRPr="00EF5FA4">
        <w:rPr>
          <w:rStyle w:val="FootnoteReference"/>
        </w:rPr>
        <w:footnoteRef/>
      </w:r>
      <w:r w:rsidRPr="00EF5FA4">
        <w:t xml:space="preserve"> Andi Hamzah, </w:t>
      </w:r>
      <w:r w:rsidRPr="00EF5FA4">
        <w:rPr>
          <w:i/>
        </w:rPr>
        <w:t>Op.Cit</w:t>
      </w:r>
      <w:r w:rsidRPr="00EF5FA4">
        <w:t>, h. 36..</w:t>
      </w:r>
    </w:p>
  </w:footnote>
  <w:footnote w:id="19">
    <w:p w:rsidR="00C76C36" w:rsidRPr="00EF5FA4" w:rsidRDefault="00C76C36" w:rsidP="00C76C36">
      <w:pPr>
        <w:pStyle w:val="FootnoteText"/>
        <w:jc w:val="both"/>
      </w:pPr>
      <w:r w:rsidRPr="00EF5FA4">
        <w:tab/>
      </w:r>
      <w:r w:rsidRPr="00EF5FA4">
        <w:rPr>
          <w:rStyle w:val="FootnoteReference"/>
        </w:rPr>
        <w:footnoteRef/>
      </w:r>
      <w:r w:rsidRPr="00EF5FA4">
        <w:t xml:space="preserve"> S.R Sianturi,  </w:t>
      </w:r>
      <w:r w:rsidRPr="00EF5FA4">
        <w:rPr>
          <w:i/>
        </w:rPr>
        <w:t>Op.Cit</w:t>
      </w:r>
      <w:r w:rsidRPr="00EF5FA4">
        <w:t>, h.265.</w:t>
      </w:r>
    </w:p>
  </w:footnote>
  <w:footnote w:id="20">
    <w:p w:rsidR="00C76C36" w:rsidRPr="00EF5FA4" w:rsidRDefault="00C76C36" w:rsidP="00C76C36">
      <w:pPr>
        <w:pStyle w:val="FootnoteText"/>
        <w:ind w:firstLine="709"/>
        <w:jc w:val="both"/>
      </w:pPr>
      <w:r w:rsidRPr="00EF5FA4">
        <w:rPr>
          <w:rStyle w:val="FootnoteReference"/>
        </w:rPr>
        <w:footnoteRef/>
      </w:r>
      <w:r w:rsidRPr="00EF5FA4">
        <w:t xml:space="preserve"> Lihat Pasal 87 (2 dan 3) Undang Undang Hukum Pidana Militer</w:t>
      </w:r>
    </w:p>
  </w:footnote>
  <w:footnote w:id="21">
    <w:p w:rsidR="00C76C36" w:rsidRPr="00EF5FA4" w:rsidRDefault="00C76C36" w:rsidP="00C76C36">
      <w:pPr>
        <w:pStyle w:val="FootnoteText"/>
        <w:ind w:firstLine="709"/>
        <w:jc w:val="both"/>
      </w:pPr>
      <w:r w:rsidRPr="00EF5FA4">
        <w:rPr>
          <w:rStyle w:val="FootnoteReference"/>
        </w:rPr>
        <w:footnoteRef/>
      </w:r>
      <w:r w:rsidRPr="00EF5FA4">
        <w:t xml:space="preserve"> 34Undang- Undang nomor 26 tahun 1997 tentangHukum Disiplin Prajurit  </w:t>
      </w:r>
    </w:p>
  </w:footnote>
  <w:footnote w:id="22">
    <w:p w:rsidR="00C76C36" w:rsidRPr="00EF5FA4" w:rsidRDefault="00C76C36" w:rsidP="00C76C36">
      <w:pPr>
        <w:pStyle w:val="FootnoteText"/>
        <w:ind w:firstLine="709"/>
        <w:jc w:val="both"/>
      </w:pPr>
      <w:r w:rsidRPr="00EF5FA4">
        <w:rPr>
          <w:rStyle w:val="FootnoteReference"/>
        </w:rPr>
        <w:footnoteRef/>
      </w:r>
      <w:r w:rsidRPr="00EF5FA4">
        <w:t xml:space="preserve">Lihat Pasal 5(1) Undang- Undang No.26 Tahun 1997 Tentang Hukum Disiplin Prajurit  </w:t>
      </w:r>
    </w:p>
  </w:footnote>
  <w:footnote w:id="23">
    <w:p w:rsidR="00C76C36" w:rsidRPr="00EF5FA4" w:rsidRDefault="00C76C36" w:rsidP="00C76C36">
      <w:pPr>
        <w:pStyle w:val="FootnoteText"/>
        <w:jc w:val="both"/>
      </w:pPr>
      <w:r w:rsidRPr="00EF5FA4">
        <w:tab/>
      </w:r>
      <w:r w:rsidRPr="00EF5FA4">
        <w:rPr>
          <w:rStyle w:val="FootnoteReference"/>
        </w:rPr>
        <w:footnoteRef/>
      </w:r>
      <w:r w:rsidRPr="00EF5FA4">
        <w:t xml:space="preserve"> Andi Hamzah, </w:t>
      </w:r>
      <w:r w:rsidRPr="00EF5FA4">
        <w:rPr>
          <w:i/>
          <w:lang w:eastAsia="id-ID"/>
        </w:rPr>
        <w:t>Op.Cit</w:t>
      </w:r>
      <w:r w:rsidRPr="00EF5FA4">
        <w:rPr>
          <w:lang w:eastAsia="id-ID"/>
        </w:rPr>
        <w:t>, h.46.</w:t>
      </w:r>
    </w:p>
  </w:footnote>
  <w:footnote w:id="24">
    <w:p w:rsidR="00C76C36" w:rsidRPr="00EF5FA4" w:rsidRDefault="00C76C36" w:rsidP="00C76C36">
      <w:pPr>
        <w:pStyle w:val="FootnoteText"/>
        <w:ind w:firstLine="709"/>
        <w:jc w:val="both"/>
      </w:pPr>
      <w:r w:rsidRPr="00EF5FA4">
        <w:rPr>
          <w:rStyle w:val="FootnoteReference"/>
        </w:rPr>
        <w:footnoteRef/>
      </w:r>
      <w:r w:rsidRPr="00EF5FA4">
        <w:rPr>
          <w:lang w:eastAsia="id-ID"/>
        </w:rPr>
        <w:t xml:space="preserve">Moch. Faisal Salam, </w:t>
      </w:r>
      <w:r w:rsidRPr="00EF5FA4">
        <w:rPr>
          <w:i/>
          <w:lang w:eastAsia="id-ID"/>
        </w:rPr>
        <w:t>Op.Cit</w:t>
      </w:r>
      <w:r w:rsidRPr="00EF5FA4">
        <w:rPr>
          <w:lang w:eastAsia="id-ID"/>
        </w:rPr>
        <w:t>, h.224.</w:t>
      </w:r>
    </w:p>
  </w:footnote>
  <w:footnote w:id="25">
    <w:p w:rsidR="00C76C36" w:rsidRPr="00EF5FA4" w:rsidRDefault="00C76C36" w:rsidP="00C76C36">
      <w:pPr>
        <w:pStyle w:val="FootnoteText"/>
        <w:ind w:firstLine="709"/>
        <w:jc w:val="both"/>
      </w:pPr>
      <w:r w:rsidRPr="00EF5FA4">
        <w:rPr>
          <w:rStyle w:val="FootnoteReference"/>
        </w:rPr>
        <w:footnoteRef/>
      </w:r>
      <w:r w:rsidRPr="00EF5FA4">
        <w:rPr>
          <w:i/>
          <w:lang w:eastAsia="id-ID"/>
        </w:rPr>
        <w:t>Ibid.</w:t>
      </w:r>
      <w:r w:rsidRPr="00EF5FA4">
        <w:rPr>
          <w:lang w:eastAsia="id-ID"/>
        </w:rPr>
        <w:t>, h. 225</w:t>
      </w:r>
    </w:p>
  </w:footnote>
  <w:footnote w:id="26">
    <w:p w:rsidR="00C76C36" w:rsidRPr="00EF5FA4" w:rsidRDefault="00C76C36" w:rsidP="00C76C36">
      <w:pPr>
        <w:pStyle w:val="FootnoteText"/>
        <w:ind w:firstLine="709"/>
        <w:jc w:val="both"/>
        <w:rPr>
          <w:i/>
        </w:rPr>
      </w:pPr>
      <w:r w:rsidRPr="00EF5FA4">
        <w:rPr>
          <w:rStyle w:val="FootnoteReference"/>
        </w:rPr>
        <w:footnoteRef/>
      </w:r>
      <w:r w:rsidRPr="00EF5FA4">
        <w:rPr>
          <w:i/>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32" w:rsidRDefault="00E863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32" w:rsidRPr="00E86332" w:rsidRDefault="00E86332" w:rsidP="00E86332">
    <w:pPr>
      <w:pStyle w:val="Header"/>
      <w:jc w:val="right"/>
      <w:rPr>
        <w:lang w:val="id-ID"/>
      </w:rPr>
    </w:pPr>
    <w:r>
      <w:rPr>
        <w:lang w:val="id-ID"/>
      </w:rPr>
      <w:t>PUBLISH: 20/11/2025 10:14:31</w:t>
    </w:r>
  </w:p>
  <w:p w:rsidR="00E86332" w:rsidRDefault="00E863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32" w:rsidRPr="00E86332" w:rsidRDefault="00E86332" w:rsidP="00E86332">
    <w:pPr>
      <w:pStyle w:val="Header"/>
      <w:jc w:val="right"/>
      <w:rPr>
        <w:lang w:val="id-ID"/>
      </w:rPr>
    </w:pPr>
    <w:r>
      <w:rPr>
        <w:lang w:val="id-ID"/>
      </w:rPr>
      <w:t>PUBLISH: 20/11/2025 10:14:31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CE20FF">
    <w:pPr>
      <w:pStyle w:val="Header"/>
    </w:pPr>
    <w:r w:rsidRPr="00CE20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4"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CE20FF">
    <w:pPr>
      <w:pStyle w:val="Header"/>
      <w:jc w:val="right"/>
    </w:pPr>
    <w:r w:rsidRPr="00CE20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5"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020FAA" w:rsidRDefault="00B3624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CE20FF">
    <w:pPr>
      <w:pStyle w:val="Header"/>
    </w:pPr>
    <w:r w:rsidRPr="00CE20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3"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3345E5"/>
    <w:multiLevelType w:val="hybridMultilevel"/>
    <w:tmpl w:val="53509138"/>
    <w:lvl w:ilvl="0" w:tplc="AA6C7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5DE0771"/>
    <w:multiLevelType w:val="hybridMultilevel"/>
    <w:tmpl w:val="ABF44098"/>
    <w:lvl w:ilvl="0" w:tplc="FE2CA896">
      <w:start w:val="1"/>
      <w:numFmt w:val="upperLetter"/>
      <w:lvlText w:val="%1."/>
      <w:lvlJc w:val="left"/>
      <w:pPr>
        <w:tabs>
          <w:tab w:val="num" w:pos="720"/>
        </w:tabs>
        <w:ind w:left="720" w:hanging="360"/>
      </w:pPr>
      <w:rPr>
        <w:b/>
      </w:r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87566F02">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C2822"/>
    <w:multiLevelType w:val="multilevel"/>
    <w:tmpl w:val="C0C2708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upperLetter"/>
      <w:lvlText w:val="%6."/>
      <w:lvlJc w:val="left"/>
      <w:pPr>
        <w:tabs>
          <w:tab w:val="num" w:pos="4320"/>
        </w:tabs>
        <w:ind w:left="4320" w:hanging="360"/>
      </w:pPr>
      <w:rPr>
        <w:rFonts w:ascii="Calibri" w:eastAsia="Calibri" w:hAnsi="Calibri"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AAB6B5B"/>
    <w:multiLevelType w:val="hybridMultilevel"/>
    <w:tmpl w:val="7A4C33EC"/>
    <w:lvl w:ilvl="0" w:tplc="33A4A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9">
    <w:nsid w:val="45A92462"/>
    <w:multiLevelType w:val="hybridMultilevel"/>
    <w:tmpl w:val="D3A29504"/>
    <w:lvl w:ilvl="0" w:tplc="9364E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AFA0E85"/>
    <w:multiLevelType w:val="hybridMultilevel"/>
    <w:tmpl w:val="04FC976E"/>
    <w:lvl w:ilvl="0" w:tplc="E36C3FD8">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4">
    <w:nsid w:val="77BB0293"/>
    <w:multiLevelType w:val="hybridMultilevel"/>
    <w:tmpl w:val="CE96E7D6"/>
    <w:lvl w:ilvl="0" w:tplc="19787556">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1"/>
  </w:num>
  <w:num w:numId="5">
    <w:abstractNumId w:val="2"/>
  </w:num>
  <w:num w:numId="6">
    <w:abstractNumId w:val="13"/>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0"/>
  </w:num>
  <w:num w:numId="12">
    <w:abstractNumId w:val="6"/>
  </w:num>
  <w:num w:numId="13">
    <w:abstractNumId w:val="12"/>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KO3EJ+fW0HLLpVxV79c+77PJzM=" w:salt="z2oIhLhMy0TFaIkr23R/9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533A"/>
    <w:rsid w:val="00270FB3"/>
    <w:rsid w:val="00684292"/>
    <w:rsid w:val="008E533A"/>
    <w:rsid w:val="00940BCB"/>
    <w:rsid w:val="00A0229D"/>
    <w:rsid w:val="00B36248"/>
    <w:rsid w:val="00C76C36"/>
    <w:rsid w:val="00CE20FF"/>
    <w:rsid w:val="00D330F6"/>
    <w:rsid w:val="00E86332"/>
    <w:rsid w:val="00EA1E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3A"/>
    <w:rPr>
      <w:rFonts w:ascii="Tahoma" w:hAnsi="Tahoma" w:cs="Tahoma"/>
      <w:sz w:val="16"/>
      <w:szCs w:val="16"/>
    </w:rPr>
  </w:style>
  <w:style w:type="character" w:customStyle="1" w:styleId="BalloonTextChar">
    <w:name w:val="Balloon Text Char"/>
    <w:basedOn w:val="DefaultParagraphFont"/>
    <w:link w:val="BalloonText"/>
    <w:uiPriority w:val="99"/>
    <w:semiHidden/>
    <w:rsid w:val="008E533A"/>
    <w:rPr>
      <w:rFonts w:ascii="Tahoma" w:hAnsi="Tahoma" w:cs="Tahoma"/>
      <w:sz w:val="16"/>
      <w:szCs w:val="16"/>
    </w:rPr>
  </w:style>
  <w:style w:type="paragraph" w:styleId="Header">
    <w:name w:val="header"/>
    <w:basedOn w:val="Normal"/>
    <w:link w:val="HeaderChar"/>
    <w:rsid w:val="00EA1EF1"/>
    <w:pPr>
      <w:tabs>
        <w:tab w:val="center" w:pos="4320"/>
        <w:tab w:val="right" w:pos="8640"/>
      </w:tabs>
    </w:pPr>
  </w:style>
  <w:style w:type="character" w:customStyle="1" w:styleId="HeaderChar">
    <w:name w:val="Header Char"/>
    <w:basedOn w:val="DefaultParagraphFont"/>
    <w:link w:val="Header"/>
    <w:rsid w:val="00EA1EF1"/>
    <w:rPr>
      <w:rFonts w:ascii="Times New Roman" w:eastAsia="Times New Roman" w:hAnsi="Times New Roman" w:cs="Times New Roman"/>
      <w:sz w:val="24"/>
      <w:szCs w:val="24"/>
    </w:rPr>
  </w:style>
  <w:style w:type="paragraph" w:styleId="Footer">
    <w:name w:val="footer"/>
    <w:basedOn w:val="Normal"/>
    <w:link w:val="FooterChar"/>
    <w:rsid w:val="00EA1EF1"/>
    <w:pPr>
      <w:tabs>
        <w:tab w:val="center" w:pos="4320"/>
        <w:tab w:val="right" w:pos="8640"/>
      </w:tabs>
    </w:pPr>
  </w:style>
  <w:style w:type="character" w:customStyle="1" w:styleId="FooterChar">
    <w:name w:val="Footer Char"/>
    <w:basedOn w:val="DefaultParagraphFont"/>
    <w:link w:val="Footer"/>
    <w:rsid w:val="00EA1EF1"/>
    <w:rPr>
      <w:rFonts w:ascii="Times New Roman" w:eastAsia="Times New Roman" w:hAnsi="Times New Roman" w:cs="Times New Roman"/>
      <w:sz w:val="24"/>
      <w:szCs w:val="24"/>
    </w:rPr>
  </w:style>
  <w:style w:type="paragraph" w:styleId="BodyText">
    <w:name w:val="Body Text"/>
    <w:basedOn w:val="Normal"/>
    <w:link w:val="BodyTextChar"/>
    <w:rsid w:val="00D330F6"/>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D330F6"/>
    <w:rPr>
      <w:rFonts w:ascii="Bookman Old Style" w:eastAsia="Times New Roman" w:hAnsi="Bookman Old Style" w:cs="Times New Roman"/>
      <w:sz w:val="24"/>
      <w:szCs w:val="20"/>
    </w:rPr>
  </w:style>
  <w:style w:type="paragraph" w:styleId="BodyTextIndent">
    <w:name w:val="Body Text Indent"/>
    <w:basedOn w:val="Normal"/>
    <w:link w:val="BodyTextIndentChar"/>
    <w:rsid w:val="00D330F6"/>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D330F6"/>
    <w:rPr>
      <w:rFonts w:ascii="Times New Roman" w:eastAsia="Times New Roman" w:hAnsi="Times New Roman" w:cs="Times New Roman"/>
      <w:sz w:val="24"/>
      <w:szCs w:val="20"/>
    </w:rPr>
  </w:style>
  <w:style w:type="paragraph" w:styleId="BodyText3">
    <w:name w:val="Body Text 3"/>
    <w:basedOn w:val="Normal"/>
    <w:link w:val="BodyText3Char"/>
    <w:rsid w:val="00D330F6"/>
    <w:pPr>
      <w:spacing w:after="120"/>
    </w:pPr>
    <w:rPr>
      <w:sz w:val="16"/>
      <w:szCs w:val="16"/>
    </w:rPr>
  </w:style>
  <w:style w:type="character" w:customStyle="1" w:styleId="BodyText3Char">
    <w:name w:val="Body Text 3 Char"/>
    <w:basedOn w:val="DefaultParagraphFont"/>
    <w:link w:val="BodyText3"/>
    <w:rsid w:val="00D330F6"/>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uiPriority w:val="34"/>
    <w:qFormat/>
    <w:rsid w:val="00D330F6"/>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uiPriority w:val="34"/>
    <w:rsid w:val="00D330F6"/>
    <w:rPr>
      <w:rFonts w:ascii="Calibri" w:eastAsia="Calibri" w:hAnsi="Calibri" w:cs="Times New Roman"/>
      <w:lang w:val="id-ID"/>
    </w:rPr>
  </w:style>
  <w:style w:type="paragraph" w:styleId="BodyTextIndent2">
    <w:name w:val="Body Text Indent 2"/>
    <w:basedOn w:val="Normal"/>
    <w:link w:val="BodyTextIndent2Char"/>
    <w:uiPriority w:val="99"/>
    <w:semiHidden/>
    <w:unhideWhenUsed/>
    <w:rsid w:val="00270FB3"/>
    <w:pPr>
      <w:spacing w:after="120" w:line="480" w:lineRule="auto"/>
      <w:ind w:left="360"/>
    </w:pPr>
  </w:style>
  <w:style w:type="character" w:customStyle="1" w:styleId="BodyTextIndent2Char">
    <w:name w:val="Body Text Indent 2 Char"/>
    <w:basedOn w:val="DefaultParagraphFont"/>
    <w:link w:val="BodyTextIndent2"/>
    <w:uiPriority w:val="99"/>
    <w:semiHidden/>
    <w:rsid w:val="00270FB3"/>
    <w:rPr>
      <w:rFonts w:ascii="Times New Roman" w:eastAsia="Times New Roman" w:hAnsi="Times New Roman" w:cs="Times New Roman"/>
      <w:sz w:val="24"/>
      <w:szCs w:val="24"/>
    </w:rPr>
  </w:style>
  <w:style w:type="character" w:styleId="FootnoteReference">
    <w:name w:val="footnote reference"/>
    <w:aliases w:val="BVI fnr,Footnote Reference1"/>
    <w:rsid w:val="00270FB3"/>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270FB3"/>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270FB3"/>
    <w:rPr>
      <w:rFonts w:ascii="Times New Roman" w:eastAsia="Times New Roman" w:hAnsi="Times New Roman" w:cs="Times New Roman"/>
      <w:sz w:val="20"/>
      <w:szCs w:val="20"/>
    </w:rPr>
  </w:style>
  <w:style w:type="paragraph" w:customStyle="1" w:styleId="Default">
    <w:name w:val="Default"/>
    <w:rsid w:val="00C76C36"/>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3A"/>
    <w:rPr>
      <w:rFonts w:ascii="Tahoma" w:hAnsi="Tahoma" w:cs="Tahoma"/>
      <w:sz w:val="16"/>
      <w:szCs w:val="16"/>
    </w:rPr>
  </w:style>
  <w:style w:type="character" w:customStyle="1" w:styleId="BalloonTextChar">
    <w:name w:val="Balloon Text Char"/>
    <w:basedOn w:val="DefaultParagraphFont"/>
    <w:link w:val="BalloonText"/>
    <w:uiPriority w:val="99"/>
    <w:semiHidden/>
    <w:rsid w:val="008E533A"/>
    <w:rPr>
      <w:rFonts w:ascii="Tahoma" w:hAnsi="Tahoma" w:cs="Tahoma"/>
      <w:sz w:val="16"/>
      <w:szCs w:val="16"/>
    </w:rPr>
  </w:style>
  <w:style w:type="paragraph" w:styleId="Header">
    <w:name w:val="header"/>
    <w:basedOn w:val="Normal"/>
    <w:link w:val="HeaderChar"/>
    <w:rsid w:val="00EA1EF1"/>
    <w:pPr>
      <w:tabs>
        <w:tab w:val="center" w:pos="4320"/>
        <w:tab w:val="right" w:pos="8640"/>
      </w:tabs>
    </w:pPr>
  </w:style>
  <w:style w:type="character" w:customStyle="1" w:styleId="HeaderChar">
    <w:name w:val="Header Char"/>
    <w:basedOn w:val="DefaultParagraphFont"/>
    <w:link w:val="Header"/>
    <w:rsid w:val="00EA1EF1"/>
    <w:rPr>
      <w:rFonts w:ascii="Times New Roman" w:eastAsia="Times New Roman" w:hAnsi="Times New Roman" w:cs="Times New Roman"/>
      <w:sz w:val="24"/>
      <w:szCs w:val="24"/>
    </w:rPr>
  </w:style>
  <w:style w:type="paragraph" w:styleId="Footer">
    <w:name w:val="footer"/>
    <w:basedOn w:val="Normal"/>
    <w:link w:val="FooterChar"/>
    <w:rsid w:val="00EA1EF1"/>
    <w:pPr>
      <w:tabs>
        <w:tab w:val="center" w:pos="4320"/>
        <w:tab w:val="right" w:pos="8640"/>
      </w:tabs>
    </w:pPr>
  </w:style>
  <w:style w:type="character" w:customStyle="1" w:styleId="FooterChar">
    <w:name w:val="Footer Char"/>
    <w:basedOn w:val="DefaultParagraphFont"/>
    <w:link w:val="Footer"/>
    <w:rsid w:val="00EA1EF1"/>
    <w:rPr>
      <w:rFonts w:ascii="Times New Roman" w:eastAsia="Times New Roman" w:hAnsi="Times New Roman" w:cs="Times New Roman"/>
      <w:sz w:val="24"/>
      <w:szCs w:val="24"/>
    </w:rPr>
  </w:style>
  <w:style w:type="paragraph" w:styleId="BodyText">
    <w:name w:val="Body Text"/>
    <w:basedOn w:val="Normal"/>
    <w:link w:val="BodyTextChar"/>
    <w:rsid w:val="00D330F6"/>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D330F6"/>
    <w:rPr>
      <w:rFonts w:ascii="Bookman Old Style" w:eastAsia="Times New Roman" w:hAnsi="Bookman Old Style" w:cs="Times New Roman"/>
      <w:sz w:val="24"/>
      <w:szCs w:val="20"/>
    </w:rPr>
  </w:style>
  <w:style w:type="paragraph" w:styleId="BodyTextIndent">
    <w:name w:val="Body Text Indent"/>
    <w:basedOn w:val="Normal"/>
    <w:link w:val="BodyTextIndentChar"/>
    <w:rsid w:val="00D330F6"/>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D330F6"/>
    <w:rPr>
      <w:rFonts w:ascii="Times New Roman" w:eastAsia="Times New Roman" w:hAnsi="Times New Roman" w:cs="Times New Roman"/>
      <w:sz w:val="24"/>
      <w:szCs w:val="20"/>
    </w:rPr>
  </w:style>
  <w:style w:type="paragraph" w:styleId="BodyText3">
    <w:name w:val="Body Text 3"/>
    <w:basedOn w:val="Normal"/>
    <w:link w:val="BodyText3Char"/>
    <w:rsid w:val="00D330F6"/>
    <w:pPr>
      <w:spacing w:after="120"/>
    </w:pPr>
    <w:rPr>
      <w:sz w:val="16"/>
      <w:szCs w:val="16"/>
    </w:rPr>
  </w:style>
  <w:style w:type="character" w:customStyle="1" w:styleId="BodyText3Char">
    <w:name w:val="Body Text 3 Char"/>
    <w:basedOn w:val="DefaultParagraphFont"/>
    <w:link w:val="BodyText3"/>
    <w:rsid w:val="00D330F6"/>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uiPriority w:val="34"/>
    <w:qFormat/>
    <w:rsid w:val="00D330F6"/>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uiPriority w:val="34"/>
    <w:rsid w:val="00D330F6"/>
    <w:rPr>
      <w:rFonts w:ascii="Calibri" w:eastAsia="Calibri" w:hAnsi="Calibri" w:cs="Times New Roman"/>
      <w:lang w:val="id-ID"/>
    </w:rPr>
  </w:style>
  <w:style w:type="paragraph" w:styleId="BodyTextIndent2">
    <w:name w:val="Body Text Indent 2"/>
    <w:basedOn w:val="Normal"/>
    <w:link w:val="BodyTextIndent2Char"/>
    <w:uiPriority w:val="99"/>
    <w:semiHidden/>
    <w:unhideWhenUsed/>
    <w:rsid w:val="00270FB3"/>
    <w:pPr>
      <w:spacing w:after="120" w:line="480" w:lineRule="auto"/>
      <w:ind w:left="360"/>
    </w:pPr>
  </w:style>
  <w:style w:type="character" w:customStyle="1" w:styleId="BodyTextIndent2Char">
    <w:name w:val="Body Text Indent 2 Char"/>
    <w:basedOn w:val="DefaultParagraphFont"/>
    <w:link w:val="BodyTextIndent2"/>
    <w:uiPriority w:val="99"/>
    <w:semiHidden/>
    <w:rsid w:val="00270FB3"/>
    <w:rPr>
      <w:rFonts w:ascii="Times New Roman" w:eastAsia="Times New Roman" w:hAnsi="Times New Roman" w:cs="Times New Roman"/>
      <w:sz w:val="24"/>
      <w:szCs w:val="24"/>
    </w:rPr>
  </w:style>
  <w:style w:type="character" w:styleId="FootnoteReference">
    <w:name w:val="footnote reference"/>
    <w:aliases w:val="BVI fnr,Footnote Reference1"/>
    <w:rsid w:val="00270FB3"/>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270FB3"/>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270FB3"/>
    <w:rPr>
      <w:rFonts w:ascii="Times New Roman" w:eastAsia="Times New Roman" w:hAnsi="Times New Roman" w:cs="Times New Roman"/>
      <w:sz w:val="20"/>
      <w:szCs w:val="20"/>
    </w:rPr>
  </w:style>
  <w:style w:type="paragraph" w:customStyle="1" w:styleId="Default">
    <w:name w:val="Default"/>
    <w:rsid w:val="00C76C36"/>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2025-11-20T03:15:00Z</dcterms:created>
  <dcterms:modified xsi:type="dcterms:W3CDTF">2025-11-20T03:15:00Z</dcterms:modified>
</cp:coreProperties>
</file>