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3F" w:rsidRPr="00F02EBD" w:rsidRDefault="0078693F" w:rsidP="0078693F">
      <w:pPr>
        <w:pStyle w:val="BodyText3"/>
        <w:spacing w:after="0"/>
        <w:jc w:val="center"/>
        <w:rPr>
          <w:b/>
          <w:sz w:val="24"/>
          <w:szCs w:val="24"/>
          <w:lang w:val="en-US"/>
        </w:rPr>
      </w:pPr>
      <w:r w:rsidRPr="00F02EBD">
        <w:rPr>
          <w:b/>
          <w:sz w:val="24"/>
          <w:szCs w:val="24"/>
          <w:lang w:val="en-US"/>
        </w:rPr>
        <w:t>ABSTRAK</w:t>
      </w:r>
    </w:p>
    <w:p w:rsidR="0078693F" w:rsidRPr="00F02EBD" w:rsidRDefault="0078693F" w:rsidP="0078693F">
      <w:pPr>
        <w:pStyle w:val="BodyText3"/>
        <w:spacing w:after="0"/>
        <w:jc w:val="center"/>
        <w:rPr>
          <w:b/>
          <w:sz w:val="24"/>
          <w:szCs w:val="24"/>
          <w:lang w:val="en-US"/>
        </w:rPr>
      </w:pPr>
    </w:p>
    <w:p w:rsidR="0078693F" w:rsidRPr="00F02EBD" w:rsidRDefault="0078693F" w:rsidP="0078693F">
      <w:pPr>
        <w:pStyle w:val="BodyText3"/>
        <w:spacing w:after="0"/>
        <w:jc w:val="center"/>
        <w:rPr>
          <w:b/>
          <w:sz w:val="24"/>
        </w:rPr>
      </w:pPr>
      <w:r w:rsidRPr="00F02EBD">
        <w:rPr>
          <w:b/>
          <w:spacing w:val="4"/>
          <w:sz w:val="24"/>
        </w:rPr>
        <w:t xml:space="preserve">ANALISIS YURIDIS </w:t>
      </w:r>
      <w:r w:rsidRPr="00F02EBD">
        <w:rPr>
          <w:b/>
          <w:sz w:val="24"/>
        </w:rPr>
        <w:t xml:space="preserve">TINDAK PIDANA PENCURIAN DENGAN KEKERASAN DALAM KEADAAN MEMBERATKAN YANG MENGAKIBATKAN MATI </w:t>
      </w:r>
    </w:p>
    <w:p w:rsidR="0078693F" w:rsidRPr="00F02EBD" w:rsidRDefault="0078693F" w:rsidP="0078693F">
      <w:pPr>
        <w:pStyle w:val="BodyText3"/>
        <w:spacing w:after="0"/>
        <w:jc w:val="center"/>
        <w:rPr>
          <w:b/>
          <w:bCs/>
          <w:sz w:val="24"/>
        </w:rPr>
      </w:pPr>
      <w:r w:rsidRPr="00F02EBD">
        <w:rPr>
          <w:b/>
          <w:sz w:val="24"/>
        </w:rPr>
        <w:t>(</w:t>
      </w:r>
      <w:r w:rsidRPr="00F02EBD">
        <w:rPr>
          <w:b/>
          <w:bCs/>
          <w:sz w:val="24"/>
        </w:rPr>
        <w:t>StudiPutusanNomor 150/Pid.B/2023/PN Stb)</w:t>
      </w:r>
    </w:p>
    <w:p w:rsidR="0078693F" w:rsidRPr="00F02EBD" w:rsidRDefault="0078693F" w:rsidP="0078693F">
      <w:pPr>
        <w:pStyle w:val="BodyText3"/>
        <w:spacing w:after="0"/>
        <w:jc w:val="center"/>
        <w:rPr>
          <w:b/>
          <w:bCs/>
          <w:sz w:val="24"/>
        </w:rPr>
      </w:pPr>
    </w:p>
    <w:p w:rsidR="0078693F" w:rsidRPr="00F02EBD" w:rsidRDefault="0078693F" w:rsidP="0078693F">
      <w:pPr>
        <w:jc w:val="center"/>
        <w:rPr>
          <w:b/>
        </w:rPr>
      </w:pPr>
      <w:r w:rsidRPr="00F02EBD">
        <w:rPr>
          <w:b/>
        </w:rPr>
        <w:t>HotdenPakpahan</w:t>
      </w:r>
    </w:p>
    <w:p w:rsidR="0078693F" w:rsidRPr="00F02EBD" w:rsidRDefault="0078693F" w:rsidP="0078693F">
      <w:pPr>
        <w:jc w:val="center"/>
        <w:rPr>
          <w:b/>
          <w:u w:val="single"/>
        </w:rPr>
      </w:pPr>
      <w:r w:rsidRPr="00F02EBD">
        <w:rPr>
          <w:b/>
          <w:u w:val="single"/>
        </w:rPr>
        <w:t>(</w:t>
      </w:r>
      <w:r w:rsidRPr="00F02EBD">
        <w:rPr>
          <w:b/>
          <w:lang w:eastAsia="zh-CN"/>
        </w:rPr>
        <w:t>235114097)</w:t>
      </w:r>
    </w:p>
    <w:p w:rsidR="0078693F" w:rsidRPr="00F02EBD" w:rsidRDefault="0078693F" w:rsidP="0078693F">
      <w:r w:rsidRPr="00F02EBD">
        <w:rPr>
          <w:b/>
        </w:rPr>
        <w:tab/>
      </w:r>
      <w:r w:rsidRPr="00F02EBD">
        <w:rPr>
          <w:b/>
        </w:rPr>
        <w:tab/>
      </w:r>
      <w:r w:rsidRPr="00F02EBD">
        <w:rPr>
          <w:b/>
        </w:rPr>
        <w:tab/>
      </w:r>
      <w:r w:rsidRPr="00F02EBD">
        <w:rPr>
          <w:b/>
        </w:rPr>
        <w:tab/>
      </w:r>
      <w:r w:rsidRPr="00F02EBD">
        <w:rPr>
          <w:b/>
        </w:rPr>
        <w:tab/>
      </w:r>
      <w:r w:rsidRPr="00F02EBD">
        <w:rPr>
          <w:b/>
        </w:rPr>
        <w:tab/>
      </w:r>
    </w:p>
    <w:p w:rsidR="0078693F" w:rsidRPr="00F02EBD" w:rsidRDefault="0078693F" w:rsidP="0078693F">
      <w:pPr>
        <w:tabs>
          <w:tab w:val="num" w:pos="-2179"/>
          <w:tab w:val="num" w:pos="-293"/>
        </w:tabs>
        <w:autoSpaceDE w:val="0"/>
        <w:autoSpaceDN w:val="0"/>
        <w:adjustRightInd w:val="0"/>
        <w:spacing w:line="216" w:lineRule="auto"/>
        <w:jc w:val="both"/>
      </w:pPr>
      <w:r w:rsidRPr="00F02EBD">
        <w:t>Tindakpidanapencuriansampaisaatinimasihdilematisdanmenjadimasalah yang cukupseriussertamemerlukanpemecahan.Permasalahandalamskripsiiniadalahbagaimana</w:t>
      </w:r>
      <w:r w:rsidRPr="00F02EBD">
        <w:rPr>
          <w:color w:val="000000"/>
          <w:lang w:val="id-ID"/>
        </w:rPr>
        <w:t xml:space="preserve">pengaturan hukum tindak pidana pencurian disertai dengan kekerasan </w:t>
      </w:r>
      <w:r w:rsidRPr="00F02EBD">
        <w:rPr>
          <w:color w:val="000000"/>
        </w:rPr>
        <w:t>yang mengakibatkankorbanmeninggaldunia, bagaimana</w:t>
      </w:r>
      <w:r w:rsidRPr="00F02EBD">
        <w:t>upayapenanggulangantindakpidanapencuriandengankekerasan</w:t>
      </w:r>
      <w:r w:rsidRPr="00F02EBD">
        <w:rPr>
          <w:color w:val="000000"/>
        </w:rPr>
        <w:t>yang mengakibatkankorbanmeninggaldunia, bagaimanapertimbanganhukum hakim dalamputusan</w:t>
      </w:r>
      <w:r w:rsidRPr="00F02EBD">
        <w:rPr>
          <w:color w:val="000000"/>
          <w:lang w:val="id-ID"/>
        </w:rPr>
        <w:t xml:space="preserve">Pengadilan Negeri </w:t>
      </w:r>
      <w:r w:rsidRPr="00F02EBD">
        <w:rPr>
          <w:color w:val="000000"/>
        </w:rPr>
        <w:t>Stabat</w:t>
      </w:r>
      <w:r w:rsidRPr="00F02EBD">
        <w:rPr>
          <w:lang w:val="id-ID" w:eastAsia="id-ID"/>
        </w:rPr>
        <w:t xml:space="preserve">Nomor </w:t>
      </w:r>
      <w:r w:rsidRPr="00F02EBD">
        <w:rPr>
          <w:bCs/>
        </w:rPr>
        <w:t xml:space="preserve">150/Pid.B/2023/PN Stb. </w:t>
      </w:r>
      <w:r w:rsidRPr="00F02EBD">
        <w:t>Penelitianinimenggunakanmetodedeskriptifmelaluipendekatannormatif</w:t>
      </w:r>
      <w:r w:rsidRPr="00F02EBD">
        <w:rPr>
          <w:i/>
        </w:rPr>
        <w:t>(legal research)</w:t>
      </w:r>
      <w:r w:rsidRPr="00F02EBD">
        <w:t>yaitupendekatanterhadappermasalahan, dilakukandenganmengkajiberbagaiaspekhukumdarisegiperaturan-peraturan yang berlaku. P</w:t>
      </w:r>
      <w:r w:rsidRPr="00F02EBD">
        <w:rPr>
          <w:color w:val="000000"/>
        </w:rPr>
        <w:t>engaturanhukumtindakpidanapencuriandisertaidengankekerasan di minimarket Indomaretadalah</w:t>
      </w:r>
      <w:r w:rsidRPr="00F02EBD">
        <w:rPr>
          <w:rFonts w:eastAsia="MS Mincho"/>
        </w:rPr>
        <w:t>diatur</w:t>
      </w:r>
      <w:r w:rsidRPr="00F02EBD">
        <w:t xml:space="preserve">dalamPasal 365 KUHP.Pencuriandengankekerasanadalahpencurian yang didahului, disertai, diikutidengankekerasan yang ditujukanpada orang dengantujuanuntukmempermudahdalammelakukanaksinya. </w:t>
      </w:r>
      <w:r w:rsidRPr="00F02EBD">
        <w:rPr>
          <w:color w:val="000000"/>
        </w:rPr>
        <w:t>Pertanggungjawabanpelakutindak</w:t>
      </w:r>
      <w:r w:rsidRPr="00F02EBD">
        <w:rPr>
          <w:color w:val="000000"/>
          <w:spacing w:val="4"/>
        </w:rPr>
        <w:t>pidanapencurian</w:t>
      </w:r>
      <w:r w:rsidRPr="00F02EBD">
        <w:t xml:space="preserve">dengankekerasandi minimarket </w:t>
      </w:r>
      <w:r w:rsidRPr="00F02EBD">
        <w:rPr>
          <w:color w:val="000000"/>
        </w:rPr>
        <w:t>IndomaretadalahperbuatanterdakwatelahsesuaidengandakwaandariJaksaPenuntutUmumdan</w:t>
      </w:r>
      <w:r w:rsidRPr="00F02EBD">
        <w:t>terbuktisecarasahdanmeyakinkanbersalahmelakukantindakpidanapencuriandengankekerasan</w:t>
      </w:r>
      <w:r w:rsidRPr="00F02EBD">
        <w:rPr>
          <w:color w:val="000000"/>
        </w:rPr>
        <w:t>yang mengakibatkankorbanmeninggaldunia</w:t>
      </w:r>
      <w:r w:rsidRPr="00F02EBD">
        <w:t>danatelah</w:t>
      </w:r>
      <w:r w:rsidRPr="00F02EBD">
        <w:rPr>
          <w:color w:val="000000"/>
        </w:rPr>
        <w:t>memenuhiunsurPasal</w:t>
      </w:r>
      <w:r w:rsidRPr="00F02EBD">
        <w:t>365 ayat 4) KUHP</w:t>
      </w:r>
      <w:r w:rsidRPr="00F02EBD">
        <w:rPr>
          <w:color w:val="000000"/>
        </w:rPr>
        <w:t>idana, sehinggaterdakwaharusmempertanggungjawabkanperbuatan, denganmenjalanipidanapenjaraselama</w:t>
      </w:r>
      <w:r w:rsidRPr="00F02EBD">
        <w:t>20 (duapuluh) tahun.Hasilpenelitianmenunjukkan</w:t>
      </w:r>
      <w:r w:rsidRPr="00F02EBD">
        <w:rPr>
          <w:color w:val="000000"/>
        </w:rPr>
        <w:t>pertimbanganhukum hakim dalamputusanPengadilanNegeriStabat</w:t>
      </w:r>
      <w:r w:rsidRPr="00F02EBD">
        <w:rPr>
          <w:lang w:eastAsia="id-ID"/>
        </w:rPr>
        <w:t>Nomor</w:t>
      </w:r>
      <w:r w:rsidRPr="00F02EBD">
        <w:rPr>
          <w:bCs/>
        </w:rPr>
        <w:t>150/Pid.B/2023/PN Stb</w:t>
      </w:r>
      <w:r w:rsidRPr="00F02EBD">
        <w:rPr>
          <w:lang w:eastAsia="id-ID"/>
        </w:rPr>
        <w:t>adalah</w:t>
      </w:r>
      <w:r w:rsidRPr="00F02EBD">
        <w:rPr>
          <w:color w:val="000000"/>
        </w:rPr>
        <w:t>Majelis Hakim mempunyaipertimbangan-pertimbanganmulaidarituntutanJaksaPenuntutUmum, terpenuhinyaunsur-unsursesuaidenganpasal yang didakwakandantidakadaalasanpembenardanpemaaf, sehinggadinyatakanbersalah, sertahal-hal yang memberatkandanmeringankan. AdapunpertimbanganMajelis Hakim yang telahmemutusperkarainiyaitu</w:t>
      </w:r>
      <w:r w:rsidRPr="00F02EBD">
        <w:t>hal yang meringankanterdakwabersikapsopandalampersidangan, sedangkanhal yang memberatkanadalahperbuatanterdakwameresahkanmasyarakat.</w:t>
      </w:r>
    </w:p>
    <w:p w:rsidR="0078693F" w:rsidRPr="00F02EBD" w:rsidRDefault="0078693F" w:rsidP="0078693F">
      <w:pPr>
        <w:autoSpaceDE w:val="0"/>
        <w:autoSpaceDN w:val="0"/>
        <w:adjustRightInd w:val="0"/>
        <w:spacing w:line="204" w:lineRule="auto"/>
        <w:ind w:firstLine="720"/>
        <w:jc w:val="both"/>
      </w:pPr>
      <w:r w:rsidRPr="00F02EBD">
        <w:t xml:space="preserve">. </w:t>
      </w:r>
    </w:p>
    <w:p w:rsidR="0078693F" w:rsidRPr="00F02EBD" w:rsidRDefault="0078693F" w:rsidP="0078693F">
      <w:pPr>
        <w:autoSpaceDE w:val="0"/>
        <w:autoSpaceDN w:val="0"/>
        <w:adjustRightInd w:val="0"/>
        <w:jc w:val="both"/>
        <w:rPr>
          <w:b/>
        </w:rPr>
      </w:pPr>
      <w:r w:rsidRPr="00F02EBD">
        <w:rPr>
          <w:b/>
        </w:rPr>
        <w:t xml:space="preserve">Kata Kunci: </w:t>
      </w:r>
      <w:r w:rsidRPr="00F02EBD">
        <w:rPr>
          <w:b/>
          <w:color w:val="000000"/>
        </w:rPr>
        <w:t>TindakPidana, Pencurian, Kekerasan</w:t>
      </w:r>
    </w:p>
    <w:p w:rsidR="0078693F" w:rsidRPr="00F02EBD" w:rsidRDefault="0078693F" w:rsidP="0078693F">
      <w:pPr>
        <w:pStyle w:val="BodyText3"/>
        <w:spacing w:after="0"/>
        <w:jc w:val="center"/>
        <w:rPr>
          <w:b/>
          <w:sz w:val="32"/>
          <w:szCs w:val="24"/>
          <w:lang w:val="en-US"/>
        </w:rPr>
      </w:pPr>
    </w:p>
    <w:p w:rsidR="0078693F" w:rsidRPr="00F02EBD" w:rsidRDefault="0078693F" w:rsidP="0078693F">
      <w:pPr>
        <w:pStyle w:val="BodyText3"/>
        <w:spacing w:after="0"/>
        <w:jc w:val="center"/>
        <w:rPr>
          <w:b/>
          <w:sz w:val="24"/>
          <w:szCs w:val="24"/>
        </w:rPr>
      </w:pPr>
    </w:p>
    <w:p w:rsidR="0078693F" w:rsidRPr="00F02EBD" w:rsidRDefault="0078693F" w:rsidP="0078693F">
      <w:pPr>
        <w:pStyle w:val="BodyText3"/>
        <w:spacing w:after="0"/>
        <w:jc w:val="center"/>
        <w:rPr>
          <w:b/>
          <w:sz w:val="24"/>
          <w:szCs w:val="24"/>
        </w:rPr>
      </w:pPr>
    </w:p>
    <w:p w:rsidR="0078693F" w:rsidRPr="00F02EBD" w:rsidRDefault="0078693F" w:rsidP="0078693F">
      <w:pPr>
        <w:pStyle w:val="BodyText3"/>
        <w:spacing w:after="0"/>
        <w:jc w:val="center"/>
        <w:rPr>
          <w:b/>
          <w:sz w:val="24"/>
          <w:szCs w:val="24"/>
        </w:rPr>
      </w:pPr>
    </w:p>
    <w:p w:rsidR="0078693F" w:rsidRPr="00F02EBD" w:rsidRDefault="0078693F" w:rsidP="0078693F">
      <w:pPr>
        <w:pStyle w:val="BodyText3"/>
        <w:spacing w:after="0"/>
        <w:jc w:val="center"/>
        <w:rPr>
          <w:b/>
          <w:sz w:val="24"/>
          <w:szCs w:val="24"/>
        </w:rPr>
      </w:pPr>
    </w:p>
    <w:p w:rsidR="0078693F" w:rsidRPr="00F02EBD" w:rsidRDefault="0078693F" w:rsidP="0078693F">
      <w:pPr>
        <w:pStyle w:val="BodyText3"/>
        <w:spacing w:after="0"/>
        <w:jc w:val="center"/>
        <w:rPr>
          <w:b/>
          <w:sz w:val="24"/>
          <w:szCs w:val="24"/>
        </w:rPr>
      </w:pPr>
    </w:p>
    <w:p w:rsidR="0078693F" w:rsidRPr="00F02EBD" w:rsidRDefault="0078693F" w:rsidP="0078693F">
      <w:pPr>
        <w:pStyle w:val="BodyText3"/>
        <w:spacing w:after="0"/>
        <w:jc w:val="center"/>
        <w:rPr>
          <w:b/>
          <w:sz w:val="24"/>
          <w:szCs w:val="24"/>
        </w:rPr>
      </w:pPr>
    </w:p>
    <w:p w:rsidR="0078693F" w:rsidRPr="00F02EBD" w:rsidRDefault="0078693F" w:rsidP="0078693F">
      <w:pPr>
        <w:pStyle w:val="BodyText3"/>
        <w:spacing w:after="0"/>
        <w:jc w:val="center"/>
        <w:rPr>
          <w:b/>
          <w:sz w:val="24"/>
          <w:szCs w:val="24"/>
        </w:rPr>
      </w:pPr>
      <w:r w:rsidRPr="00F02EBD">
        <w:rPr>
          <w:b/>
          <w:sz w:val="24"/>
          <w:szCs w:val="24"/>
        </w:rPr>
        <w:t>ABSTRACT</w:t>
      </w:r>
    </w:p>
    <w:p w:rsidR="0078693F" w:rsidRPr="00F02EBD" w:rsidRDefault="0078693F" w:rsidP="0078693F">
      <w:pPr>
        <w:pStyle w:val="BodyText3"/>
        <w:spacing w:after="0"/>
        <w:jc w:val="center"/>
        <w:rPr>
          <w:b/>
          <w:sz w:val="24"/>
          <w:szCs w:val="24"/>
        </w:rPr>
      </w:pPr>
    </w:p>
    <w:p w:rsidR="0078693F" w:rsidRPr="00F02EBD" w:rsidRDefault="0078693F" w:rsidP="0078693F">
      <w:pPr>
        <w:pStyle w:val="BodyText3"/>
        <w:spacing w:after="0"/>
        <w:jc w:val="center"/>
        <w:rPr>
          <w:b/>
          <w:i/>
          <w:sz w:val="24"/>
          <w:szCs w:val="24"/>
        </w:rPr>
      </w:pPr>
      <w:r w:rsidRPr="00F02EBD">
        <w:rPr>
          <w:b/>
          <w:i/>
          <w:sz w:val="24"/>
          <w:szCs w:val="24"/>
        </w:rPr>
        <w:t xml:space="preserve">LEGAL ANALYSIS OF THE CRIMINAL ACT OF THEFT WITH VIOLENCE IN AGGRAVATING CIRCUMSTANCES </w:t>
      </w:r>
    </w:p>
    <w:p w:rsidR="0078693F" w:rsidRPr="00F02EBD" w:rsidRDefault="0078693F" w:rsidP="0078693F">
      <w:pPr>
        <w:pStyle w:val="BodyText3"/>
        <w:spacing w:after="0"/>
        <w:jc w:val="center"/>
        <w:rPr>
          <w:b/>
          <w:i/>
          <w:sz w:val="24"/>
          <w:szCs w:val="24"/>
        </w:rPr>
      </w:pPr>
      <w:r w:rsidRPr="00F02EBD">
        <w:rPr>
          <w:b/>
          <w:i/>
          <w:sz w:val="24"/>
          <w:szCs w:val="24"/>
        </w:rPr>
        <w:t>RESULTING IN DEATH</w:t>
      </w:r>
    </w:p>
    <w:p w:rsidR="0078693F" w:rsidRPr="00F02EBD" w:rsidRDefault="0078693F" w:rsidP="0078693F">
      <w:pPr>
        <w:pStyle w:val="BodyText3"/>
        <w:spacing w:after="0"/>
        <w:jc w:val="center"/>
        <w:rPr>
          <w:b/>
          <w:sz w:val="24"/>
          <w:szCs w:val="24"/>
        </w:rPr>
      </w:pPr>
      <w:r w:rsidRPr="00F02EBD">
        <w:rPr>
          <w:b/>
          <w:sz w:val="24"/>
          <w:szCs w:val="24"/>
        </w:rPr>
        <w:t>(Study of Decision Number 150/Pid.B/2023/PN Stb)</w:t>
      </w:r>
    </w:p>
    <w:p w:rsidR="0078693F" w:rsidRPr="00F02EBD" w:rsidRDefault="0078693F" w:rsidP="0078693F">
      <w:pPr>
        <w:pStyle w:val="BodyText3"/>
        <w:spacing w:after="0"/>
        <w:jc w:val="center"/>
        <w:rPr>
          <w:b/>
          <w:sz w:val="24"/>
          <w:szCs w:val="24"/>
        </w:rPr>
      </w:pPr>
    </w:p>
    <w:p w:rsidR="0078693F" w:rsidRPr="00F02EBD" w:rsidRDefault="0078693F" w:rsidP="0078693F">
      <w:pPr>
        <w:jc w:val="center"/>
        <w:rPr>
          <w:b/>
        </w:rPr>
      </w:pPr>
      <w:r w:rsidRPr="00F02EBD">
        <w:rPr>
          <w:b/>
        </w:rPr>
        <w:t>HotdenPakpahan</w:t>
      </w:r>
    </w:p>
    <w:p w:rsidR="0078693F" w:rsidRPr="00F02EBD" w:rsidRDefault="0078693F" w:rsidP="0078693F">
      <w:pPr>
        <w:jc w:val="center"/>
        <w:rPr>
          <w:b/>
          <w:u w:val="single"/>
        </w:rPr>
      </w:pPr>
      <w:r w:rsidRPr="00F02EBD">
        <w:rPr>
          <w:b/>
          <w:u w:val="single"/>
        </w:rPr>
        <w:t>(</w:t>
      </w:r>
      <w:r w:rsidRPr="00F02EBD">
        <w:rPr>
          <w:b/>
          <w:lang w:eastAsia="zh-CN"/>
        </w:rPr>
        <w:t>235114097)</w:t>
      </w:r>
    </w:p>
    <w:p w:rsidR="0078693F" w:rsidRPr="00F02EBD" w:rsidRDefault="0078693F" w:rsidP="0078693F">
      <w:pPr>
        <w:pStyle w:val="BodyText3"/>
        <w:spacing w:after="0"/>
        <w:jc w:val="both"/>
        <w:rPr>
          <w:i/>
          <w:sz w:val="24"/>
          <w:szCs w:val="24"/>
        </w:rPr>
      </w:pPr>
    </w:p>
    <w:p w:rsidR="0078693F" w:rsidRPr="00F02EBD" w:rsidRDefault="0078693F" w:rsidP="0078693F">
      <w:pPr>
        <w:pStyle w:val="BodyText3"/>
        <w:spacing w:after="0"/>
        <w:jc w:val="both"/>
        <w:rPr>
          <w:i/>
          <w:sz w:val="24"/>
          <w:szCs w:val="24"/>
        </w:rPr>
      </w:pPr>
      <w:r w:rsidRPr="00F02EBD">
        <w:rPr>
          <w:i/>
          <w:sz w:val="24"/>
          <w:szCs w:val="24"/>
        </w:rPr>
        <w:t>The crime of theft is still a dilemma and is a serious problem that requires a solution. The problems in this thesis are how to regulate the law on the crime of theft accompanied by violence that results in the death of the victim, how to overcome the crime of theft with violence that results in the death of the victim, how are the legal considerations of the judge in the decision of the Stabat District Court Number 150/Pid.B/2023/PN Stb. This study uses a descriptive method through a normative approach (legal research), namely an approach to the problem, carried out by examining various legal aspects in terms of applicable regulations. The legal provisions for the crime of theft accompanied by violence at the Indomaret minimarket are regulated in Article 365 of the Criminal Code. Theft with violence is theft that is preceded, accompanied, followed by violence aimed at people with the aim of making it easier to carry out the action. The responsibility of the perpetrator of the crime of theft with violence at the Indomaret minimarket is that the defendant's actions are in accordance with the indictment of the Public Prosecutor and have been legally and convincingly proven guilty of committing the crime of theft with violence which resulted in the victim's death and has fulfilled the elements of Article 365 paragraph 4) of the Criminal Code, so that the defendant must be held accountable for his actions, by serving a prison sentence of 20 (twenty) years. The results of the study show that the judge's legal considerations in the decision of the Stabat District Court Number 150 / Pid.B / 2023 / PN Stb are that the Panel of Judges has considerations starting from the demands of the Public Prosecutor, the fulfillment of elements in accordance with the articles charged and there are no justifications and excuses, so that he is found guilty, as well as aggravating and mitigating factors. The consideration of the Panel of Judges who have decided this case is that the mitigating factor is that the defendant behaved politely during the trial, while the aggravating factor is that the defendant's actions disturbed the community.</w:t>
      </w:r>
    </w:p>
    <w:p w:rsidR="0078693F" w:rsidRPr="00F02EBD" w:rsidRDefault="0078693F" w:rsidP="0078693F">
      <w:pPr>
        <w:pStyle w:val="BodyText3"/>
        <w:jc w:val="center"/>
        <w:rPr>
          <w:b/>
          <w:sz w:val="24"/>
          <w:szCs w:val="24"/>
        </w:rPr>
      </w:pPr>
      <w:r w:rsidRPr="00F02EBD">
        <w:rPr>
          <w:b/>
          <w:sz w:val="24"/>
          <w:szCs w:val="24"/>
        </w:rPr>
        <w:t>.</w:t>
      </w:r>
    </w:p>
    <w:p w:rsidR="0078693F" w:rsidRPr="00F02EBD" w:rsidRDefault="0078693F" w:rsidP="0078693F">
      <w:pPr>
        <w:pStyle w:val="BodyText3"/>
        <w:spacing w:after="0"/>
        <w:jc w:val="both"/>
        <w:rPr>
          <w:b/>
          <w:i/>
          <w:sz w:val="24"/>
          <w:szCs w:val="24"/>
        </w:rPr>
      </w:pPr>
      <w:r w:rsidRPr="00F02EBD">
        <w:rPr>
          <w:b/>
          <w:i/>
          <w:sz w:val="24"/>
          <w:szCs w:val="24"/>
        </w:rPr>
        <w:t>Keywords: Criminal Act, Theft, Violence</w:t>
      </w:r>
    </w:p>
    <w:p w:rsidR="0078693F" w:rsidRPr="00F02EBD" w:rsidRDefault="0078693F" w:rsidP="0078693F">
      <w:pPr>
        <w:pStyle w:val="BodyText3"/>
        <w:spacing w:after="0"/>
        <w:jc w:val="both"/>
        <w:rPr>
          <w:b/>
          <w:i/>
          <w:sz w:val="24"/>
          <w:szCs w:val="24"/>
        </w:rPr>
      </w:pPr>
    </w:p>
    <w:p w:rsidR="0078693F" w:rsidRPr="00F02EBD" w:rsidRDefault="0078693F" w:rsidP="0078693F">
      <w:pPr>
        <w:pStyle w:val="BodyText3"/>
        <w:spacing w:after="0"/>
        <w:jc w:val="both"/>
        <w:rPr>
          <w:b/>
          <w:i/>
          <w:sz w:val="24"/>
          <w:szCs w:val="24"/>
        </w:rPr>
      </w:pPr>
    </w:p>
    <w:p w:rsidR="001625C8" w:rsidRPr="0078693F" w:rsidRDefault="001625C8" w:rsidP="0078693F">
      <w:bookmarkStart w:id="0" w:name="_GoBack"/>
      <w:bookmarkEnd w:id="0"/>
    </w:p>
    <w:sectPr w:rsidR="001625C8" w:rsidRPr="0078693F" w:rsidSect="00712BEE">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D65" w:rsidRDefault="00751D65" w:rsidP="00CB5494">
      <w:r>
        <w:separator/>
      </w:r>
    </w:p>
  </w:endnote>
  <w:endnote w:type="continuationSeparator" w:id="1">
    <w:p w:rsidR="00751D65" w:rsidRDefault="00751D65" w:rsidP="00CB54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F6" w:rsidRDefault="00E330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44" w:rsidRDefault="00751D65">
    <w:pPr>
      <w:pStyle w:val="Footer"/>
      <w:jc w:val="center"/>
    </w:pPr>
  </w:p>
  <w:p w:rsidR="00504F44" w:rsidRDefault="00751D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F6" w:rsidRDefault="00E33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D65" w:rsidRDefault="00751D65" w:rsidP="00CB5494">
      <w:r>
        <w:separator/>
      </w:r>
    </w:p>
  </w:footnote>
  <w:footnote w:type="continuationSeparator" w:id="1">
    <w:p w:rsidR="00751D65" w:rsidRDefault="00751D65" w:rsidP="00CB5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F6" w:rsidRDefault="00E330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F6" w:rsidRPr="00F227E9" w:rsidRDefault="00E330F6" w:rsidP="00E330F6">
    <w:pPr>
      <w:pStyle w:val="Header"/>
      <w:jc w:val="right"/>
      <w:rPr>
        <w:lang w:val="id-ID"/>
      </w:rPr>
    </w:pPr>
    <w:r>
      <w:rPr>
        <w:lang w:val="id-ID"/>
      </w:rPr>
      <w:t>PUBLISH: 20/11/2025 10:37:51</w:t>
    </w:r>
  </w:p>
  <w:p w:rsidR="00504F44" w:rsidRDefault="00751D65">
    <w:pPr>
      <w:pStyle w:val="Header"/>
      <w:jc w:val="right"/>
    </w:pPr>
  </w:p>
  <w:p w:rsidR="00504F44" w:rsidRPr="007E1322" w:rsidRDefault="0078693F" w:rsidP="00846CAC">
    <w:pPr>
      <w:tabs>
        <w:tab w:val="left" w:pos="2700"/>
        <w:tab w:val="center" w:pos="4308"/>
      </w:tabs>
      <w:spacing w:line="360" w:lineRule="auto"/>
      <w:ind w:right="-680"/>
      <w:rPr>
        <w:b/>
        <w:color w:val="00B050"/>
        <w:sz w:val="28"/>
      </w:rPr>
    </w:pPr>
    <w:r>
      <w:rPr>
        <w:b/>
        <w:color w:val="00B050"/>
      </w:rPr>
      <w:tab/>
    </w:r>
    <w:r>
      <w:rPr>
        <w:b/>
        <w:color w:val="00B050"/>
      </w:rPr>
      <w:tab/>
    </w:r>
  </w:p>
  <w:p w:rsidR="00504F44" w:rsidRDefault="0078693F">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2226945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F6" w:rsidRDefault="00E330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formatting="1" w:enforcement="1" w:cryptProviderType="rsaFull" w:cryptAlgorithmClass="hash" w:cryptAlgorithmType="typeAny" w:cryptAlgorithmSid="4" w:cryptSpinCount="50000" w:hash="IfLU3qIH7EaaZIEEM3gjmRJ+afo=" w:salt="EL+Be/B3dkQ0D0qRv4kE/Q=="/>
  <w:defaultTabStop w:val="720"/>
  <w:characterSpacingControl w:val="doNotCompress"/>
  <w:footnotePr>
    <w:footnote w:id="0"/>
    <w:footnote w:id="1"/>
  </w:footnotePr>
  <w:endnotePr>
    <w:endnote w:id="0"/>
    <w:endnote w:id="1"/>
  </w:endnotePr>
  <w:compat/>
  <w:rsids>
    <w:rsidRoot w:val="00712BEE"/>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2BEE"/>
    <w:rsid w:val="00714979"/>
    <w:rsid w:val="00733A0C"/>
    <w:rsid w:val="00734419"/>
    <w:rsid w:val="00735230"/>
    <w:rsid w:val="007454FC"/>
    <w:rsid w:val="0075069E"/>
    <w:rsid w:val="00751D65"/>
    <w:rsid w:val="00756A74"/>
    <w:rsid w:val="00782808"/>
    <w:rsid w:val="0078693F"/>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B5494"/>
    <w:rsid w:val="00CF0A19"/>
    <w:rsid w:val="00CF197C"/>
    <w:rsid w:val="00D33069"/>
    <w:rsid w:val="00D4615A"/>
    <w:rsid w:val="00D869A0"/>
    <w:rsid w:val="00DB10A7"/>
    <w:rsid w:val="00DE62D3"/>
    <w:rsid w:val="00DF25BA"/>
    <w:rsid w:val="00E05F2F"/>
    <w:rsid w:val="00E06D0C"/>
    <w:rsid w:val="00E330F6"/>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val="x-none" w:eastAsia="x-none"/>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2025-11-20T03:41:00Z</dcterms:created>
  <dcterms:modified xsi:type="dcterms:W3CDTF">2025-11-20T03:41:00Z</dcterms:modified>
</cp:coreProperties>
</file>