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4C" w:rsidRPr="002B77DD" w:rsidRDefault="00DA624C" w:rsidP="00DA624C">
      <w:pPr>
        <w:spacing w:line="480" w:lineRule="auto"/>
        <w:jc w:val="center"/>
        <w:rPr>
          <w:b/>
          <w:color w:val="000000"/>
          <w:lang w:val="en-US"/>
        </w:rPr>
      </w:pPr>
      <w:r w:rsidRPr="002B77DD">
        <w:rPr>
          <w:b/>
          <w:color w:val="000000"/>
          <w:lang w:val="en-US"/>
        </w:rPr>
        <w:t>BAB II</w:t>
      </w:r>
    </w:p>
    <w:p w:rsidR="00DA624C" w:rsidRPr="002B77DD" w:rsidRDefault="00DA624C" w:rsidP="00DA624C">
      <w:pPr>
        <w:spacing w:line="480" w:lineRule="auto"/>
        <w:jc w:val="center"/>
        <w:rPr>
          <w:b/>
          <w:color w:val="000000"/>
          <w:lang w:val="en-US"/>
        </w:rPr>
      </w:pPr>
      <w:r w:rsidRPr="002B77DD">
        <w:rPr>
          <w:b/>
          <w:color w:val="000000"/>
          <w:lang w:val="en-US"/>
        </w:rPr>
        <w:t>TINJAUAN PUSTAKA</w:t>
      </w:r>
    </w:p>
    <w:p w:rsidR="00DA624C" w:rsidRPr="002B77DD" w:rsidRDefault="00DA624C" w:rsidP="00DA624C">
      <w:pPr>
        <w:pStyle w:val="BodyTextIndent"/>
        <w:numPr>
          <w:ilvl w:val="2"/>
          <w:numId w:val="12"/>
        </w:numPr>
        <w:tabs>
          <w:tab w:val="clear" w:pos="2625"/>
          <w:tab w:val="left" w:pos="426"/>
        </w:tabs>
        <w:spacing w:after="0" w:line="480" w:lineRule="auto"/>
        <w:ind w:left="426" w:hanging="426"/>
        <w:rPr>
          <w:color w:val="000000"/>
          <w:lang w:val="en-US"/>
        </w:rPr>
      </w:pPr>
      <w:r w:rsidRPr="002B77DD">
        <w:rPr>
          <w:color w:val="000000"/>
          <w:lang w:val="en-US"/>
        </w:rPr>
        <w:t>Pertanggungjawaban Pidana.</w:t>
      </w:r>
    </w:p>
    <w:p w:rsidR="00DA624C" w:rsidRPr="002B77DD" w:rsidRDefault="00DA624C" w:rsidP="00DA624C">
      <w:pPr>
        <w:autoSpaceDE w:val="0"/>
        <w:autoSpaceDN w:val="0"/>
        <w:adjustRightInd w:val="0"/>
        <w:spacing w:line="456" w:lineRule="auto"/>
        <w:ind w:firstLine="720"/>
        <w:jc w:val="both"/>
        <w:rPr>
          <w:noProof w:val="0"/>
          <w:color w:val="000000"/>
          <w:lang w:val="en-US"/>
        </w:rPr>
      </w:pPr>
      <w:r w:rsidRPr="002B77DD">
        <w:rPr>
          <w:noProof w:val="0"/>
          <w:color w:val="000000"/>
          <w:lang w:val="en-US"/>
        </w:rPr>
        <w:t>Konsep pertanggungjawaban pidana sesungguhnya tidak hanya menyangkut soal hukum semata-mata melaikan juga menyangkut soal nilai-nilai moral atau kesusilaan umum yang dianut oleh suatu masyarakat atau kelompok-kelompok dalam masyarakat, hal ini dilakukan agar pertanggungjawaban pidana itu dicapi dengan memenuhi keadilan.</w:t>
      </w:r>
      <w:r w:rsidRPr="002B77DD">
        <w:rPr>
          <w:rStyle w:val="FootnoteReference"/>
          <w:noProof w:val="0"/>
          <w:color w:val="000000"/>
          <w:lang w:val="en-US"/>
        </w:rPr>
        <w:footnoteReference w:id="2"/>
      </w:r>
      <w:r w:rsidRPr="002B77DD">
        <w:rPr>
          <w:noProof w:val="0"/>
          <w:color w:val="000000"/>
          <w:lang w:val="en-US"/>
        </w:rPr>
        <w:t xml:space="preserve"> Pertanggungjawaban pidana adalah suatu bentuk untuk menentukan apakah seorang tersangka atau terdakwa dipertanggungjawabkan atas suatu tindak pidana yang telah terjadi. Dengan kata lain pertanggungjawaban pidana adalah suatu bentuk yang menentukan apakah seseornag tersebuut dibebasakn atau dipidana.</w:t>
      </w:r>
      <w:r w:rsidRPr="002B77DD">
        <w:rPr>
          <w:rStyle w:val="FootnoteReference"/>
          <w:noProof w:val="0"/>
          <w:color w:val="000000"/>
          <w:lang w:val="en-US"/>
        </w:rPr>
        <w:footnoteReference w:id="3"/>
      </w:r>
    </w:p>
    <w:p w:rsidR="00DA624C" w:rsidRPr="002B77DD" w:rsidRDefault="00DA624C" w:rsidP="00DA624C">
      <w:pPr>
        <w:autoSpaceDE w:val="0"/>
        <w:autoSpaceDN w:val="0"/>
        <w:adjustRightInd w:val="0"/>
        <w:spacing w:line="456" w:lineRule="auto"/>
        <w:ind w:firstLine="720"/>
        <w:jc w:val="both"/>
        <w:rPr>
          <w:color w:val="000000"/>
          <w:lang w:val="en-US"/>
        </w:rPr>
      </w:pPr>
      <w:r w:rsidRPr="002B77DD">
        <w:rPr>
          <w:color w:val="000000"/>
          <w:lang w:val="en-US"/>
        </w:rPr>
        <w:t>B</w:t>
      </w:r>
      <w:r w:rsidRPr="002B77DD">
        <w:rPr>
          <w:color w:val="000000"/>
        </w:rPr>
        <w:t xml:space="preserve">eban pertanggungjawaban dibebankan kepada pelaku pelanggaran tindak pidana berkaitan dengan dasar untuk menjatuhkan sanksi pidana. Seseorang akan memiliki sifat pertanggungjawaban pidana apabila suatu hal atau perbuatan yang dilakukan olehnya bersifat melawan hukum, namun seseorang dapat hilang sifat </w:t>
      </w:r>
      <w:r w:rsidRPr="002B77DD">
        <w:rPr>
          <w:color w:val="000000"/>
          <w:lang w:val="en-US"/>
        </w:rPr>
        <w:t>p</w:t>
      </w:r>
      <w:r w:rsidRPr="002B77DD">
        <w:rPr>
          <w:color w:val="000000"/>
        </w:rPr>
        <w:t>ertanggungjawab</w:t>
      </w:r>
      <w:r w:rsidRPr="002B77DD">
        <w:rPr>
          <w:color w:val="000000"/>
          <w:lang w:val="en-US"/>
        </w:rPr>
        <w:t>an</w:t>
      </w:r>
      <w:r w:rsidRPr="002B77DD">
        <w:rPr>
          <w:color w:val="000000"/>
        </w:rPr>
        <w:t>nya apabila didalam dirinya ditemukan suatu unsur yang menyebabkan hilangnya kemampuan bertanggungjawab seseorang</w:t>
      </w:r>
      <w:r w:rsidRPr="002B77DD">
        <w:rPr>
          <w:color w:val="000000"/>
          <w:lang w:val="en-US"/>
        </w:rPr>
        <w:t>.</w:t>
      </w:r>
      <w:r w:rsidRPr="002B77DD">
        <w:rPr>
          <w:rStyle w:val="FootnoteReference"/>
          <w:color w:val="000000"/>
          <w:lang w:val="en-US"/>
        </w:rPr>
        <w:footnoteReference w:id="4"/>
      </w:r>
    </w:p>
    <w:p w:rsidR="00DA624C" w:rsidRPr="002B77DD" w:rsidRDefault="00DA624C" w:rsidP="00DA624C">
      <w:pPr>
        <w:autoSpaceDE w:val="0"/>
        <w:autoSpaceDN w:val="0"/>
        <w:adjustRightInd w:val="0"/>
        <w:spacing w:line="456" w:lineRule="auto"/>
        <w:ind w:firstLine="720"/>
        <w:jc w:val="both"/>
        <w:rPr>
          <w:color w:val="000000"/>
          <w:lang w:val="en-US" w:eastAsia="id-ID"/>
        </w:rPr>
      </w:pPr>
      <w:r w:rsidRPr="002B77DD">
        <w:rPr>
          <w:color w:val="000000"/>
        </w:rPr>
        <w:t>Menurut Chairul Huda bahwa dasar adanya tindak pidana adalah asas legalitas, sedangkan dapat dipidananya pembuat adalah atas dasar kesalahan, hal ini berarti bahwa seseorang akan mempunya</w:t>
      </w:r>
      <w:r w:rsidRPr="002B77DD">
        <w:rPr>
          <w:color w:val="000000"/>
          <w:lang w:val="en-US"/>
        </w:rPr>
        <w:t>i</w:t>
      </w:r>
      <w:r w:rsidRPr="002B77DD">
        <w:rPr>
          <w:color w:val="000000"/>
        </w:rPr>
        <w:t xml:space="preserve"> pertanggungjawaban pidana bila ia telah melakukan perbuatan yang salah dan bertentangan dengan hukum. Pada </w:t>
      </w:r>
      <w:r w:rsidRPr="002B77DD">
        <w:rPr>
          <w:color w:val="000000"/>
        </w:rPr>
        <w:lastRenderedPageBreak/>
        <w:t>hakikatnya pertanggungjawaban pidana adalah suatu bentuk mekanisme yang diciptakan untuk berekasi atas pelanggaran suatu perbuatan tertentu yang telah disepakati.</w:t>
      </w:r>
      <w:r w:rsidRPr="002B77DD">
        <w:rPr>
          <w:rStyle w:val="FootnoteReference"/>
          <w:color w:val="000000"/>
        </w:rPr>
        <w:footnoteReference w:id="5"/>
      </w:r>
    </w:p>
    <w:p w:rsidR="00DA624C" w:rsidRPr="002B77DD" w:rsidRDefault="00DA624C" w:rsidP="00DA624C">
      <w:pPr>
        <w:autoSpaceDE w:val="0"/>
        <w:autoSpaceDN w:val="0"/>
        <w:adjustRightInd w:val="0"/>
        <w:spacing w:line="456" w:lineRule="auto"/>
        <w:ind w:firstLine="720"/>
        <w:jc w:val="both"/>
        <w:rPr>
          <w:color w:val="000000"/>
          <w:lang w:val="en-US"/>
        </w:rPr>
      </w:pPr>
      <w:r w:rsidRPr="002B77DD">
        <w:rPr>
          <w:color w:val="000000"/>
          <w:lang w:val="en-US" w:eastAsia="id-ID"/>
        </w:rPr>
        <w:t>A</w:t>
      </w:r>
      <w:r w:rsidRPr="002B77DD">
        <w:rPr>
          <w:color w:val="000000"/>
          <w:lang w:eastAsia="id-ID"/>
        </w:rPr>
        <w:t>danya pertanggungjawaban pidana diperlukan syarat bahwa pembuat mampu bertanggung jawab. Tidaklah mungkin seseorang dapat dipertanggungjawabkan apabila ia tidak mampu bertanggung jawab.</w:t>
      </w:r>
      <w:r w:rsidRPr="002B77DD">
        <w:rPr>
          <w:rStyle w:val="FootnoteReference"/>
          <w:color w:val="000000"/>
          <w:lang w:eastAsia="id-ID"/>
        </w:rPr>
        <w:footnoteReference w:id="6"/>
      </w:r>
      <w:r w:rsidRPr="002B77DD">
        <w:rPr>
          <w:color w:val="000000"/>
          <w:lang w:val="en-US" w:eastAsia="id-ID"/>
        </w:rPr>
        <w:t xml:space="preserve">Perusakan fasilitas umum </w:t>
      </w:r>
      <w:r w:rsidRPr="002B77DD">
        <w:rPr>
          <w:color w:val="000000"/>
        </w:rPr>
        <w:t>apabila ditinjau dari aspek hukum pidana positif Indonesia, maka perbuatan tersebut dapat dikategorikan sebagai suatu tindak pidana</w:t>
      </w:r>
      <w:r w:rsidRPr="002B77DD">
        <w:rPr>
          <w:color w:val="000000"/>
          <w:lang w:val="en-US"/>
        </w:rPr>
        <w:t xml:space="preserve">. </w:t>
      </w:r>
      <w:r w:rsidRPr="002B77DD">
        <w:rPr>
          <w:rStyle w:val="FootnoteReference"/>
          <w:color w:val="000000"/>
          <w:lang w:val="en-US"/>
        </w:rPr>
        <w:footnoteReference w:id="7"/>
      </w:r>
    </w:p>
    <w:p w:rsidR="00DA624C" w:rsidRPr="002B77DD" w:rsidRDefault="00DA624C" w:rsidP="00DA624C">
      <w:pPr>
        <w:autoSpaceDE w:val="0"/>
        <w:autoSpaceDN w:val="0"/>
        <w:adjustRightInd w:val="0"/>
        <w:spacing w:line="456" w:lineRule="auto"/>
        <w:ind w:firstLine="720"/>
        <w:jc w:val="both"/>
        <w:rPr>
          <w:color w:val="000000"/>
        </w:rPr>
      </w:pPr>
      <w:r w:rsidRPr="002B77DD">
        <w:rPr>
          <w:color w:val="000000"/>
          <w:lang w:val="en-US"/>
        </w:rPr>
        <w:t>H</w:t>
      </w:r>
      <w:r w:rsidRPr="002B77DD">
        <w:rPr>
          <w:color w:val="000000"/>
        </w:rPr>
        <w:t>ukum pidana positif Indonesia selain mengatur mengenai kepentingan antar individu juga dengan negara selaku institusi yang memiliki fungsi untuk melindungi setiap warga negaranya, dalam hal ini seseorang yang telah menjadi korban dari suatu tindak pidana.</w:t>
      </w:r>
      <w:r w:rsidRPr="002B77DD">
        <w:rPr>
          <w:rStyle w:val="FootnoteReference"/>
          <w:color w:val="000000"/>
        </w:rPr>
        <w:footnoteReference w:id="8"/>
      </w:r>
      <w:r w:rsidRPr="002B77DD">
        <w:rPr>
          <w:color w:val="000000"/>
        </w:rPr>
        <w:t xml:space="preserve"> Pada dasarnya untuk menentukan seseorang telah melakukan suatu tindak pidana atau tidak, maka harus memenuhi unsur-unsur tindak pidana, yaitu:</w:t>
      </w:r>
    </w:p>
    <w:p w:rsidR="00DA624C" w:rsidRPr="002B77DD" w:rsidRDefault="00DA624C" w:rsidP="00DA624C">
      <w:pPr>
        <w:numPr>
          <w:ilvl w:val="1"/>
          <w:numId w:val="18"/>
        </w:numPr>
        <w:tabs>
          <w:tab w:val="left" w:pos="426"/>
        </w:tabs>
        <w:spacing w:line="456" w:lineRule="auto"/>
        <w:ind w:left="426" w:hanging="426"/>
        <w:rPr>
          <w:color w:val="000000"/>
        </w:rPr>
      </w:pPr>
      <w:r w:rsidRPr="002B77DD">
        <w:rPr>
          <w:color w:val="000000"/>
        </w:rPr>
        <w:t>Adanya suatu perbuatan</w:t>
      </w:r>
    </w:p>
    <w:p w:rsidR="00DA624C" w:rsidRPr="002B77DD" w:rsidRDefault="00DA624C" w:rsidP="00DA624C">
      <w:pPr>
        <w:numPr>
          <w:ilvl w:val="1"/>
          <w:numId w:val="18"/>
        </w:numPr>
        <w:tabs>
          <w:tab w:val="left" w:pos="426"/>
        </w:tabs>
        <w:spacing w:line="456" w:lineRule="auto"/>
        <w:ind w:left="426" w:hanging="426"/>
        <w:rPr>
          <w:color w:val="000000"/>
        </w:rPr>
      </w:pPr>
      <w:r w:rsidRPr="002B77DD">
        <w:rPr>
          <w:color w:val="000000"/>
        </w:rPr>
        <w:t>Perbuatan tersebut dilarang oleh undang-undang</w:t>
      </w:r>
    </w:p>
    <w:p w:rsidR="00DA624C" w:rsidRPr="002B77DD" w:rsidRDefault="00DA624C" w:rsidP="00DA624C">
      <w:pPr>
        <w:numPr>
          <w:ilvl w:val="1"/>
          <w:numId w:val="18"/>
        </w:numPr>
        <w:tabs>
          <w:tab w:val="left" w:pos="426"/>
        </w:tabs>
        <w:spacing w:line="456" w:lineRule="auto"/>
        <w:ind w:left="426" w:hanging="426"/>
        <w:rPr>
          <w:color w:val="000000"/>
        </w:rPr>
      </w:pPr>
      <w:r w:rsidRPr="002B77DD">
        <w:rPr>
          <w:color w:val="000000"/>
        </w:rPr>
        <w:t>Perbuatan tersebut diancam dengan pidana</w:t>
      </w:r>
    </w:p>
    <w:p w:rsidR="00DA624C" w:rsidRPr="002B77DD" w:rsidRDefault="00DA624C" w:rsidP="00DA624C">
      <w:pPr>
        <w:numPr>
          <w:ilvl w:val="1"/>
          <w:numId w:val="18"/>
        </w:numPr>
        <w:tabs>
          <w:tab w:val="left" w:pos="426"/>
        </w:tabs>
        <w:spacing w:line="516" w:lineRule="auto"/>
        <w:ind w:left="426" w:hanging="426"/>
        <w:rPr>
          <w:color w:val="000000"/>
        </w:rPr>
      </w:pPr>
      <w:r w:rsidRPr="002B77DD">
        <w:rPr>
          <w:color w:val="000000"/>
        </w:rPr>
        <w:t>Perbuatan tersebut dapat dipertanggung jawabkan oleh pelaku.</w:t>
      </w:r>
      <w:r w:rsidRPr="002B77DD">
        <w:rPr>
          <w:rStyle w:val="FootnoteReference"/>
          <w:color w:val="000000"/>
        </w:rPr>
        <w:footnoteReference w:id="9"/>
      </w:r>
    </w:p>
    <w:p w:rsidR="00DA624C" w:rsidRPr="002B77DD" w:rsidRDefault="00DA624C" w:rsidP="00DA624C">
      <w:pPr>
        <w:spacing w:line="516" w:lineRule="auto"/>
        <w:ind w:firstLine="720"/>
        <w:jc w:val="both"/>
        <w:rPr>
          <w:color w:val="000000"/>
          <w:lang w:val="en-US"/>
        </w:rPr>
      </w:pPr>
      <w:r w:rsidRPr="002B77DD">
        <w:rPr>
          <w:color w:val="000000"/>
          <w:lang w:val="en-US"/>
        </w:rPr>
        <w:t>S</w:t>
      </w:r>
      <w:r w:rsidRPr="002B77DD">
        <w:rPr>
          <w:color w:val="000000"/>
        </w:rPr>
        <w:t xml:space="preserve">etiap orang yang melakukan tindak pidana  tidak selalu dapat dipidana, tergantung apakah orang atau terdakwa tersebut dalam melakukan tindak pidananya mempunyai kesalahan atau tidak. Sebab untuk menjatuhkan pidana </w:t>
      </w:r>
      <w:r w:rsidRPr="002B77DD">
        <w:rPr>
          <w:color w:val="000000"/>
        </w:rPr>
        <w:lastRenderedPageBreak/>
        <w:t>terhadap seseorang yang melakukan suatu tindak pidana tidak cukup hanya dengan dilakukanya suatu tindak pidana, tetapi juga harus ada unsur kesalahan di dalamnya.</w:t>
      </w:r>
      <w:r w:rsidRPr="002B77DD">
        <w:rPr>
          <w:rStyle w:val="FootnoteReference"/>
          <w:color w:val="000000"/>
        </w:rPr>
        <w:footnoteReference w:id="10"/>
      </w:r>
    </w:p>
    <w:p w:rsidR="00DA624C" w:rsidRPr="002B77DD" w:rsidRDefault="00DA624C" w:rsidP="00DA624C">
      <w:pPr>
        <w:spacing w:line="480" w:lineRule="auto"/>
        <w:ind w:firstLine="720"/>
        <w:jc w:val="both"/>
        <w:rPr>
          <w:color w:val="000000"/>
          <w:lang w:val="en-US"/>
        </w:rPr>
      </w:pPr>
      <w:r w:rsidRPr="002B77DD">
        <w:rPr>
          <w:color w:val="000000"/>
        </w:rPr>
        <w:t>Mengenai pengertian kesalahan atau pertanggungjawaban pidana terlepas dari perbuatan pidana, karena dalam hal perbuatan pidana yang menjadi objeknya adalah perbuatannya sedangkan dalam hal pertanggungjawaban pidana yang menjadi objeknya adalah orang yang melakukan perbuatan pidana tersebut.</w:t>
      </w:r>
      <w:r w:rsidRPr="002B77DD">
        <w:rPr>
          <w:rStyle w:val="FootnoteReference"/>
          <w:color w:val="000000"/>
        </w:rPr>
        <w:footnoteReference w:id="11"/>
      </w:r>
    </w:p>
    <w:p w:rsidR="00DA624C" w:rsidRPr="002B77DD" w:rsidRDefault="00DA624C" w:rsidP="00DA624C">
      <w:pPr>
        <w:spacing w:line="480" w:lineRule="auto"/>
        <w:ind w:firstLine="720"/>
        <w:jc w:val="both"/>
        <w:rPr>
          <w:color w:val="000000"/>
        </w:rPr>
      </w:pPr>
      <w:r w:rsidRPr="002B77DD">
        <w:rPr>
          <w:color w:val="000000"/>
        </w:rPr>
        <w:t>Dasar dari perbuatan pidana adalah asas legalitas (Pasal 1 ayat (1)KUHP)</w:t>
      </w:r>
      <w:r w:rsidRPr="002B77DD">
        <w:rPr>
          <w:color w:val="000000"/>
          <w:lang w:val="en-US"/>
        </w:rPr>
        <w:t xml:space="preserve"> yang </w:t>
      </w:r>
      <w:r w:rsidRPr="002B77DD">
        <w:rPr>
          <w:color w:val="000000"/>
        </w:rPr>
        <w:t xml:space="preserve">menyatakan bahwa tiada suatu perbuatan yang dapat dipidana kecuali atas peraturan perundang-undangan yang telah ada sebelumnya”, sedangkan dasar daripada dipidananya pelaku adalah asas tiada pidana tanpa kesalahan </w:t>
      </w:r>
      <w:r w:rsidRPr="002B77DD">
        <w:rPr>
          <w:i/>
          <w:iCs/>
          <w:color w:val="000000"/>
        </w:rPr>
        <w:t>(geen straf zonder shculd)</w:t>
      </w:r>
      <w:r w:rsidRPr="002B77DD">
        <w:rPr>
          <w:color w:val="000000"/>
        </w:rPr>
        <w:t xml:space="preserve">. </w:t>
      </w:r>
      <w:r w:rsidRPr="002B77DD">
        <w:rPr>
          <w:rStyle w:val="FootnoteReference"/>
          <w:color w:val="000000"/>
        </w:rPr>
        <w:footnoteReference w:id="12"/>
      </w:r>
    </w:p>
    <w:p w:rsidR="00DA624C" w:rsidRPr="002B77DD" w:rsidRDefault="00DA624C" w:rsidP="00DA624C">
      <w:pPr>
        <w:spacing w:line="480" w:lineRule="auto"/>
        <w:ind w:firstLine="720"/>
        <w:jc w:val="both"/>
        <w:rPr>
          <w:color w:val="000000"/>
        </w:rPr>
      </w:pPr>
      <w:r w:rsidRPr="002B77DD">
        <w:rPr>
          <w:color w:val="000000"/>
          <w:lang w:val="en-US"/>
        </w:rPr>
        <w:t>M</w:t>
      </w:r>
      <w:r w:rsidRPr="002B77DD">
        <w:rPr>
          <w:color w:val="000000"/>
        </w:rPr>
        <w:t xml:space="preserve">enjatuhkan pidana terhadap seseorang dalam hal ini pelaku tindak </w:t>
      </w:r>
      <w:r w:rsidRPr="002B77DD">
        <w:rPr>
          <w:color w:val="000000"/>
          <w:lang w:val="en-US"/>
        </w:rPr>
        <w:t>perusakan fasilitas umum</w:t>
      </w:r>
      <w:r w:rsidRPr="002B77DD">
        <w:rPr>
          <w:color w:val="000000"/>
        </w:rPr>
        <w:t>, Moeljatno berpendapat bahwa</w:t>
      </w:r>
      <w:r w:rsidRPr="002B77DD">
        <w:rPr>
          <w:color w:val="000000"/>
          <w:lang w:val="en-US"/>
        </w:rPr>
        <w:t xml:space="preserve"> t</w:t>
      </w:r>
      <w:r w:rsidRPr="002B77DD">
        <w:rPr>
          <w:color w:val="000000"/>
        </w:rPr>
        <w:t>erlebih dahulu harus dipastikan bahwa pelaku telah melakukan perbuatan pidana yang bersifat melawan hukum baik formil maupun materiil baru kemudian perbuatan pidana yang dilakukan pelaku tersebut dapat dihubungkan dengan unsur-unsur kesalahan, sehingga untuk adanya kesalahan yang mengakibatkan dipidananya terdakwa haruslah:</w:t>
      </w:r>
    </w:p>
    <w:p w:rsidR="00DA624C" w:rsidRPr="002B77DD" w:rsidRDefault="00DA624C" w:rsidP="00DA624C">
      <w:pPr>
        <w:numPr>
          <w:ilvl w:val="1"/>
          <w:numId w:val="17"/>
        </w:numPr>
        <w:tabs>
          <w:tab w:val="left" w:pos="426"/>
          <w:tab w:val="left" w:pos="7920"/>
        </w:tabs>
        <w:spacing w:line="480" w:lineRule="auto"/>
        <w:ind w:left="426" w:hanging="426"/>
        <w:rPr>
          <w:color w:val="000000"/>
        </w:rPr>
      </w:pPr>
      <w:r w:rsidRPr="002B77DD">
        <w:rPr>
          <w:color w:val="000000"/>
        </w:rPr>
        <w:t>Melakukan perbuatan pidana;</w:t>
      </w:r>
    </w:p>
    <w:p w:rsidR="00DA624C" w:rsidRPr="002B77DD" w:rsidRDefault="00DA624C" w:rsidP="00DA624C">
      <w:pPr>
        <w:numPr>
          <w:ilvl w:val="1"/>
          <w:numId w:val="17"/>
        </w:numPr>
        <w:tabs>
          <w:tab w:val="left" w:pos="426"/>
          <w:tab w:val="left" w:pos="1980"/>
          <w:tab w:val="left" w:pos="2160"/>
          <w:tab w:val="left" w:pos="2340"/>
          <w:tab w:val="left" w:pos="4320"/>
          <w:tab w:val="left" w:pos="7920"/>
        </w:tabs>
        <w:spacing w:line="480" w:lineRule="auto"/>
        <w:ind w:left="426" w:hanging="426"/>
        <w:rPr>
          <w:color w:val="000000"/>
        </w:rPr>
      </w:pPr>
      <w:r w:rsidRPr="002B77DD">
        <w:rPr>
          <w:color w:val="000000"/>
        </w:rPr>
        <w:t>Mampu bertanggung jawab;</w:t>
      </w:r>
    </w:p>
    <w:p w:rsidR="00DA624C" w:rsidRPr="002B77DD" w:rsidRDefault="00DA624C" w:rsidP="00DA624C">
      <w:pPr>
        <w:numPr>
          <w:ilvl w:val="1"/>
          <w:numId w:val="17"/>
        </w:numPr>
        <w:tabs>
          <w:tab w:val="left" w:pos="426"/>
          <w:tab w:val="left" w:pos="7920"/>
        </w:tabs>
        <w:spacing w:line="480" w:lineRule="auto"/>
        <w:ind w:left="426" w:hanging="426"/>
        <w:rPr>
          <w:color w:val="000000"/>
        </w:rPr>
      </w:pPr>
      <w:r w:rsidRPr="002B77DD">
        <w:rPr>
          <w:color w:val="000000"/>
        </w:rPr>
        <w:lastRenderedPageBreak/>
        <w:t>Dengan kesengajaan (</w:t>
      </w:r>
      <w:r w:rsidRPr="002B77DD">
        <w:rPr>
          <w:i/>
          <w:color w:val="000000"/>
        </w:rPr>
        <w:t>dolus/opzet) atau kealpaan (culpa).</w:t>
      </w:r>
    </w:p>
    <w:p w:rsidR="00DA624C" w:rsidRPr="002B77DD" w:rsidRDefault="00DA624C" w:rsidP="00DA624C">
      <w:pPr>
        <w:numPr>
          <w:ilvl w:val="1"/>
          <w:numId w:val="17"/>
        </w:numPr>
        <w:tabs>
          <w:tab w:val="left" w:pos="426"/>
          <w:tab w:val="left" w:pos="7920"/>
        </w:tabs>
        <w:spacing w:line="480" w:lineRule="auto"/>
        <w:ind w:left="426" w:hanging="426"/>
        <w:rPr>
          <w:color w:val="000000"/>
        </w:rPr>
      </w:pPr>
      <w:r w:rsidRPr="002B77DD">
        <w:rPr>
          <w:color w:val="000000"/>
        </w:rPr>
        <w:t>Tidak danya alasan pemaaf.</w:t>
      </w:r>
      <w:r w:rsidRPr="002B77DD">
        <w:rPr>
          <w:rStyle w:val="FootnoteReference"/>
          <w:color w:val="000000"/>
        </w:rPr>
        <w:footnoteReference w:id="13"/>
      </w:r>
    </w:p>
    <w:p w:rsidR="00DA624C" w:rsidRPr="002B77DD" w:rsidRDefault="00DA624C" w:rsidP="00DA624C">
      <w:pPr>
        <w:spacing w:line="480" w:lineRule="auto"/>
        <w:ind w:firstLine="720"/>
        <w:jc w:val="both"/>
        <w:rPr>
          <w:color w:val="000000"/>
        </w:rPr>
      </w:pPr>
      <w:r w:rsidRPr="002B77DD">
        <w:rPr>
          <w:color w:val="000000"/>
          <w:lang w:val="en-US"/>
        </w:rPr>
        <w:t>M</w:t>
      </w:r>
      <w:r w:rsidRPr="002B77DD">
        <w:rPr>
          <w:color w:val="000000"/>
        </w:rPr>
        <w:t>enentukan ada atau tidaknya kesalahan pada pelaku tindak pidana, pertama-tama harus ditentukan apakah terdakwa mempunyai kemampuan untuk bertanggung jawab atau tidak atas tindak pidana yang dilakukannya. Kemampuan beratanggung jawab terdakwa berkenaan dengan keadaan jiwa/bathin terdakwa yang sehat ketika melakukan tindak pidana, pelaku dianggap mampu bertanggung jawab atas perbuatannya harus memenuhi beberapa syarat, yaitu:</w:t>
      </w:r>
    </w:p>
    <w:p w:rsidR="00DA624C" w:rsidRPr="002B77DD" w:rsidRDefault="00DA624C" w:rsidP="00DA624C">
      <w:pPr>
        <w:numPr>
          <w:ilvl w:val="0"/>
          <w:numId w:val="20"/>
        </w:numPr>
        <w:tabs>
          <w:tab w:val="left" w:pos="426"/>
        </w:tabs>
        <w:spacing w:line="480" w:lineRule="auto"/>
        <w:ind w:left="360"/>
        <w:jc w:val="both"/>
        <w:rPr>
          <w:color w:val="000000"/>
        </w:rPr>
      </w:pPr>
      <w:r w:rsidRPr="002B77DD">
        <w:rPr>
          <w:color w:val="000000"/>
        </w:rPr>
        <w:t xml:space="preserve">Kemampuan untuk membeda-bedakan antara perbuatan yang baik dan yang buruk; yang sesuai hukum dan yang melawan hukum; </w:t>
      </w:r>
    </w:p>
    <w:p w:rsidR="00DA624C" w:rsidRPr="002B77DD" w:rsidRDefault="00DA624C" w:rsidP="00DA624C">
      <w:pPr>
        <w:numPr>
          <w:ilvl w:val="0"/>
          <w:numId w:val="20"/>
        </w:numPr>
        <w:tabs>
          <w:tab w:val="left" w:pos="426"/>
        </w:tabs>
        <w:spacing w:line="480" w:lineRule="auto"/>
        <w:ind w:left="360"/>
        <w:jc w:val="both"/>
        <w:rPr>
          <w:color w:val="000000"/>
        </w:rPr>
      </w:pPr>
      <w:r w:rsidRPr="002B77DD">
        <w:rPr>
          <w:color w:val="000000"/>
        </w:rPr>
        <w:t>Kemampuan untuk menentukan kehendaknya menurut keinsyafan tentang baik dan buruknya perbuatan tadi.</w:t>
      </w:r>
      <w:r w:rsidRPr="002B77DD">
        <w:rPr>
          <w:rStyle w:val="FootnoteReference"/>
          <w:color w:val="000000"/>
        </w:rPr>
        <w:footnoteReference w:id="14"/>
      </w:r>
    </w:p>
    <w:p w:rsidR="00DA624C" w:rsidRPr="002B77DD" w:rsidRDefault="00DA624C" w:rsidP="00DA624C">
      <w:pPr>
        <w:spacing w:line="480" w:lineRule="auto"/>
        <w:ind w:firstLine="720"/>
        <w:jc w:val="both"/>
        <w:rPr>
          <w:color w:val="000000"/>
        </w:rPr>
      </w:pPr>
      <w:r w:rsidRPr="002B77DD">
        <w:rPr>
          <w:iCs/>
          <w:color w:val="000000"/>
        </w:rPr>
        <w:t>Faktor akal</w:t>
      </w:r>
      <w:r w:rsidRPr="002B77DD">
        <w:rPr>
          <w:i/>
          <w:color w:val="000000"/>
        </w:rPr>
        <w:t>(intelektual factor)</w:t>
      </w:r>
      <w:r w:rsidRPr="002B77DD">
        <w:rPr>
          <w:color w:val="000000"/>
        </w:rPr>
        <w:t xml:space="preserve"> yaitu dapat membeda-bedakan antara perbuatan yang diperbolehkan dan yang tidak. F</w:t>
      </w:r>
      <w:r w:rsidRPr="002B77DD">
        <w:rPr>
          <w:iCs/>
          <w:color w:val="000000"/>
        </w:rPr>
        <w:t xml:space="preserve">aktor perasaan </w:t>
      </w:r>
      <w:r w:rsidRPr="002B77DD">
        <w:rPr>
          <w:color w:val="000000"/>
        </w:rPr>
        <w:t xml:space="preserve">atau </w:t>
      </w:r>
      <w:r w:rsidRPr="002B77DD">
        <w:rPr>
          <w:iCs/>
          <w:color w:val="000000"/>
        </w:rPr>
        <w:t>kehendak</w:t>
      </w:r>
      <w:r w:rsidRPr="002B77DD">
        <w:rPr>
          <w:i/>
          <w:color w:val="000000"/>
        </w:rPr>
        <w:t xml:space="preserve">(volitional factor) </w:t>
      </w:r>
      <w:r w:rsidRPr="002B77DD">
        <w:rPr>
          <w:color w:val="000000"/>
        </w:rPr>
        <w:t>yaitu dapat menyesuaikan tingkah lakunya dengan keinsyafan atas mana yang diperbolehkan dan mana yang tidak. Sesuai dengan yang tercantum dalam Pasal 44 ayat (1) KUHP yaitu:</w:t>
      </w:r>
    </w:p>
    <w:p w:rsidR="00DA624C" w:rsidRPr="002B77DD" w:rsidRDefault="00DA624C" w:rsidP="00DA624C">
      <w:pPr>
        <w:numPr>
          <w:ilvl w:val="2"/>
          <w:numId w:val="16"/>
        </w:numPr>
        <w:tabs>
          <w:tab w:val="left" w:pos="1134"/>
          <w:tab w:val="left" w:pos="6480"/>
          <w:tab w:val="left" w:pos="7920"/>
        </w:tabs>
        <w:ind w:left="1134" w:hanging="426"/>
        <w:jc w:val="both"/>
        <w:rPr>
          <w:color w:val="000000"/>
        </w:rPr>
      </w:pPr>
      <w:r w:rsidRPr="002B77DD">
        <w:rPr>
          <w:color w:val="000000"/>
        </w:rPr>
        <w:t>Barangsiapa melakukan perbuatan yang tidak dapat dipertanggungjawabkan kepadanya karena jiwanya cacat dalam pertumbuhan atau terganggu karena penyakit, tidak dipidana.</w:t>
      </w:r>
    </w:p>
    <w:p w:rsidR="00DA624C" w:rsidRPr="002B77DD" w:rsidRDefault="00DA624C" w:rsidP="00DA624C">
      <w:pPr>
        <w:numPr>
          <w:ilvl w:val="2"/>
          <w:numId w:val="16"/>
        </w:numPr>
        <w:tabs>
          <w:tab w:val="left" w:pos="1134"/>
          <w:tab w:val="left" w:pos="7920"/>
        </w:tabs>
        <w:ind w:left="1134" w:hanging="426"/>
        <w:jc w:val="both"/>
        <w:rPr>
          <w:color w:val="000000"/>
        </w:rPr>
      </w:pPr>
      <w:r w:rsidRPr="002B77DD">
        <w:rPr>
          <w:color w:val="000000"/>
        </w:rPr>
        <w:t>Jika ternyata perbuatan itu tidak dapat dipertanggung jawabkan kepada pelakunya karena pertumbuhan jiwanya yang cacat atau terganggu karena penyakit, maka hakim dapat memerintahkan supaya orang itu dimasukan ke rumah sakit jiwa, paling lama satu tahun sebagai waktu percobaan.</w:t>
      </w:r>
    </w:p>
    <w:p w:rsidR="00DA624C" w:rsidRPr="002B77DD" w:rsidRDefault="00DA624C" w:rsidP="00DA624C">
      <w:pPr>
        <w:tabs>
          <w:tab w:val="left" w:pos="1134"/>
          <w:tab w:val="left" w:pos="7920"/>
        </w:tabs>
        <w:ind w:left="1134"/>
        <w:jc w:val="both"/>
        <w:rPr>
          <w:color w:val="000000"/>
        </w:rPr>
      </w:pPr>
    </w:p>
    <w:p w:rsidR="00DA624C" w:rsidRPr="002B77DD" w:rsidRDefault="00DA624C" w:rsidP="00DA624C">
      <w:pPr>
        <w:spacing w:line="456" w:lineRule="auto"/>
        <w:ind w:firstLine="720"/>
        <w:jc w:val="both"/>
        <w:rPr>
          <w:color w:val="000000"/>
        </w:rPr>
      </w:pPr>
      <w:r w:rsidRPr="002B77DD">
        <w:rPr>
          <w:color w:val="000000"/>
        </w:rPr>
        <w:lastRenderedPageBreak/>
        <w:t xml:space="preserve">Mengenai </w:t>
      </w:r>
      <w:r w:rsidRPr="002B77DD">
        <w:rPr>
          <w:iCs/>
          <w:color w:val="000000"/>
        </w:rPr>
        <w:t>ketidakmampuan bertanggung jawab</w:t>
      </w:r>
      <w:r w:rsidRPr="002B77DD">
        <w:rPr>
          <w:color w:val="000000"/>
        </w:rPr>
        <w:t>sebagai hal yang dapat menghapuskan pidana dapat ditempuh melalui tiga cara, yaitu:</w:t>
      </w:r>
    </w:p>
    <w:p w:rsidR="00DA624C" w:rsidRPr="002B77DD" w:rsidRDefault="00DA624C" w:rsidP="00DA624C">
      <w:pPr>
        <w:numPr>
          <w:ilvl w:val="0"/>
          <w:numId w:val="19"/>
        </w:numPr>
        <w:ind w:left="1134"/>
        <w:jc w:val="both"/>
        <w:rPr>
          <w:color w:val="000000"/>
        </w:rPr>
      </w:pPr>
      <w:r w:rsidRPr="002B77DD">
        <w:rPr>
          <w:color w:val="000000"/>
        </w:rPr>
        <w:t>Ditentukan sebab-sebab yang menghapuskan pemidanaan.</w:t>
      </w:r>
    </w:p>
    <w:p w:rsidR="00DA624C" w:rsidRPr="002B77DD" w:rsidRDefault="00DA624C" w:rsidP="00DA624C">
      <w:pPr>
        <w:ind w:left="1134"/>
        <w:jc w:val="both"/>
        <w:rPr>
          <w:color w:val="000000"/>
        </w:rPr>
      </w:pPr>
      <w:r w:rsidRPr="002B77DD">
        <w:rPr>
          <w:color w:val="000000"/>
        </w:rPr>
        <w:t xml:space="preserve">Menurut sistem ini, jika tabib </w:t>
      </w:r>
      <w:r w:rsidRPr="002B77DD">
        <w:rPr>
          <w:i/>
          <w:color w:val="000000"/>
        </w:rPr>
        <w:t>(psychiater)</w:t>
      </w:r>
      <w:r w:rsidRPr="002B77DD">
        <w:rPr>
          <w:color w:val="000000"/>
        </w:rPr>
        <w:t xml:space="preserve"> telah menyatakan bahwa terdakwa adalah gila </w:t>
      </w:r>
      <w:r w:rsidRPr="002B77DD">
        <w:rPr>
          <w:i/>
          <w:color w:val="000000"/>
        </w:rPr>
        <w:t>(insane)</w:t>
      </w:r>
      <w:r w:rsidRPr="002B77DD">
        <w:rPr>
          <w:color w:val="000000"/>
        </w:rPr>
        <w:t xml:space="preserve"> atau tak sehat pikirannya (</w:t>
      </w:r>
      <w:r w:rsidRPr="002B77DD">
        <w:rPr>
          <w:i/>
          <w:color w:val="000000"/>
        </w:rPr>
        <w:t>unsound mind),</w:t>
      </w:r>
      <w:r w:rsidRPr="002B77DD">
        <w:rPr>
          <w:color w:val="000000"/>
        </w:rPr>
        <w:t xml:space="preserve"> maka hakim tidak boleh menyatakan salah dan menjatuhkan pidana. Sistem ini dinamakan dengan sistem deskriptif (menyatakan). </w:t>
      </w:r>
    </w:p>
    <w:p w:rsidR="00DA624C" w:rsidRPr="002B77DD" w:rsidRDefault="00DA624C" w:rsidP="00DA624C">
      <w:pPr>
        <w:numPr>
          <w:ilvl w:val="0"/>
          <w:numId w:val="19"/>
        </w:numPr>
        <w:ind w:left="1134"/>
        <w:jc w:val="both"/>
        <w:rPr>
          <w:color w:val="000000"/>
        </w:rPr>
      </w:pPr>
      <w:r w:rsidRPr="002B77DD">
        <w:rPr>
          <w:color w:val="000000"/>
        </w:rPr>
        <w:t>Menyebutkan akibatnya saja; penyakitnya sendiri tidak ditentukan.</w:t>
      </w:r>
    </w:p>
    <w:p w:rsidR="00DA624C" w:rsidRPr="002B77DD" w:rsidRDefault="00DA624C" w:rsidP="00DA624C">
      <w:pPr>
        <w:ind w:left="1134"/>
        <w:jc w:val="both"/>
        <w:rPr>
          <w:color w:val="000000"/>
        </w:rPr>
      </w:pPr>
      <w:r w:rsidRPr="002B77DD">
        <w:rPr>
          <w:color w:val="000000"/>
        </w:rPr>
        <w:t>Di sini yang penting ialah, apakah dia mampu menginsyafi makna perbuatannya atau menginsyafi bahwa dia melakukan sesuatu yang tidak baik atau bertentangan dengan hukum. Perumusan ini luas sekali sehingga mungkin ada bahayanya. Sistem ini dinamakan normatif (mempernilai). Di sini hakimlah yang menentukan.</w:t>
      </w:r>
    </w:p>
    <w:p w:rsidR="00DA624C" w:rsidRPr="002B77DD" w:rsidRDefault="00DA624C" w:rsidP="00DA624C">
      <w:pPr>
        <w:numPr>
          <w:ilvl w:val="0"/>
          <w:numId w:val="19"/>
        </w:numPr>
        <w:ind w:left="1134"/>
        <w:jc w:val="both"/>
        <w:rPr>
          <w:color w:val="000000"/>
        </w:rPr>
      </w:pPr>
      <w:r w:rsidRPr="002B77DD">
        <w:rPr>
          <w:color w:val="000000"/>
        </w:rPr>
        <w:t>Gabungan dari 1 dan 2, yaitu menentukan sebab-sebab penyakit, dan jika penyakit itu harus sedemikian rupa akibatnya hingga dianggap tidak dapat dipertanggung jawabkan padanya (deskriptif normatif).</w:t>
      </w:r>
      <w:r w:rsidRPr="002B77DD">
        <w:rPr>
          <w:rStyle w:val="FootnoteReference"/>
          <w:color w:val="000000"/>
        </w:rPr>
        <w:footnoteReference w:id="15"/>
      </w:r>
    </w:p>
    <w:p w:rsidR="00DA624C" w:rsidRPr="002B77DD" w:rsidRDefault="00DA624C" w:rsidP="00DA624C">
      <w:pPr>
        <w:ind w:left="720"/>
        <w:jc w:val="both"/>
        <w:rPr>
          <w:color w:val="000000"/>
        </w:rPr>
      </w:pPr>
    </w:p>
    <w:p w:rsidR="00DA624C" w:rsidRPr="002B77DD" w:rsidRDefault="00DA624C" w:rsidP="00DA624C">
      <w:pPr>
        <w:spacing w:line="480" w:lineRule="auto"/>
        <w:ind w:firstLine="720"/>
        <w:jc w:val="both"/>
        <w:rPr>
          <w:color w:val="000000"/>
          <w:lang w:val="en-US"/>
        </w:rPr>
      </w:pPr>
      <w:r w:rsidRPr="002B77DD">
        <w:rPr>
          <w:color w:val="000000"/>
          <w:lang w:val="en-US"/>
        </w:rPr>
        <w:t>M</w:t>
      </w:r>
      <w:r w:rsidRPr="002B77DD">
        <w:rPr>
          <w:color w:val="000000"/>
        </w:rPr>
        <w:t>enentukan mampu bertanggung jawab atau tidaknya pelaku dalam melakukan perbuatan pidana diperlukan adanya kerjasama antara dokter/psikiater dan hakim, karena sudah menjadi tugas dan wewenang dokter/psikiater dalam menentukan ada atau tidaknya sebab-sebab ketidakmampuan bertanggung jawab, sedangkan hakim yang menilai apakah karena sebab-sebab tersebut terdakwa mampu bertanggung jawab atau tidak.</w:t>
      </w:r>
      <w:r w:rsidRPr="002B77DD">
        <w:rPr>
          <w:rStyle w:val="FootnoteReference"/>
          <w:color w:val="000000"/>
        </w:rPr>
        <w:footnoteReference w:id="16"/>
      </w:r>
    </w:p>
    <w:p w:rsidR="00DA624C" w:rsidRPr="002B77DD" w:rsidRDefault="00DA624C" w:rsidP="00DA624C">
      <w:pPr>
        <w:spacing w:line="480" w:lineRule="auto"/>
        <w:ind w:firstLine="720"/>
        <w:jc w:val="both"/>
        <w:rPr>
          <w:color w:val="000000"/>
          <w:lang w:val="en-US"/>
        </w:rPr>
      </w:pPr>
      <w:r w:rsidRPr="002B77DD">
        <w:rPr>
          <w:color w:val="000000"/>
        </w:rPr>
        <w:t>Unsur kesalahan merupakan unsur utama dalam pertanggungjawaban pidana. Dalam pengertian perbuatan tindak pidana tidak termasuk halpertanggungjawaban pidana</w:t>
      </w:r>
      <w:r w:rsidRPr="002B77DD">
        <w:rPr>
          <w:color w:val="000000"/>
          <w:lang w:val="en-US"/>
        </w:rPr>
        <w:t>.P</w:t>
      </w:r>
      <w:r w:rsidRPr="002B77DD">
        <w:rPr>
          <w:color w:val="000000"/>
        </w:rPr>
        <w:t>erbuatan pidana hanya menunjuk kepada apakah perbuatan tersebut melawan hukum atau dilarang oleh hukum, mengenai apakah seseorang yang melakukan tindak pidana tersebut kemudian dipidana tergantung kepada apakah seseorang yang melakukan perbuatan pidana tersebut memiliki unsur kesalahan atau tid</w:t>
      </w:r>
      <w:r w:rsidRPr="002B77DD">
        <w:rPr>
          <w:color w:val="000000"/>
          <w:lang w:val="en-US"/>
        </w:rPr>
        <w:t>ak.</w:t>
      </w:r>
    </w:p>
    <w:p w:rsidR="00DA624C" w:rsidRPr="002B77DD" w:rsidRDefault="00DA624C" w:rsidP="00DA624C">
      <w:pPr>
        <w:spacing w:line="480" w:lineRule="auto"/>
        <w:ind w:firstLine="720"/>
        <w:jc w:val="both"/>
        <w:rPr>
          <w:color w:val="000000"/>
          <w:lang w:val="en-US"/>
        </w:rPr>
      </w:pPr>
      <w:r w:rsidRPr="002B77DD">
        <w:rPr>
          <w:color w:val="000000"/>
        </w:rPr>
        <w:lastRenderedPageBreak/>
        <w:t xml:space="preserve">Pertanggungjawaban pidana dala comman law system selalu dikaitkan dengan </w:t>
      </w:r>
      <w:r w:rsidRPr="002B77DD">
        <w:rPr>
          <w:i/>
          <w:iCs/>
          <w:color w:val="000000"/>
        </w:rPr>
        <w:t xml:space="preserve">mens rea </w:t>
      </w:r>
      <w:r w:rsidRPr="002B77DD">
        <w:rPr>
          <w:color w:val="000000"/>
        </w:rPr>
        <w:t xml:space="preserve">dam </w:t>
      </w:r>
      <w:r w:rsidRPr="002B77DD">
        <w:rPr>
          <w:i/>
          <w:iCs/>
          <w:color w:val="000000"/>
        </w:rPr>
        <w:t>pemidanaan (punishment</w:t>
      </w:r>
      <w:r w:rsidRPr="002B77DD">
        <w:rPr>
          <w:color w:val="000000"/>
        </w:rPr>
        <w:t>). Pertanggungjawaban pidana memiliki hubungan dengan kemasyrakatan yaitu hubungan pertanggungjawaban dengan masyarakat sebagi fungus, fungsi disni pertanggungjawaban memiliki daya penjatuhan pidana sehingga pertanggubgjawaban disini memiliki fungsi control sisosial sehingga didalam masyarakat tidak terjadi tindak pidana.</w:t>
      </w:r>
      <w:r w:rsidRPr="002B77DD">
        <w:rPr>
          <w:rStyle w:val="FootnoteReference"/>
          <w:color w:val="000000"/>
        </w:rPr>
        <w:footnoteReference w:id="17"/>
      </w:r>
    </w:p>
    <w:p w:rsidR="00DA624C" w:rsidRPr="002B77DD" w:rsidRDefault="00DA624C" w:rsidP="00DA624C">
      <w:pPr>
        <w:pStyle w:val="BodyTextIndent2"/>
        <w:spacing w:line="444" w:lineRule="auto"/>
        <w:ind w:left="0" w:firstLine="720"/>
        <w:rPr>
          <w:color w:val="000000"/>
          <w:lang w:val="en-US"/>
        </w:rPr>
      </w:pPr>
      <w:r w:rsidRPr="002B77DD">
        <w:rPr>
          <w:color w:val="000000"/>
        </w:rPr>
        <w:t xml:space="preserve">Selain hal itu pertanggungjawaban pidana dalam common law system berhubungan dengan </w:t>
      </w:r>
      <w:r w:rsidRPr="002B77DD">
        <w:rPr>
          <w:i/>
          <w:color w:val="000000"/>
        </w:rPr>
        <w:t>mens rea</w:t>
      </w:r>
      <w:r w:rsidRPr="002B77DD">
        <w:rPr>
          <w:color w:val="000000"/>
        </w:rPr>
        <w:t>, bahwa pertanggungjawban pidana dilandasi oleh keadaan suatu mental yaitu sebagi suatu pikiran yang salah (</w:t>
      </w:r>
      <w:r w:rsidRPr="002B77DD">
        <w:rPr>
          <w:i/>
          <w:iCs/>
          <w:color w:val="000000"/>
        </w:rPr>
        <w:t>a guilty mind</w:t>
      </w:r>
      <w:r w:rsidRPr="002B77DD">
        <w:rPr>
          <w:color w:val="000000"/>
        </w:rPr>
        <w:t xml:space="preserve">). </w:t>
      </w:r>
      <w:r w:rsidRPr="002B77DD">
        <w:rPr>
          <w:i/>
          <w:iCs/>
          <w:color w:val="000000"/>
        </w:rPr>
        <w:t xml:space="preserve">Guilty mind </w:t>
      </w:r>
      <w:r w:rsidRPr="002B77DD">
        <w:rPr>
          <w:color w:val="000000"/>
        </w:rPr>
        <w:t xml:space="preserve">mengandung arti sebagai suatu kesalahan yang subjektif , yaitu seseorang dinyatakan bersalah karena pada diri pembuat dinilai memiliki pikiran yang salah, sehingga orang tersebut harus bertanggungjawab. Adanya pertanggungjawabn pidana dibebankan kepada pembuat maka pembuat pidana harus dipidana. Tidak adanya pikiran yang salah </w:t>
      </w:r>
      <w:r w:rsidRPr="002B77DD">
        <w:rPr>
          <w:i/>
          <w:iCs/>
          <w:color w:val="000000"/>
        </w:rPr>
        <w:t xml:space="preserve">(no guilty mind) </w:t>
      </w:r>
      <w:r w:rsidRPr="002B77DD">
        <w:rPr>
          <w:color w:val="000000"/>
        </w:rPr>
        <w:t>berarti tidak ada pertanggungjawaban pidana dan berakibat tidak dipidanya pembuat.</w:t>
      </w:r>
      <w:r w:rsidRPr="002B77DD">
        <w:rPr>
          <w:rStyle w:val="FootnoteReference"/>
          <w:color w:val="000000"/>
        </w:rPr>
        <w:footnoteReference w:id="18"/>
      </w:r>
    </w:p>
    <w:p w:rsidR="00DA624C" w:rsidRPr="002B77DD" w:rsidRDefault="00DA624C" w:rsidP="00DA624C">
      <w:pPr>
        <w:pStyle w:val="BodyTextIndent2"/>
        <w:ind w:left="0" w:firstLine="720"/>
        <w:rPr>
          <w:color w:val="000000"/>
          <w:lang w:val="en-US"/>
        </w:rPr>
      </w:pPr>
      <w:r w:rsidRPr="002B77DD">
        <w:rPr>
          <w:color w:val="000000"/>
        </w:rPr>
        <w:t xml:space="preserve">Kesalahan sebagai bagian </w:t>
      </w:r>
      <w:r w:rsidRPr="002B77DD">
        <w:rPr>
          <w:i/>
          <w:color w:val="000000"/>
        </w:rPr>
        <w:t>mens rea</w:t>
      </w:r>
      <w:r w:rsidRPr="002B77DD">
        <w:rPr>
          <w:color w:val="000000"/>
        </w:rPr>
        <w:t xml:space="preserve"> juga diartikan sebagai kesalahan karena melanggar aturan, atau melanggar tata peraturan perundang-undangan. Setiap orang yang melakukan pelanggaran terhadap undang-undang maka oran</w:t>
      </w:r>
      <w:r w:rsidRPr="002B77DD">
        <w:rPr>
          <w:color w:val="000000"/>
          <w:lang w:val="en-US"/>
        </w:rPr>
        <w:t xml:space="preserve">g </w:t>
      </w:r>
      <w:r w:rsidRPr="002B77DD">
        <w:rPr>
          <w:color w:val="000000"/>
        </w:rPr>
        <w:t xml:space="preserve">tersebut wajib bertanggungjawab atas apa yang telah dilakukan. Kesalahan sebagai unsur pertanggungjawaban dalam pandangan ini menjadikan suatu jaminan bagi seseorang dan menjadikan kontrol terhadap kebebasan seseorang terhadap orang lain. Adanya jaminan ini menjadikan seseorang akan terlindung </w:t>
      </w:r>
      <w:r w:rsidRPr="002B77DD">
        <w:rPr>
          <w:color w:val="000000"/>
        </w:rPr>
        <w:lastRenderedPageBreak/>
        <w:t>dari perbuatan orang lain yang melakukan pelanggaran hukum, dan sebagi suatu control karena setiap orang yang melakukan pelanggaran hukum pidana dibebani pertanggungjawaban pidana.</w:t>
      </w:r>
      <w:r w:rsidRPr="002B77DD">
        <w:rPr>
          <w:rStyle w:val="FootnoteReference"/>
          <w:color w:val="000000"/>
          <w:lang w:eastAsia="id-ID"/>
        </w:rPr>
        <w:footnoteReference w:id="19"/>
      </w:r>
    </w:p>
    <w:p w:rsidR="00DA624C" w:rsidRPr="002B77DD" w:rsidRDefault="00DA624C" w:rsidP="00DA624C">
      <w:pPr>
        <w:pStyle w:val="BodyTextIndent2"/>
        <w:spacing w:line="504" w:lineRule="auto"/>
        <w:ind w:left="0" w:firstLine="720"/>
        <w:rPr>
          <w:color w:val="000000"/>
          <w:lang w:val="en-US"/>
        </w:rPr>
      </w:pPr>
      <w:r w:rsidRPr="002B77DD">
        <w:rPr>
          <w:color w:val="000000"/>
          <w:lang w:val="en-US"/>
        </w:rPr>
        <w:t>KUHP</w:t>
      </w:r>
      <w:r w:rsidRPr="002B77DD">
        <w:rPr>
          <w:color w:val="000000"/>
        </w:rPr>
        <w:t xml:space="preserve"> tidak menyebutkan secara jelas mengenai system pertanggungjawaban pidana yang dianut. Beberapa Pasal dalam KUHP sering menyebutkan kesalahan baik berupa kesengajaan ataupun kealpaan, namun sayangnya mengenai pengertian kesalahan kesengjaan maupun kealpaan tidak dijelaskan pengertiannya oleh Undang-undang. tidak adanya penjelasan lebih lanjut mengenai kesalahan kesengajaan maupun kealpaan, namun berdasarkan doktrin dan pendapat para ahli hukum mengenai pasal-pasal yang ada dalam KUHP dapat simpulakan bahwa dalam pasal-pasal tersebut mengandung unsur-unsur kesalahan kesengajaan maupun kealpaan yang harus dibuktikan oleh pengadilan, sehingga untuk memidanakan pelaku yang melakukan perbuatan tindak pidana, selain telah terbukti melakukan tindak pidana maka mengenai unsur kesalahan yang disengaja ataupun atau kealpaan juga harus dibuktikan.</w:t>
      </w:r>
      <w:r w:rsidRPr="002B77DD">
        <w:rPr>
          <w:rStyle w:val="FootnoteReference"/>
          <w:color w:val="000000"/>
        </w:rPr>
        <w:footnoteReference w:id="20"/>
      </w:r>
      <w:r w:rsidRPr="002B77DD">
        <w:rPr>
          <w:color w:val="000000"/>
        </w:rPr>
        <w:t xml:space="preserve"> Artinya dalam hal pertanggungjawaban pidana ini tidak terlepas dari peranan hakim untuk membuktikan mengenai unsur-unsur pertanggung jawaban pidana itu sendiri sebab apabila unusur-unsur tersebut tidak dapat dibuktikan kebenarannya makan seseornag tidak dapat dimintakan pertanggungjawaban</w:t>
      </w:r>
      <w:r w:rsidRPr="002B77DD">
        <w:rPr>
          <w:color w:val="000000"/>
          <w:lang w:val="en-US"/>
        </w:rPr>
        <w:t>.</w:t>
      </w:r>
      <w:r w:rsidRPr="002B77DD">
        <w:rPr>
          <w:rStyle w:val="FootnoteReference"/>
          <w:color w:val="000000"/>
          <w:lang w:val="en-US"/>
        </w:rPr>
        <w:footnoteReference w:id="21"/>
      </w:r>
    </w:p>
    <w:p w:rsidR="00DA624C" w:rsidRPr="002B77DD" w:rsidRDefault="00DA624C" w:rsidP="00DA624C">
      <w:pPr>
        <w:pStyle w:val="BodyTextIndent2"/>
        <w:ind w:left="0" w:firstLine="720"/>
        <w:rPr>
          <w:color w:val="000000"/>
          <w:lang w:val="en-US"/>
        </w:rPr>
      </w:pPr>
      <w:r w:rsidRPr="002B77DD">
        <w:rPr>
          <w:color w:val="000000"/>
        </w:rPr>
        <w:lastRenderedPageBreak/>
        <w:t>Pertanggungjawaban adalah bentuk untuk menenutukan apakah seseorang akan dilepas atau dipidana atas tindak pidana yang telah terjadi, dalam hal ini untk mengatakan bahwa seseornag memiliki aspek pertanggung jawaban pidana maka dalam hal itu terdapat beberapa unsur yang harus terpenuhi untuk menyatakan bahwa seseornag tersebut dapat dimintakan pertanggungjawaban. Unsur-unsur tersebut ialah:</w:t>
      </w:r>
    </w:p>
    <w:p w:rsidR="00DA624C" w:rsidRPr="002B77DD" w:rsidRDefault="00DA624C" w:rsidP="00DA624C">
      <w:pPr>
        <w:numPr>
          <w:ilvl w:val="4"/>
          <w:numId w:val="12"/>
        </w:numPr>
        <w:tabs>
          <w:tab w:val="clear" w:pos="3600"/>
          <w:tab w:val="num" w:pos="360"/>
        </w:tabs>
        <w:autoSpaceDE w:val="0"/>
        <w:autoSpaceDN w:val="0"/>
        <w:adjustRightInd w:val="0"/>
        <w:spacing w:line="504" w:lineRule="auto"/>
        <w:ind w:left="360"/>
        <w:rPr>
          <w:noProof w:val="0"/>
          <w:color w:val="000000"/>
          <w:lang w:val="en-US"/>
        </w:rPr>
      </w:pPr>
      <w:r w:rsidRPr="002B77DD">
        <w:rPr>
          <w:noProof w:val="0"/>
          <w:color w:val="000000"/>
          <w:lang w:val="en-US"/>
        </w:rPr>
        <w:t xml:space="preserve">Adanya suatu tindak pidana </w:t>
      </w:r>
    </w:p>
    <w:p w:rsidR="00DA624C" w:rsidRPr="002B77DD" w:rsidRDefault="00DA624C" w:rsidP="00DA624C">
      <w:pPr>
        <w:pStyle w:val="BodyTextIndent2"/>
        <w:ind w:left="0" w:firstLine="720"/>
        <w:rPr>
          <w:color w:val="000000"/>
          <w:lang w:val="en-US"/>
        </w:rPr>
      </w:pPr>
      <w:r w:rsidRPr="002B77DD">
        <w:rPr>
          <w:color w:val="000000"/>
        </w:rPr>
        <w:t xml:space="preserve">Unsur perbuatan merupakan salah satu unsur yang pokok pertanggungjawaban pidana, karena seseornag tidak dapat dipidanaapabila tidak melakukan suatu perbuatan dimana perbuatan yang dilakukan merupan perbuatan yang dilarang oleh undang-undang hal itu sesuai dengan asas legalitas yang kita anut. Asas legalitas </w:t>
      </w:r>
      <w:r w:rsidRPr="002B77DD">
        <w:rPr>
          <w:i/>
          <w:iCs/>
          <w:color w:val="000000"/>
        </w:rPr>
        <w:t xml:space="preserve">nullum delictum nulla poena sine praevia lege poenali </w:t>
      </w:r>
      <w:r w:rsidRPr="002B77DD">
        <w:rPr>
          <w:color w:val="000000"/>
        </w:rPr>
        <w:t>artinya tidak dipidana suatu perbuatan apabila tidak ada Undnag-Undang atau aturan yang mengatur mengenai larangan perbuatan tersebut</w:t>
      </w:r>
      <w:r w:rsidRPr="002B77DD">
        <w:rPr>
          <w:color w:val="000000"/>
          <w:lang w:val="en-US"/>
        </w:rPr>
        <w:t>.</w:t>
      </w:r>
      <w:r w:rsidRPr="002B77DD">
        <w:rPr>
          <w:rStyle w:val="FootnoteReference"/>
          <w:color w:val="000000"/>
          <w:lang w:val="en-US"/>
        </w:rPr>
        <w:footnoteReference w:id="22"/>
      </w:r>
    </w:p>
    <w:p w:rsidR="00DA624C" w:rsidRPr="002B77DD" w:rsidRDefault="00DA624C" w:rsidP="00DA624C">
      <w:pPr>
        <w:pStyle w:val="BodyTextIndent2"/>
        <w:ind w:left="0" w:firstLine="720"/>
        <w:rPr>
          <w:color w:val="000000"/>
          <w:lang w:val="en-US"/>
        </w:rPr>
      </w:pPr>
      <w:r w:rsidRPr="002B77DD">
        <w:rPr>
          <w:color w:val="000000"/>
          <w:lang w:val="en-US"/>
        </w:rPr>
        <w:t>H</w:t>
      </w:r>
      <w:r w:rsidRPr="002B77DD">
        <w:rPr>
          <w:color w:val="000000"/>
        </w:rPr>
        <w:t>ukum pidana Indonesia menghenda</w:t>
      </w:r>
      <w:r w:rsidRPr="002B77DD">
        <w:rPr>
          <w:color w:val="000000"/>
          <w:lang w:val="en-US"/>
        </w:rPr>
        <w:t>k</w:t>
      </w:r>
      <w:r w:rsidRPr="002B77DD">
        <w:rPr>
          <w:color w:val="000000"/>
        </w:rPr>
        <w:t xml:space="preserve">i perbuatan yang konkret atau perbuatan yang tampak, artinya hukum menghednaki perbuatan yang tampak kelaur, karena didalm hukum tidak dapat dipidana seseorang karena atas dasar keadaaan batin seseorang, hal ini asas </w:t>
      </w:r>
      <w:r w:rsidRPr="002B77DD">
        <w:rPr>
          <w:i/>
          <w:iCs/>
          <w:color w:val="000000"/>
        </w:rPr>
        <w:t>cogitationis poenam nemo patitur</w:t>
      </w:r>
      <w:r w:rsidRPr="002B77DD">
        <w:rPr>
          <w:color w:val="000000"/>
        </w:rPr>
        <w:t xml:space="preserve">, tidak seorang pun dipidana atas yang ada dalm </w:t>
      </w:r>
      <w:r w:rsidRPr="002B77DD">
        <w:rPr>
          <w:color w:val="000000"/>
          <w:lang w:val="en-US"/>
        </w:rPr>
        <w:t>p</w:t>
      </w:r>
      <w:r w:rsidRPr="002B77DD">
        <w:rPr>
          <w:color w:val="000000"/>
        </w:rPr>
        <w:t>ikirannya saja</w:t>
      </w:r>
      <w:r w:rsidRPr="002B77DD">
        <w:rPr>
          <w:color w:val="000000"/>
          <w:lang w:val="en-US"/>
        </w:rPr>
        <w:t>.</w:t>
      </w:r>
      <w:r w:rsidRPr="002B77DD">
        <w:rPr>
          <w:rStyle w:val="FootnoteReference"/>
          <w:color w:val="000000"/>
          <w:lang w:val="en-US"/>
        </w:rPr>
        <w:footnoteReference w:id="23"/>
      </w:r>
    </w:p>
    <w:p w:rsidR="00DA624C" w:rsidRPr="002B77DD" w:rsidRDefault="00DA624C" w:rsidP="00DA624C">
      <w:pPr>
        <w:numPr>
          <w:ilvl w:val="4"/>
          <w:numId w:val="12"/>
        </w:numPr>
        <w:tabs>
          <w:tab w:val="clear" w:pos="3600"/>
          <w:tab w:val="num" w:pos="360"/>
        </w:tabs>
        <w:autoSpaceDE w:val="0"/>
        <w:autoSpaceDN w:val="0"/>
        <w:adjustRightInd w:val="0"/>
        <w:spacing w:line="480" w:lineRule="auto"/>
        <w:ind w:left="360"/>
        <w:rPr>
          <w:noProof w:val="0"/>
          <w:color w:val="000000"/>
          <w:lang w:val="en-US"/>
        </w:rPr>
      </w:pPr>
      <w:r w:rsidRPr="002B77DD">
        <w:rPr>
          <w:noProof w:val="0"/>
          <w:color w:val="000000"/>
          <w:lang w:val="en-US"/>
        </w:rPr>
        <w:t xml:space="preserve">Unsur kesalahan </w:t>
      </w:r>
    </w:p>
    <w:p w:rsidR="00DA624C" w:rsidRPr="002B77DD" w:rsidRDefault="00DA624C" w:rsidP="00DA624C">
      <w:pPr>
        <w:pStyle w:val="BodyTextIndent2"/>
        <w:spacing w:line="444" w:lineRule="auto"/>
        <w:ind w:left="0" w:firstLine="720"/>
        <w:rPr>
          <w:color w:val="000000"/>
          <w:lang w:val="en-US"/>
        </w:rPr>
      </w:pPr>
      <w:r w:rsidRPr="002B77DD">
        <w:rPr>
          <w:color w:val="000000"/>
        </w:rPr>
        <w:lastRenderedPageBreak/>
        <w:t xml:space="preserve">Kesalahan yang dalam bahasa asing disebut dengan </w:t>
      </w:r>
      <w:r w:rsidRPr="002B77DD">
        <w:rPr>
          <w:i/>
          <w:iCs/>
          <w:color w:val="000000"/>
        </w:rPr>
        <w:t xml:space="preserve">schuld </w:t>
      </w:r>
      <w:r w:rsidRPr="002B77DD">
        <w:rPr>
          <w:color w:val="000000"/>
        </w:rPr>
        <w:t>adalah keadaan psikologi seseorang yang berhubungan dengan perbuatan yang ia lakukan yang sedemikian rupa sehingga berdasarkan keadaan tersebut perbuatan tersebut pelaku dapat dicela atas perbuatannya.</w:t>
      </w:r>
      <w:r w:rsidRPr="002B77DD">
        <w:rPr>
          <w:rStyle w:val="FootnoteReference"/>
          <w:color w:val="000000"/>
        </w:rPr>
        <w:footnoteReference w:id="24"/>
      </w:r>
      <w:r w:rsidRPr="002B77DD">
        <w:rPr>
          <w:color w:val="000000"/>
        </w:rPr>
        <w:t xml:space="preserve">  Pengertian kesalahan di sini digunakan dalam arti luas. </w:t>
      </w:r>
      <w:r w:rsidRPr="002B77DD">
        <w:rPr>
          <w:color w:val="000000"/>
          <w:lang w:val="en-US"/>
        </w:rPr>
        <w:t>K</w:t>
      </w:r>
      <w:r w:rsidRPr="002B77DD">
        <w:rPr>
          <w:color w:val="000000"/>
        </w:rPr>
        <w:t xml:space="preserve">esalahan </w:t>
      </w:r>
      <w:r w:rsidRPr="002B77DD">
        <w:rPr>
          <w:color w:val="000000"/>
          <w:lang w:val="en-US"/>
        </w:rPr>
        <w:t>d</w:t>
      </w:r>
      <w:r w:rsidRPr="002B77DD">
        <w:rPr>
          <w:color w:val="000000"/>
        </w:rPr>
        <w:t xml:space="preserve">alam KUHP digunakan dalam arti sempit yaitu dalam arti kealpaan sebagaimana dapat dilihat dalam rumusan bahasa Belanda yang berada dalam </w:t>
      </w:r>
      <w:r w:rsidRPr="002B77DD">
        <w:rPr>
          <w:color w:val="000000"/>
          <w:lang w:val="en-US"/>
        </w:rPr>
        <w:t>P</w:t>
      </w:r>
      <w:r w:rsidRPr="002B77DD">
        <w:rPr>
          <w:color w:val="000000"/>
        </w:rPr>
        <w:t>asal 359 dan 360</w:t>
      </w:r>
      <w:r w:rsidRPr="002B77DD">
        <w:rPr>
          <w:color w:val="000000"/>
          <w:lang w:val="en-US"/>
        </w:rPr>
        <w:t>.</w:t>
      </w:r>
      <w:r w:rsidRPr="002B77DD">
        <w:rPr>
          <w:rStyle w:val="FootnoteReference"/>
          <w:color w:val="000000"/>
          <w:lang w:val="en-US"/>
        </w:rPr>
        <w:footnoteReference w:id="25"/>
      </w:r>
    </w:p>
    <w:p w:rsidR="00DA624C" w:rsidRPr="002B77DD" w:rsidRDefault="00DA624C" w:rsidP="00DA624C">
      <w:pPr>
        <w:pStyle w:val="BodyTextIndent2"/>
        <w:spacing w:line="444" w:lineRule="auto"/>
        <w:ind w:left="0" w:firstLine="720"/>
        <w:rPr>
          <w:color w:val="000000"/>
          <w:lang w:val="en-US"/>
        </w:rPr>
      </w:pPr>
      <w:r w:rsidRPr="002B77DD">
        <w:rPr>
          <w:color w:val="000000"/>
        </w:rPr>
        <w:t>Istilah kesalahan dapat digunakan dalam arti psikologi maupun dalam arti normati</w:t>
      </w:r>
      <w:r w:rsidRPr="002B77DD">
        <w:rPr>
          <w:color w:val="000000"/>
          <w:lang w:val="en-US"/>
        </w:rPr>
        <w:t>f</w:t>
      </w:r>
      <w:r w:rsidRPr="002B77DD">
        <w:rPr>
          <w:color w:val="000000"/>
        </w:rPr>
        <w:t>. Kesalahan psikologis adalah kejahatan yang sesungguhnya dari seseorang, kesalahan psikologis ini adalah kesalahan yang ada dalm diri seseorang, kesalahn mengenai apa yang orang itu pikirkan dan batinya rasakan, kesalahan psikologis ini sulit untuk dibuktikan karena bentuk nya tidak real, kesalahan psikologis susah dibuktikan karena wujudnya tidak dapat diketahui.</w:t>
      </w:r>
      <w:r w:rsidRPr="002B77DD">
        <w:rPr>
          <w:rStyle w:val="FootnoteReference"/>
          <w:color w:val="000000"/>
        </w:rPr>
        <w:footnoteReference w:id="26"/>
      </w:r>
    </w:p>
    <w:p w:rsidR="00DA624C" w:rsidRPr="002B77DD" w:rsidRDefault="00DA624C" w:rsidP="00DA624C">
      <w:pPr>
        <w:pStyle w:val="BodyTextIndent2"/>
        <w:ind w:left="0" w:firstLine="720"/>
        <w:rPr>
          <w:color w:val="000000"/>
          <w:lang w:val="en-US"/>
        </w:rPr>
      </w:pPr>
      <w:r w:rsidRPr="002B77DD">
        <w:rPr>
          <w:color w:val="000000"/>
          <w:lang w:val="en-US"/>
        </w:rPr>
        <w:t>Kesalahan d</w:t>
      </w:r>
      <w:r w:rsidRPr="002B77DD">
        <w:rPr>
          <w:color w:val="000000"/>
        </w:rPr>
        <w:t>alam hukum pidana di Indonesia sendiri yang digunakan adalah kesalahan dalam arti normati</w:t>
      </w:r>
      <w:r w:rsidRPr="002B77DD">
        <w:rPr>
          <w:color w:val="000000"/>
          <w:lang w:val="en-US"/>
        </w:rPr>
        <w:t>f</w:t>
      </w:r>
      <w:r w:rsidRPr="002B77DD">
        <w:rPr>
          <w:color w:val="000000"/>
        </w:rPr>
        <w:t>. Kesalah normati</w:t>
      </w:r>
      <w:r w:rsidRPr="002B77DD">
        <w:rPr>
          <w:color w:val="000000"/>
          <w:lang w:val="en-US"/>
        </w:rPr>
        <w:t>f</w:t>
      </w:r>
      <w:r w:rsidRPr="002B77DD">
        <w:rPr>
          <w:color w:val="000000"/>
        </w:rPr>
        <w:t xml:space="preserve"> adalah kesalahan adalah kesalahan dari sudut pandang orang lain mengenai suatu perbuatan seseornag. Kesalah normati</w:t>
      </w:r>
      <w:r w:rsidRPr="002B77DD">
        <w:rPr>
          <w:color w:val="000000"/>
          <w:lang w:val="en-US"/>
        </w:rPr>
        <w:t>f</w:t>
      </w:r>
      <w:r w:rsidRPr="002B77DD">
        <w:rPr>
          <w:color w:val="000000"/>
        </w:rPr>
        <w:t xml:space="preserve"> merupakan kesalahan yang dipandang dari sudut norma-norma hukum pidana, yaitu kesalahan kesengajaan dan kesalahan kealpaan. Dari suatu perbuatan yang telah terjadi maka orang lain akan menilai menurut hukum yang berlaku apakah terhadap perbuatan tersebut terdapat kesalah baik disengaja maupun karena suatu kesalahan kealpaan</w:t>
      </w:r>
      <w:r w:rsidRPr="002B77DD">
        <w:rPr>
          <w:color w:val="000000"/>
          <w:lang w:val="en-US"/>
        </w:rPr>
        <w:t>.</w:t>
      </w:r>
      <w:r w:rsidRPr="002B77DD">
        <w:rPr>
          <w:rStyle w:val="FootnoteReference"/>
          <w:color w:val="000000"/>
          <w:lang w:val="en-US"/>
        </w:rPr>
        <w:footnoteReference w:id="27"/>
      </w:r>
    </w:p>
    <w:p w:rsidR="00DA624C" w:rsidRPr="002B77DD" w:rsidRDefault="00DA624C" w:rsidP="00DA624C">
      <w:pPr>
        <w:pStyle w:val="BodyTextIndent2"/>
        <w:numPr>
          <w:ilvl w:val="4"/>
          <w:numId w:val="17"/>
        </w:numPr>
        <w:spacing w:after="0"/>
        <w:ind w:left="360"/>
        <w:jc w:val="both"/>
        <w:rPr>
          <w:color w:val="000000"/>
          <w:lang w:val="en-US"/>
        </w:rPr>
      </w:pPr>
      <w:r w:rsidRPr="002B77DD">
        <w:rPr>
          <w:color w:val="000000"/>
          <w:lang w:val="en-US"/>
        </w:rPr>
        <w:lastRenderedPageBreak/>
        <w:t>Kesengajaan</w:t>
      </w:r>
    </w:p>
    <w:p w:rsidR="00DA624C" w:rsidRPr="002B77DD" w:rsidRDefault="00DA624C" w:rsidP="00DA624C">
      <w:pPr>
        <w:autoSpaceDE w:val="0"/>
        <w:autoSpaceDN w:val="0"/>
        <w:adjustRightInd w:val="0"/>
        <w:spacing w:line="504" w:lineRule="auto"/>
        <w:ind w:firstLine="720"/>
        <w:jc w:val="both"/>
        <w:rPr>
          <w:noProof w:val="0"/>
          <w:color w:val="000000"/>
          <w:lang w:val="en-US"/>
        </w:rPr>
      </w:pPr>
      <w:r w:rsidRPr="002B77DD">
        <w:rPr>
          <w:noProof w:val="0"/>
          <w:color w:val="000000"/>
          <w:lang w:val="en-US"/>
        </w:rPr>
        <w:t xml:space="preserve">Sengaja ialah kemauan untuk melakukan atau tidak melakukan perbuatan-perbuatan yang dilarang atau diperintahkan oleh undang-undang. dalam </w:t>
      </w:r>
      <w:r w:rsidRPr="002B77DD">
        <w:rPr>
          <w:i/>
          <w:iCs/>
          <w:noProof w:val="0"/>
          <w:color w:val="000000"/>
          <w:lang w:val="en-US"/>
        </w:rPr>
        <w:t xml:space="preserve">Memorie van Toelichting </w:t>
      </w:r>
      <w:r w:rsidRPr="002B77DD">
        <w:rPr>
          <w:noProof w:val="0"/>
          <w:color w:val="000000"/>
          <w:lang w:val="en-US"/>
        </w:rPr>
        <w:t xml:space="preserve">(MvT) Menteri Kehakiman sewaktu pengajuan </w:t>
      </w:r>
      <w:r w:rsidRPr="002B77DD">
        <w:rPr>
          <w:i/>
          <w:iCs/>
          <w:noProof w:val="0"/>
          <w:color w:val="000000"/>
          <w:lang w:val="en-US"/>
        </w:rPr>
        <w:t xml:space="preserve">Criminiel Wetboek </w:t>
      </w:r>
      <w:r w:rsidRPr="002B77DD">
        <w:rPr>
          <w:noProof w:val="0"/>
          <w:color w:val="000000"/>
          <w:lang w:val="en-US"/>
        </w:rPr>
        <w:t>tahun 1881 (yang menjadi Kitab Undang-Undang Hukum Pidana Indonesia tahun 1915), dijelaskan : sengaja diartikan dengan sadar dari kehendak melakukan suatu kejahatan tertentu.</w:t>
      </w:r>
      <w:r w:rsidRPr="002B77DD">
        <w:rPr>
          <w:rStyle w:val="FootnoteReference"/>
          <w:noProof w:val="0"/>
          <w:color w:val="000000"/>
          <w:lang w:val="en-US"/>
        </w:rPr>
        <w:footnoteReference w:id="28"/>
      </w:r>
    </w:p>
    <w:p w:rsidR="00DA624C" w:rsidRPr="002B77DD" w:rsidRDefault="00DA624C" w:rsidP="00DA624C">
      <w:pPr>
        <w:autoSpaceDE w:val="0"/>
        <w:autoSpaceDN w:val="0"/>
        <w:adjustRightInd w:val="0"/>
        <w:spacing w:line="504" w:lineRule="auto"/>
        <w:ind w:firstLine="720"/>
        <w:jc w:val="both"/>
        <w:rPr>
          <w:noProof w:val="0"/>
          <w:lang w:val="en-US"/>
        </w:rPr>
      </w:pPr>
      <w:r w:rsidRPr="002B77DD">
        <w:rPr>
          <w:noProof w:val="0"/>
          <w:lang w:val="en-US"/>
        </w:rPr>
        <w:t xml:space="preserve">Beberapa sarjana merumuskan </w:t>
      </w:r>
      <w:r w:rsidRPr="002B77DD">
        <w:rPr>
          <w:i/>
          <w:iCs/>
          <w:noProof w:val="0"/>
          <w:lang w:val="en-US"/>
        </w:rPr>
        <w:t xml:space="preserve">de will </w:t>
      </w:r>
      <w:r w:rsidRPr="002B77DD">
        <w:rPr>
          <w:noProof w:val="0"/>
          <w:lang w:val="en-US"/>
        </w:rPr>
        <w:t xml:space="preserve">sebagai keinginan, kemauan, kehendak, dan perbuatan merupakan pelaksanaan dari kehendak. </w:t>
      </w:r>
      <w:r w:rsidRPr="002B77DD">
        <w:rPr>
          <w:i/>
          <w:iCs/>
          <w:noProof w:val="0"/>
          <w:lang w:val="en-US"/>
        </w:rPr>
        <w:t xml:space="preserve">de will </w:t>
      </w:r>
      <w:r w:rsidRPr="002B77DD">
        <w:rPr>
          <w:noProof w:val="0"/>
          <w:lang w:val="en-US"/>
        </w:rPr>
        <w:t>(kehendak) dapat ditujukan terhadap perbuatan yang dilarang dan akibat yang dilarang. Ada dua teori yang berkaitan dengan pengertian “sengaja”, yaitu teori kehendak dan teori pengetahuan atau membayangkan.</w:t>
      </w:r>
      <w:r w:rsidRPr="002B77DD">
        <w:rPr>
          <w:rStyle w:val="FootnoteReference"/>
          <w:noProof w:val="0"/>
          <w:lang w:val="en-US"/>
        </w:rPr>
        <w:footnoteReference w:id="29"/>
      </w:r>
      <w:r w:rsidRPr="002B77DD">
        <w:rPr>
          <w:noProof w:val="0"/>
          <w:lang w:val="en-US"/>
        </w:rPr>
        <w:t xml:space="preserve"> Menurut teori kehendak, sengaja adalah kehendak untuk mewujudkan unsur-unsur delik dalam rumusan undang-undang. Sebagai contoh, A mengarahkan pistol kepada B dan A menembak mati B; A adalah sengaja apabila A benar-benar menghendaki kematian B.</w:t>
      </w:r>
      <w:r w:rsidRPr="002B77DD">
        <w:rPr>
          <w:rStyle w:val="FootnoteReference"/>
          <w:noProof w:val="0"/>
          <w:lang w:val="en-US"/>
        </w:rPr>
        <w:footnoteReference w:id="30"/>
      </w:r>
    </w:p>
    <w:p w:rsidR="00DA624C" w:rsidRPr="002B77DD" w:rsidRDefault="00DA624C" w:rsidP="00DA624C">
      <w:pPr>
        <w:autoSpaceDE w:val="0"/>
        <w:autoSpaceDN w:val="0"/>
        <w:adjustRightInd w:val="0"/>
        <w:spacing w:line="480" w:lineRule="auto"/>
        <w:ind w:firstLine="720"/>
        <w:jc w:val="both"/>
        <w:rPr>
          <w:lang w:val="en-US"/>
        </w:rPr>
      </w:pPr>
      <w:r w:rsidRPr="002B77DD">
        <w:t>Kesengajan telah berkembang dalam yurisprudensi dan doktrin sehingga umumnya telah diterima beberapa bentuk kesengajaan, yaitu :</w:t>
      </w:r>
    </w:p>
    <w:p w:rsidR="00DA624C" w:rsidRPr="002B77DD" w:rsidRDefault="00DA624C" w:rsidP="00DA624C">
      <w:pPr>
        <w:numPr>
          <w:ilvl w:val="3"/>
          <w:numId w:val="16"/>
        </w:numPr>
        <w:autoSpaceDE w:val="0"/>
        <w:autoSpaceDN w:val="0"/>
        <w:adjustRightInd w:val="0"/>
        <w:spacing w:line="480" w:lineRule="auto"/>
        <w:ind w:left="360"/>
        <w:rPr>
          <w:noProof w:val="0"/>
          <w:color w:val="000000"/>
          <w:lang w:val="en-US"/>
        </w:rPr>
      </w:pPr>
      <w:r w:rsidRPr="002B77DD">
        <w:rPr>
          <w:noProof w:val="0"/>
          <w:color w:val="000000"/>
          <w:lang w:val="en-US"/>
        </w:rPr>
        <w:t>Sengaja sebagai maksud</w:t>
      </w:r>
    </w:p>
    <w:p w:rsidR="00DA624C" w:rsidRPr="002B77DD" w:rsidRDefault="00DA624C" w:rsidP="00DA624C">
      <w:pPr>
        <w:autoSpaceDE w:val="0"/>
        <w:autoSpaceDN w:val="0"/>
        <w:adjustRightInd w:val="0"/>
        <w:spacing w:line="480" w:lineRule="auto"/>
        <w:ind w:firstLine="720"/>
        <w:jc w:val="both"/>
        <w:rPr>
          <w:lang w:val="en-US"/>
        </w:rPr>
      </w:pPr>
      <w:r w:rsidRPr="002B77DD">
        <w:t xml:space="preserve">Sengaja sebagai maksud dalam kejahatan bentuk ini pelaku benar-benar menghendaki </w:t>
      </w:r>
      <w:r w:rsidRPr="002B77DD">
        <w:rPr>
          <w:i/>
          <w:iCs/>
        </w:rPr>
        <w:t xml:space="preserve">(willens) </w:t>
      </w:r>
      <w:r w:rsidRPr="002B77DD">
        <w:t xml:space="preserve">dan mengetahui </w:t>
      </w:r>
      <w:r w:rsidRPr="002B77DD">
        <w:rPr>
          <w:i/>
          <w:iCs/>
        </w:rPr>
        <w:t xml:space="preserve">(wetens) </w:t>
      </w:r>
      <w:r w:rsidRPr="002B77DD">
        <w:t xml:space="preserve">atas perbuatan dan akibat dari </w:t>
      </w:r>
      <w:r w:rsidRPr="002B77DD">
        <w:lastRenderedPageBreak/>
        <w:t>perbuatan yang pelaku perbuatan. Diberi contoh A merasa dipermalukan oleh B, oleh karena itu A memiliki dendam khusus terhadap B, sehingga A memiliki rencana untuk mencelakai B, suatu hati A membawa sebilah pisau dan menikam B, menyebabkan B tewas, maka perbuatan A tersebut dapat dikatakan adalah perbuatan yang benar-benar ia kehendaki. Matinya B akibat tikaman pisau A juga dikehndaki olehnya.</w:t>
      </w:r>
      <w:r w:rsidRPr="002B77DD">
        <w:rPr>
          <w:rStyle w:val="FootnoteReference"/>
        </w:rPr>
        <w:footnoteReference w:id="31"/>
      </w:r>
    </w:p>
    <w:p w:rsidR="00DA624C" w:rsidRPr="002B77DD" w:rsidRDefault="00DA624C" w:rsidP="00DA624C">
      <w:pPr>
        <w:autoSpaceDE w:val="0"/>
        <w:autoSpaceDN w:val="0"/>
        <w:adjustRightInd w:val="0"/>
        <w:spacing w:line="480" w:lineRule="auto"/>
        <w:ind w:firstLine="720"/>
        <w:jc w:val="both"/>
        <w:rPr>
          <w:noProof w:val="0"/>
          <w:color w:val="000000"/>
          <w:lang w:val="en-US"/>
        </w:rPr>
      </w:pPr>
      <w:r w:rsidRPr="002B77DD">
        <w:t>Hal mengetahui dan menghendaki ini harus dilihat dari sudut pandang kesalahan normatif, yaitu berdasarkan peristiwa-peristiwa konkret orang-orang akan menilai apakah perbuuatan tersebut memang dikehendaki dan diketahui oleh pelakunya. Kesalahan dengan kesengajaan sebagai maksud sipelaku dapat dipertanggungjawabkan, kesangjaan sebagi maksud ini adalah bentuk yang mudah dimengerti oleh khalayak masyarakat. Apabila kesengajaan dengan maksud ini ada pada suatu tindak pidana dimana tidak ada yang menyangkal maka pelaku pantas dikenakan hukuman pidana yang lebih berat apabila dapat dibuktikan bahwa dalm perbuatan yang dilakukan oleh pelaku benar bear suatu perbuataan yang disengaja dengan maksud, dapat dikatan sipelaku benar-benarmenghendaki dan ingin mencapai akibat yang menjadi pokok alasan diadakannya ancaman hukum pidana.</w:t>
      </w:r>
      <w:r w:rsidRPr="002B77DD">
        <w:rPr>
          <w:rStyle w:val="FootnoteReference"/>
        </w:rPr>
        <w:footnoteReference w:id="32"/>
      </w:r>
    </w:p>
    <w:p w:rsidR="00DA624C" w:rsidRPr="002B77DD" w:rsidRDefault="00DA624C" w:rsidP="00DA624C">
      <w:pPr>
        <w:numPr>
          <w:ilvl w:val="3"/>
          <w:numId w:val="16"/>
        </w:numPr>
        <w:autoSpaceDE w:val="0"/>
        <w:autoSpaceDN w:val="0"/>
        <w:adjustRightInd w:val="0"/>
        <w:spacing w:line="480" w:lineRule="auto"/>
        <w:ind w:left="360"/>
        <w:rPr>
          <w:noProof w:val="0"/>
          <w:color w:val="000000"/>
          <w:lang w:val="en-US"/>
        </w:rPr>
      </w:pPr>
      <w:r w:rsidRPr="002B77DD">
        <w:rPr>
          <w:noProof w:val="0"/>
          <w:color w:val="000000"/>
          <w:lang w:val="en-US"/>
        </w:rPr>
        <w:t xml:space="preserve">Sengaja sebagi suatu keharusan </w:t>
      </w:r>
    </w:p>
    <w:p w:rsidR="00DA624C" w:rsidRPr="002B77DD" w:rsidRDefault="00DA624C" w:rsidP="00DA624C">
      <w:pPr>
        <w:autoSpaceDE w:val="0"/>
        <w:autoSpaceDN w:val="0"/>
        <w:adjustRightInd w:val="0"/>
        <w:spacing w:line="480" w:lineRule="auto"/>
        <w:ind w:firstLine="720"/>
        <w:jc w:val="both"/>
        <w:rPr>
          <w:lang w:val="en-US"/>
        </w:rPr>
      </w:pPr>
      <w:r w:rsidRPr="002B77DD">
        <w:rPr>
          <w:noProof w:val="0"/>
          <w:color w:val="000000"/>
          <w:lang w:val="en-US"/>
        </w:rPr>
        <w:t xml:space="preserve">Kesangajan semacam ini terjadi apabila sipelaku dengan perbuatannya tidak bertujuan untuk mencapi akibat dari </w:t>
      </w:r>
      <w:r w:rsidRPr="002B77DD">
        <w:t xml:space="preserve">perbuatanya, tetapi ia melakukan perbuatan itu sebagai keharusan untuk mencapai tujuan yang lain. Artinya </w:t>
      </w:r>
      <w:r w:rsidRPr="002B77DD">
        <w:lastRenderedPageBreak/>
        <w:t>kesangajan dalam bentuk ini, pelaku menyadari perbuatan yang ia kehendaki namun pelaku tidak menghendaki akibat dari perbuatan yang telah ia perbuat</w:t>
      </w:r>
      <w:r w:rsidRPr="002B77DD">
        <w:rPr>
          <w:lang w:val="en-US"/>
        </w:rPr>
        <w:t>.</w:t>
      </w:r>
      <w:r w:rsidRPr="002B77DD">
        <w:rPr>
          <w:rStyle w:val="FootnoteReference"/>
          <w:lang w:val="en-US"/>
        </w:rPr>
        <w:footnoteReference w:id="33"/>
      </w:r>
    </w:p>
    <w:p w:rsidR="00DA624C" w:rsidRPr="002B77DD" w:rsidRDefault="00DA624C" w:rsidP="00DA624C">
      <w:pPr>
        <w:autoSpaceDE w:val="0"/>
        <w:autoSpaceDN w:val="0"/>
        <w:adjustRightInd w:val="0"/>
        <w:spacing w:line="480" w:lineRule="auto"/>
        <w:ind w:firstLine="720"/>
        <w:jc w:val="both"/>
        <w:rPr>
          <w:lang w:val="en-US"/>
        </w:rPr>
      </w:pPr>
    </w:p>
    <w:p w:rsidR="00DA624C" w:rsidRPr="002B77DD" w:rsidRDefault="00DA624C" w:rsidP="00DA624C">
      <w:pPr>
        <w:numPr>
          <w:ilvl w:val="3"/>
          <w:numId w:val="16"/>
        </w:numPr>
        <w:autoSpaceDE w:val="0"/>
        <w:autoSpaceDN w:val="0"/>
        <w:adjustRightInd w:val="0"/>
        <w:spacing w:line="480" w:lineRule="auto"/>
        <w:ind w:left="360"/>
        <w:jc w:val="both"/>
        <w:rPr>
          <w:noProof w:val="0"/>
          <w:color w:val="000000"/>
          <w:lang w:val="en-US"/>
        </w:rPr>
      </w:pPr>
      <w:r w:rsidRPr="002B77DD">
        <w:rPr>
          <w:noProof w:val="0"/>
          <w:color w:val="000000"/>
          <w:lang w:val="en-US"/>
        </w:rPr>
        <w:t xml:space="preserve">Sengaja Sebagi kemungkinan </w:t>
      </w:r>
    </w:p>
    <w:p w:rsidR="00DA624C" w:rsidRPr="002B77DD" w:rsidRDefault="00DA624C" w:rsidP="00DA624C">
      <w:pPr>
        <w:autoSpaceDE w:val="0"/>
        <w:autoSpaceDN w:val="0"/>
        <w:adjustRightInd w:val="0"/>
        <w:spacing w:line="504" w:lineRule="auto"/>
        <w:ind w:firstLine="720"/>
        <w:jc w:val="both"/>
        <w:rPr>
          <w:lang w:val="en-US"/>
        </w:rPr>
      </w:pPr>
      <w:r w:rsidRPr="002B77DD">
        <w:rPr>
          <w:noProof w:val="0"/>
          <w:color w:val="000000"/>
          <w:lang w:val="en-US"/>
        </w:rPr>
        <w:t xml:space="preserve">Sengaja sebagai kemungkinan, pelaku sebenarnya tidak menghendaki akibat perbuatanya itu, tetapi pelaku sebelumnya telah mengethaui bahwa akibat itu kemungkinan juga dapat terjadi, namun pelaku tetap melakukan perbuatannya dengan mengambil resiko tersebut. </w:t>
      </w:r>
      <w:r w:rsidRPr="002B77DD">
        <w:rPr>
          <w:i/>
          <w:iCs/>
          <w:noProof w:val="0"/>
          <w:color w:val="000000"/>
          <w:lang w:val="en-US"/>
        </w:rPr>
        <w:t xml:space="preserve">Scaffrmeister </w:t>
      </w:r>
      <w:r w:rsidRPr="002B77DD">
        <w:rPr>
          <w:noProof w:val="0"/>
          <w:color w:val="000000"/>
          <w:lang w:val="en-US"/>
        </w:rPr>
        <w:t xml:space="preserve">mengemukakan contoh bahwa ada seorang pengemudi yang menjalankan mobilnya kearah petugas polisi yang sedang memberi tanda berhenti. Pengemudi tetap memacu mobil dengan harapan petugas kepolisian tersebut melompat </w:t>
      </w:r>
      <w:r w:rsidRPr="002B77DD">
        <w:t>kesamping, padahal pengemudi menyadari resiko dimanda petugas kepolisian dapat saja tertabrak mati atau melompat kesamping.</w:t>
      </w:r>
      <w:r w:rsidRPr="002B77DD">
        <w:rPr>
          <w:rStyle w:val="FootnoteReference"/>
        </w:rPr>
        <w:footnoteReference w:id="34"/>
      </w:r>
    </w:p>
    <w:p w:rsidR="00DA624C" w:rsidRPr="002B77DD" w:rsidRDefault="00DA624C" w:rsidP="00DA624C">
      <w:pPr>
        <w:numPr>
          <w:ilvl w:val="0"/>
          <w:numId w:val="16"/>
        </w:numPr>
        <w:autoSpaceDE w:val="0"/>
        <w:autoSpaceDN w:val="0"/>
        <w:adjustRightInd w:val="0"/>
        <w:spacing w:line="480" w:lineRule="auto"/>
        <w:ind w:left="360"/>
        <w:jc w:val="both"/>
        <w:rPr>
          <w:color w:val="000000"/>
          <w:lang w:val="en-US" w:eastAsia="id-ID"/>
        </w:rPr>
      </w:pPr>
      <w:r w:rsidRPr="002B77DD">
        <w:rPr>
          <w:lang w:val="en-US"/>
        </w:rPr>
        <w:t>Kealpaan</w:t>
      </w:r>
    </w:p>
    <w:p w:rsidR="00DA624C" w:rsidRPr="002B77DD" w:rsidRDefault="00DA624C" w:rsidP="00DA624C">
      <w:pPr>
        <w:autoSpaceDE w:val="0"/>
        <w:autoSpaceDN w:val="0"/>
        <w:adjustRightInd w:val="0"/>
        <w:spacing w:line="480" w:lineRule="auto"/>
        <w:ind w:firstLine="720"/>
        <w:jc w:val="both"/>
        <w:rPr>
          <w:lang w:val="en-US"/>
        </w:rPr>
      </w:pPr>
      <w:r w:rsidRPr="002B77DD">
        <w:rPr>
          <w:lang w:val="en-US"/>
        </w:rPr>
        <w:t>P</w:t>
      </w:r>
      <w:r w:rsidRPr="002B77DD">
        <w:t xml:space="preserve">asal-pasal KUHP  tidak memberikan definisi mengenai apa yang diamksud dengan kealpaan </w:t>
      </w:r>
      <w:r w:rsidRPr="002B77DD">
        <w:rPr>
          <w:lang w:val="en-US"/>
        </w:rPr>
        <w:t>s</w:t>
      </w:r>
      <w:r w:rsidRPr="002B77DD">
        <w:t>ehingga untuk mengerti apa yang dimaksud dengan kealpaan maka memerlukan pendapat para ahli hukum. Kelalaian merupakan salah satu bentuk kesalahan yang timbul karena pelakunya tidak memenuhi standar yang telah ditentukan, kelalian itu terjadi karena perilaku dari orang itu sendiri.</w:t>
      </w:r>
      <w:r w:rsidRPr="002B77DD">
        <w:rPr>
          <w:rStyle w:val="FootnoteReference"/>
        </w:rPr>
        <w:footnoteReference w:id="35"/>
      </w:r>
    </w:p>
    <w:p w:rsidR="00DA624C" w:rsidRPr="002B77DD" w:rsidRDefault="00DA624C" w:rsidP="00DA624C">
      <w:pPr>
        <w:autoSpaceDE w:val="0"/>
        <w:autoSpaceDN w:val="0"/>
        <w:adjustRightInd w:val="0"/>
        <w:spacing w:line="480" w:lineRule="auto"/>
        <w:ind w:firstLine="720"/>
        <w:jc w:val="both"/>
        <w:rPr>
          <w:lang w:val="en-US"/>
        </w:rPr>
      </w:pPr>
      <w:r w:rsidRPr="002B77DD">
        <w:lastRenderedPageBreak/>
        <w:t xml:space="preserve">Moeljatno mengatakan bahwa kealpaan adalah suatu struktur </w:t>
      </w:r>
      <w:r w:rsidRPr="002B77DD">
        <w:rPr>
          <w:i/>
          <w:iCs/>
        </w:rPr>
        <w:t xml:space="preserve">gecompliceerd </w:t>
      </w:r>
      <w:r w:rsidRPr="002B77DD">
        <w:t>yang disatu sisi mengarah kepada perbuatan seseorang secara konkret sedangkan disisi lain mengarah kepada keadaan batin seseorang. Kelalain terbagi menjadi dua yaitu kelalaian yang ia sadari (alpa) dan kelalain yang ia tidak sadari (lalai).</w:t>
      </w:r>
      <w:r w:rsidRPr="002B77DD">
        <w:rPr>
          <w:rStyle w:val="FootnoteReference"/>
        </w:rPr>
        <w:footnoteReference w:id="36"/>
      </w:r>
    </w:p>
    <w:p w:rsidR="00DA624C" w:rsidRPr="002B77DD" w:rsidRDefault="00DA624C" w:rsidP="00DA624C">
      <w:pPr>
        <w:autoSpaceDE w:val="0"/>
        <w:autoSpaceDN w:val="0"/>
        <w:adjustRightInd w:val="0"/>
        <w:spacing w:line="480" w:lineRule="auto"/>
        <w:ind w:firstLine="720"/>
        <w:jc w:val="both"/>
        <w:rPr>
          <w:lang w:val="en-US"/>
        </w:rPr>
      </w:pPr>
      <w:r w:rsidRPr="002B77DD">
        <w:t>Kelalai</w:t>
      </w:r>
      <w:r w:rsidRPr="002B77DD">
        <w:rPr>
          <w:lang w:val="en-US"/>
        </w:rPr>
        <w:t>a</w:t>
      </w:r>
      <w:r w:rsidRPr="002B77DD">
        <w:t>n yang ia sadari atau alpa adalah kelalain yang ia sadari, dimana pelaku menyadari dengan adany</w:t>
      </w:r>
      <w:r w:rsidRPr="002B77DD">
        <w:rPr>
          <w:lang w:val="en-US"/>
        </w:rPr>
        <w:t>a</w:t>
      </w:r>
      <w:r w:rsidRPr="002B77DD">
        <w:t xml:space="preserve"> resiko namun tetap melakukan dengan mengambil resiko dan berharap akibat buruk atau resiko buruk tidak akan terjadi. Sedangkan yang dimaksud dengan kelalaiam yang tidak disadari atau lalaiadalah seseornag tidak menyadari adanyaresiko atau kejadian yang buruk akibat dari perbuatan ia lakukan pelaku berbuat demikian dikarenan anatar lain karena kurang berpikir atau juga bisa terjadi karena pelaku lengah denagn adanya resiko yang buruk.</w:t>
      </w:r>
      <w:r w:rsidRPr="002B77DD">
        <w:rPr>
          <w:rStyle w:val="FootnoteReference"/>
        </w:rPr>
        <w:footnoteReference w:id="37"/>
      </w:r>
    </w:p>
    <w:p w:rsidR="00DA624C" w:rsidRPr="002B77DD" w:rsidRDefault="00DA624C" w:rsidP="00DA624C">
      <w:pPr>
        <w:autoSpaceDE w:val="0"/>
        <w:autoSpaceDN w:val="0"/>
        <w:adjustRightInd w:val="0"/>
        <w:spacing w:line="480" w:lineRule="auto"/>
        <w:ind w:firstLine="720"/>
        <w:jc w:val="both"/>
        <w:rPr>
          <w:lang w:val="en-US"/>
        </w:rPr>
      </w:pPr>
      <w:r w:rsidRPr="002B77DD">
        <w:t>Kelalain yang disadari adalah kelalaian yang disadri oleh seseorang apabila ia tidak melakukan suatu perbuatan maka akan timbul suatu akibat yang dilarang oleh hukum pidana, sedangkan yang dimaksud dengan kealpaan yang ia tidak sadri adalah pelaku tidak memikirkan akibat dari perbuatan yang ia lakukan dan apabila ia memikirkan akibat dari perbuatan itu maka ia tidak akan melakukannya.</w:t>
      </w:r>
      <w:r w:rsidRPr="002B77DD">
        <w:rPr>
          <w:rStyle w:val="FootnoteReference"/>
        </w:rPr>
        <w:footnoteReference w:id="38"/>
      </w:r>
    </w:p>
    <w:p w:rsidR="00DA624C" w:rsidRPr="002B77DD" w:rsidRDefault="00DA624C" w:rsidP="00DA624C">
      <w:pPr>
        <w:numPr>
          <w:ilvl w:val="4"/>
          <w:numId w:val="12"/>
        </w:numPr>
        <w:tabs>
          <w:tab w:val="clear" w:pos="3600"/>
          <w:tab w:val="num" w:pos="360"/>
        </w:tabs>
        <w:autoSpaceDE w:val="0"/>
        <w:autoSpaceDN w:val="0"/>
        <w:adjustRightInd w:val="0"/>
        <w:spacing w:line="480" w:lineRule="auto"/>
        <w:ind w:left="360"/>
        <w:rPr>
          <w:noProof w:val="0"/>
          <w:color w:val="000000"/>
          <w:lang w:val="en-US"/>
        </w:rPr>
      </w:pPr>
      <w:r w:rsidRPr="002B77DD">
        <w:rPr>
          <w:noProof w:val="0"/>
          <w:color w:val="000000"/>
          <w:lang w:val="en-US"/>
        </w:rPr>
        <w:t xml:space="preserve">Adanya pembuat yang dapat bertanggung jawab </w:t>
      </w:r>
    </w:p>
    <w:p w:rsidR="00DA624C" w:rsidRPr="002B77DD" w:rsidRDefault="00DA624C" w:rsidP="00DA624C">
      <w:pPr>
        <w:autoSpaceDE w:val="0"/>
        <w:autoSpaceDN w:val="0"/>
        <w:adjustRightInd w:val="0"/>
        <w:spacing w:line="456" w:lineRule="auto"/>
        <w:ind w:firstLine="720"/>
        <w:jc w:val="both"/>
        <w:rPr>
          <w:lang w:val="en-US"/>
        </w:rPr>
      </w:pPr>
      <w:r w:rsidRPr="002B77DD">
        <w:t>Kemampuan bertanggungjawab selalu berhubungan dengan keadaan psy</w:t>
      </w:r>
      <w:r w:rsidRPr="002B77DD">
        <w:rPr>
          <w:lang w:val="en-US"/>
        </w:rPr>
        <w:t>k</w:t>
      </w:r>
      <w:r w:rsidRPr="002B77DD">
        <w:t xml:space="preserve">is pembuat. Kemapuan bertanggungjawab ini selalu dihubungkan dengan </w:t>
      </w:r>
      <w:r w:rsidRPr="002B77DD">
        <w:lastRenderedPageBreak/>
        <w:t>pertanggungjawaban pidana, hal ini yang menjadikan kemampuan bertanggungjawab menja</w:t>
      </w:r>
      <w:r w:rsidRPr="002B77DD">
        <w:rPr>
          <w:lang w:val="en-US"/>
        </w:rPr>
        <w:t>d</w:t>
      </w:r>
      <w:r w:rsidRPr="002B77DD">
        <w:t>i salah satu unsur pertanggungjawaban pidana. Kemampuan bertanggung jawab merupakan dasar untuk menentukan pemidanaan kepada pembuat. Kemampuan bertanggung jawab ini harus dibuktikan ada tidaknya oleh hakim, karena apabila seseorang terbukti tidak memiliki kemampuan bertanggung jawab hal ini menjadi dasar tidak dipertanggungjawabkannya pembuat, artinya pembuat perbuatan tidka dapat dipidana atas suatu kejadian tindak pidana.</w:t>
      </w:r>
      <w:r w:rsidRPr="002B77DD">
        <w:rPr>
          <w:rStyle w:val="FootnoteReference"/>
        </w:rPr>
        <w:footnoteReference w:id="39"/>
      </w:r>
    </w:p>
    <w:p w:rsidR="00DA624C" w:rsidRPr="002B77DD" w:rsidRDefault="00DA624C" w:rsidP="00DA624C">
      <w:pPr>
        <w:autoSpaceDE w:val="0"/>
        <w:autoSpaceDN w:val="0"/>
        <w:adjustRightInd w:val="0"/>
        <w:spacing w:line="456" w:lineRule="auto"/>
        <w:ind w:firstLine="720"/>
        <w:jc w:val="both"/>
        <w:rPr>
          <w:lang w:val="en-US"/>
        </w:rPr>
      </w:pPr>
      <w:r w:rsidRPr="002B77DD">
        <w:t>Andi Zainal Abidin mengatakan bahwa kebanyakan Unda</w:t>
      </w:r>
      <w:r w:rsidRPr="002B77DD">
        <w:rPr>
          <w:lang w:val="en-US"/>
        </w:rPr>
        <w:t>n</w:t>
      </w:r>
      <w:r w:rsidRPr="002B77DD">
        <w:t>g-Undang merumuskan syarat kesalahan secara negati</w:t>
      </w:r>
      <w:r w:rsidRPr="002B77DD">
        <w:rPr>
          <w:lang w:val="en-US"/>
        </w:rPr>
        <w:t>f</w:t>
      </w:r>
      <w:r w:rsidRPr="002B77DD">
        <w:t xml:space="preserve">. </w:t>
      </w:r>
      <w:r w:rsidRPr="002B77DD">
        <w:rPr>
          <w:lang w:val="en-US"/>
        </w:rPr>
        <w:t>KUHP</w:t>
      </w:r>
      <w:r w:rsidRPr="002B77DD">
        <w:t xml:space="preserve"> tidak mengatur tentang kemampuan bertanggung jawab namun yang diatur dalam KUHP sendiri justru kebalikan dari kemampuan bertanggung jawab.</w:t>
      </w:r>
      <w:r w:rsidRPr="002B77DD">
        <w:rPr>
          <w:rStyle w:val="FootnoteReference"/>
        </w:rPr>
        <w:footnoteReference w:id="40"/>
      </w:r>
      <w:r w:rsidRPr="002B77DD">
        <w:t xml:space="preserve"> Pasal yang mengatur tentang kebalikan dari kemampuan bertanggung jawab adalah </w:t>
      </w:r>
      <w:r w:rsidRPr="002B77DD">
        <w:rPr>
          <w:lang w:val="en-US"/>
        </w:rPr>
        <w:t>P</w:t>
      </w:r>
      <w:r w:rsidRPr="002B77DD">
        <w:t xml:space="preserve">asal 44 KUHP yang berbunyi </w:t>
      </w:r>
      <w:r w:rsidRPr="002B77DD">
        <w:rPr>
          <w:lang w:val="en-US"/>
        </w:rPr>
        <w:t>:</w:t>
      </w:r>
    </w:p>
    <w:p w:rsidR="00DA624C" w:rsidRPr="002B77DD" w:rsidRDefault="00DA624C" w:rsidP="00DA624C">
      <w:pPr>
        <w:numPr>
          <w:ilvl w:val="2"/>
          <w:numId w:val="13"/>
        </w:numPr>
        <w:tabs>
          <w:tab w:val="clear" w:pos="2355"/>
          <w:tab w:val="num" w:pos="1095"/>
        </w:tabs>
        <w:autoSpaceDE w:val="0"/>
        <w:autoSpaceDN w:val="0"/>
        <w:adjustRightInd w:val="0"/>
        <w:ind w:left="1095"/>
        <w:jc w:val="both"/>
        <w:rPr>
          <w:noProof w:val="0"/>
          <w:color w:val="000000"/>
          <w:lang w:val="en-US"/>
        </w:rPr>
      </w:pPr>
      <w:r w:rsidRPr="002B77DD">
        <w:rPr>
          <w:noProof w:val="0"/>
          <w:color w:val="000000"/>
          <w:lang w:val="en-US"/>
        </w:rPr>
        <w:t xml:space="preserve">Barang siapa melakukan perbuatanyang tidak dapat dipertanggung jawabkan padanya, disebabkan karena jiwanya cacat dalam tumbuhnya </w:t>
      </w:r>
      <w:r w:rsidRPr="002B77DD">
        <w:rPr>
          <w:i/>
          <w:iCs/>
          <w:noProof w:val="0"/>
          <w:color w:val="000000"/>
          <w:lang w:val="en-US"/>
        </w:rPr>
        <w:t xml:space="preserve">(gebrekkige ontiwikkeling) </w:t>
      </w:r>
      <w:r w:rsidRPr="002B77DD">
        <w:rPr>
          <w:noProof w:val="0"/>
          <w:color w:val="000000"/>
          <w:lang w:val="en-US"/>
        </w:rPr>
        <w:t xml:space="preserve">atau terganggu karena penyakit, tidak dipidana </w:t>
      </w:r>
    </w:p>
    <w:p w:rsidR="00DA624C" w:rsidRPr="002B77DD" w:rsidRDefault="00DA624C" w:rsidP="00DA624C">
      <w:pPr>
        <w:numPr>
          <w:ilvl w:val="2"/>
          <w:numId w:val="13"/>
        </w:numPr>
        <w:tabs>
          <w:tab w:val="clear" w:pos="2355"/>
          <w:tab w:val="num" w:pos="1095"/>
        </w:tabs>
        <w:autoSpaceDE w:val="0"/>
        <w:autoSpaceDN w:val="0"/>
        <w:adjustRightInd w:val="0"/>
        <w:ind w:left="1095"/>
        <w:jc w:val="both"/>
        <w:rPr>
          <w:noProof w:val="0"/>
          <w:color w:val="000000"/>
          <w:lang w:val="en-US"/>
        </w:rPr>
      </w:pPr>
      <w:r w:rsidRPr="002B77DD">
        <w:rPr>
          <w:noProof w:val="0"/>
          <w:color w:val="000000"/>
          <w:lang w:val="en-US"/>
        </w:rPr>
        <w:t xml:space="preserve">Jika ternyata bahwa perbuatan tidak dapat dipertanggung jawabkan padanya disebabkan karena jiwanya cacat dalam tumbuhnya atau terganggu karena penyakit, maka hakim dapat memerintahkan supaya orang itu dimasukkan kedalam rumah sakit jiwa, paling lama satu tahun sebagai waktu percobaan. </w:t>
      </w:r>
    </w:p>
    <w:p w:rsidR="00DA624C" w:rsidRPr="002B77DD" w:rsidRDefault="00DA624C" w:rsidP="00DA624C">
      <w:pPr>
        <w:autoSpaceDE w:val="0"/>
        <w:autoSpaceDN w:val="0"/>
        <w:adjustRightInd w:val="0"/>
        <w:ind w:left="1095"/>
        <w:jc w:val="both"/>
        <w:rPr>
          <w:noProof w:val="0"/>
          <w:color w:val="000000"/>
          <w:lang w:val="en-US"/>
        </w:rPr>
      </w:pPr>
    </w:p>
    <w:p w:rsidR="00DA624C" w:rsidRPr="002B77DD" w:rsidRDefault="00DA624C" w:rsidP="00DA624C">
      <w:pPr>
        <w:autoSpaceDE w:val="0"/>
        <w:autoSpaceDN w:val="0"/>
        <w:adjustRightInd w:val="0"/>
        <w:spacing w:line="480" w:lineRule="auto"/>
        <w:ind w:firstLine="720"/>
        <w:jc w:val="both"/>
        <w:rPr>
          <w:lang w:val="en-US"/>
        </w:rPr>
      </w:pPr>
      <w:r w:rsidRPr="002B77DD">
        <w:rPr>
          <w:lang w:val="en-US"/>
        </w:rPr>
        <w:t>Menurut P</w:t>
      </w:r>
      <w:r w:rsidRPr="002B77DD">
        <w:t xml:space="preserve">asal 44 </w:t>
      </w:r>
      <w:r w:rsidRPr="002B77DD">
        <w:rPr>
          <w:lang w:val="en-US"/>
        </w:rPr>
        <w:t>KUHP bahwa</w:t>
      </w:r>
      <w:r w:rsidRPr="002B77DD">
        <w:t xml:space="preserve"> seseorang yang melakukan tindak pidana tidak dapat bertanggung jawab atas berbuatan yang telah ia lakukan apabila tidak memiliki unsur kemampuan bertanggung jawab, ketidak mampuan untuk </w:t>
      </w:r>
      <w:r w:rsidRPr="002B77DD">
        <w:lastRenderedPageBreak/>
        <w:t>bertanggung jawab apabila didalam diri pelaku terdapat kesalahan, kesalahan tersebut ada 2 yaitu</w:t>
      </w:r>
      <w:r w:rsidRPr="002B77DD">
        <w:rPr>
          <w:lang w:val="en-US"/>
        </w:rPr>
        <w:t xml:space="preserve"> :</w:t>
      </w:r>
    </w:p>
    <w:p w:rsidR="00DA624C" w:rsidRPr="002B77DD" w:rsidRDefault="00DA624C" w:rsidP="00DA624C">
      <w:pPr>
        <w:numPr>
          <w:ilvl w:val="4"/>
          <w:numId w:val="13"/>
        </w:numPr>
        <w:tabs>
          <w:tab w:val="clear" w:pos="3600"/>
          <w:tab w:val="num" w:pos="1080"/>
        </w:tabs>
        <w:autoSpaceDE w:val="0"/>
        <w:autoSpaceDN w:val="0"/>
        <w:adjustRightInd w:val="0"/>
        <w:ind w:left="1080"/>
        <w:jc w:val="both"/>
        <w:rPr>
          <w:noProof w:val="0"/>
          <w:color w:val="000000"/>
          <w:lang w:val="en-US"/>
        </w:rPr>
      </w:pPr>
      <w:r w:rsidRPr="002B77DD">
        <w:rPr>
          <w:noProof w:val="0"/>
          <w:color w:val="000000"/>
          <w:lang w:val="en-US"/>
        </w:rPr>
        <w:t xml:space="preserve">Dalam masa pertumbuhan pelaku, pelaku mengalami cacat mental, sehingga hal itu mempengaruhi pelaku untuk membedakan anatara perbuatan yang baik adan buruk. </w:t>
      </w:r>
    </w:p>
    <w:p w:rsidR="00DA624C" w:rsidRPr="002B77DD" w:rsidRDefault="00DA624C" w:rsidP="00DA624C">
      <w:pPr>
        <w:numPr>
          <w:ilvl w:val="4"/>
          <w:numId w:val="13"/>
        </w:numPr>
        <w:tabs>
          <w:tab w:val="clear" w:pos="3600"/>
          <w:tab w:val="num" w:pos="1080"/>
        </w:tabs>
        <w:autoSpaceDE w:val="0"/>
        <w:autoSpaceDN w:val="0"/>
        <w:adjustRightInd w:val="0"/>
        <w:ind w:left="1080"/>
        <w:jc w:val="both"/>
        <w:rPr>
          <w:noProof w:val="0"/>
          <w:color w:val="000000"/>
          <w:lang w:val="en-US"/>
        </w:rPr>
      </w:pPr>
      <w:r w:rsidRPr="002B77DD">
        <w:rPr>
          <w:noProof w:val="0"/>
          <w:color w:val="000000"/>
          <w:lang w:val="en-US"/>
        </w:rPr>
        <w:t>Jika jiwa pelaku mengalami gangguan kenormalan yang disebbakna suatu penyakit, sehingga akalnya kurang berfungsi secara optimal atau akalnya tidak berfungsi secara optimal untuk membedakan hall-hal yang baik dan buruk.</w:t>
      </w:r>
      <w:r w:rsidRPr="002B77DD">
        <w:rPr>
          <w:rStyle w:val="FootnoteReference"/>
          <w:noProof w:val="0"/>
          <w:color w:val="000000"/>
          <w:lang w:val="en-US"/>
        </w:rPr>
        <w:footnoteReference w:id="41"/>
      </w:r>
    </w:p>
    <w:p w:rsidR="00DA624C" w:rsidRPr="002B77DD" w:rsidRDefault="00DA624C" w:rsidP="00DA624C">
      <w:pPr>
        <w:autoSpaceDE w:val="0"/>
        <w:autoSpaceDN w:val="0"/>
        <w:adjustRightInd w:val="0"/>
        <w:ind w:left="1080"/>
        <w:jc w:val="both"/>
        <w:rPr>
          <w:noProof w:val="0"/>
          <w:color w:val="000000"/>
          <w:lang w:val="en-US"/>
        </w:rPr>
      </w:pPr>
    </w:p>
    <w:p w:rsidR="00DA624C" w:rsidRPr="002B77DD" w:rsidRDefault="00DA624C" w:rsidP="00DA624C">
      <w:pPr>
        <w:autoSpaceDE w:val="0"/>
        <w:autoSpaceDN w:val="0"/>
        <w:adjustRightInd w:val="0"/>
        <w:spacing w:line="516" w:lineRule="auto"/>
        <w:ind w:firstLine="720"/>
        <w:jc w:val="both"/>
        <w:rPr>
          <w:lang w:val="en-US"/>
        </w:rPr>
      </w:pPr>
      <w:r w:rsidRPr="002B77DD">
        <w:t xml:space="preserve">Kemampuan bertanggung jawab juga berhubungan dengan umur tertentu bagi pelaku tindak pidana. Artinya hanya pelaku yang memenuhi batas umur tertentu yang memilki kemampuan bertanggung jawab serta memilki kewajiban pertanggung jawaban atas perbuatan yang telah dilakukan, hal ini dikarenakan karena pada umur tertentu secara </w:t>
      </w:r>
      <w:r w:rsidRPr="002B77DD">
        <w:rPr>
          <w:i/>
          <w:iCs/>
        </w:rPr>
        <w:t xml:space="preserve">psycologi </w:t>
      </w:r>
      <w:r w:rsidRPr="002B77DD">
        <w:t>dapat mempengaruhi seseorang untuk melakukan suatu perbuatan. Pada dasar nya anak pada umur tertentu belum dapat menyadari dengan baik apa yang telah dilakukan, artinya anak padaumur tertentu juga tidak dapat memisahkan mana yang baik dan mana yang salah tentu juga hal ini mempengaruhi anak tidak dapat menginsafkan perbuatannya. Apabila anak pada tertentu melakukan tindak pidana dan oleh karena perbuatannya dilakukan proses pidana makan secara psycologi anak tersebut akan terganggu dimasa dewasanya.</w:t>
      </w:r>
      <w:r w:rsidRPr="002B77DD">
        <w:rPr>
          <w:rStyle w:val="FootnoteReference"/>
        </w:rPr>
        <w:footnoteReference w:id="42"/>
      </w:r>
    </w:p>
    <w:p w:rsidR="00DA624C" w:rsidRPr="002B77DD" w:rsidRDefault="00DA624C" w:rsidP="00DA624C">
      <w:pPr>
        <w:autoSpaceDE w:val="0"/>
        <w:autoSpaceDN w:val="0"/>
        <w:adjustRightInd w:val="0"/>
        <w:spacing w:line="516" w:lineRule="auto"/>
        <w:ind w:firstLine="720"/>
        <w:jc w:val="both"/>
        <w:rPr>
          <w:lang w:val="en-US"/>
        </w:rPr>
      </w:pPr>
      <w:r w:rsidRPr="002B77DD">
        <w:rPr>
          <w:lang w:val="en-US"/>
        </w:rPr>
        <w:t>Hakim d</w:t>
      </w:r>
      <w:r w:rsidRPr="002B77DD">
        <w:t xml:space="preserve">alam proses pemidanaannya wajib memcari dan membuktikan apakah pelaku memiliki unsur kemampuan bertanggung jawab, sebab apabila pelaku tidak memiliki kemampuan bertanggung jawab baik karena usia yang </w:t>
      </w:r>
      <w:r w:rsidRPr="002B77DD">
        <w:lastRenderedPageBreak/>
        <w:t>belum cukup umur, atau dikarenakan keadaan psy</w:t>
      </w:r>
      <w:r w:rsidRPr="002B77DD">
        <w:rPr>
          <w:lang w:val="en-US"/>
        </w:rPr>
        <w:t>k</w:t>
      </w:r>
      <w:r w:rsidRPr="002B77DD">
        <w:t>ologi seseorang terganggu maka orang tersebut tidak dapat diminta pertanggung jawabanya</w:t>
      </w:r>
      <w:r w:rsidRPr="002B77DD">
        <w:rPr>
          <w:lang w:val="en-US"/>
        </w:rPr>
        <w:t>.</w:t>
      </w:r>
      <w:r w:rsidRPr="002B77DD">
        <w:rPr>
          <w:rStyle w:val="FootnoteReference"/>
          <w:lang w:val="en-US"/>
        </w:rPr>
        <w:footnoteReference w:id="43"/>
      </w:r>
    </w:p>
    <w:p w:rsidR="00DA624C" w:rsidRPr="002B77DD" w:rsidRDefault="00DA624C" w:rsidP="00DA624C">
      <w:pPr>
        <w:numPr>
          <w:ilvl w:val="4"/>
          <w:numId w:val="12"/>
        </w:numPr>
        <w:tabs>
          <w:tab w:val="clear" w:pos="3600"/>
          <w:tab w:val="num" w:pos="360"/>
        </w:tabs>
        <w:autoSpaceDE w:val="0"/>
        <w:autoSpaceDN w:val="0"/>
        <w:adjustRightInd w:val="0"/>
        <w:spacing w:line="480" w:lineRule="auto"/>
        <w:ind w:left="360"/>
        <w:rPr>
          <w:noProof w:val="0"/>
          <w:color w:val="000000"/>
          <w:lang w:val="en-US"/>
        </w:rPr>
      </w:pPr>
      <w:r w:rsidRPr="002B77DD">
        <w:rPr>
          <w:noProof w:val="0"/>
          <w:color w:val="000000"/>
          <w:lang w:val="en-US"/>
        </w:rPr>
        <w:t xml:space="preserve">Tidak ada alasan pemaaf </w:t>
      </w:r>
    </w:p>
    <w:p w:rsidR="00DA624C" w:rsidRPr="002B77DD" w:rsidRDefault="00DA624C" w:rsidP="00DA624C">
      <w:pPr>
        <w:autoSpaceDE w:val="0"/>
        <w:autoSpaceDN w:val="0"/>
        <w:adjustRightInd w:val="0"/>
        <w:spacing w:line="480" w:lineRule="auto"/>
        <w:ind w:firstLine="720"/>
        <w:jc w:val="both"/>
        <w:rPr>
          <w:lang w:val="en-US"/>
        </w:rPr>
      </w:pPr>
      <w:r w:rsidRPr="002B77DD">
        <w:rPr>
          <w:lang w:val="en-US"/>
        </w:rPr>
        <w:t xml:space="preserve">Seorang </w:t>
      </w:r>
      <w:r w:rsidRPr="002B77DD">
        <w:t>pelaku tindak pidana</w:t>
      </w:r>
      <w:r w:rsidRPr="002B77DD">
        <w:rPr>
          <w:lang w:val="en-US"/>
        </w:rPr>
        <w:t xml:space="preserve"> d</w:t>
      </w:r>
      <w:r w:rsidRPr="002B77DD">
        <w:t>alam keadaan tertentu tidak dapat melakukan tindakan lain selain melakukan perbuatan tindak pidana, meskipun hal itu tidak di inginkan. Sehingga dengan perbuatan tersebut pelaku nya harus menghadi jalur hukum. Hal itu tidak dihindari oleh pelaku meskipun hal itu tidak diinginkan oleh dirinya sendiri. Hal itu dilakukan oleh seseorang karena fa</w:t>
      </w:r>
      <w:r w:rsidRPr="002B77DD">
        <w:rPr>
          <w:lang w:val="en-US"/>
        </w:rPr>
        <w:t>k</w:t>
      </w:r>
      <w:r w:rsidRPr="002B77DD">
        <w:t>tor-faktor dari luar dirinya</w:t>
      </w:r>
      <w:r w:rsidRPr="002B77DD">
        <w:rPr>
          <w:lang w:val="en-US"/>
        </w:rPr>
        <w:t>.</w:t>
      </w:r>
      <w:r w:rsidRPr="002B77DD">
        <w:rPr>
          <w:rStyle w:val="FootnoteReference"/>
          <w:lang w:val="en-US"/>
        </w:rPr>
        <w:footnoteReference w:id="44"/>
      </w:r>
    </w:p>
    <w:p w:rsidR="00DA624C" w:rsidRPr="002B77DD" w:rsidRDefault="00DA624C" w:rsidP="00DA624C">
      <w:pPr>
        <w:autoSpaceDE w:val="0"/>
        <w:autoSpaceDN w:val="0"/>
        <w:adjustRightInd w:val="0"/>
        <w:spacing w:line="480" w:lineRule="auto"/>
        <w:ind w:firstLine="720"/>
        <w:jc w:val="both"/>
        <w:rPr>
          <w:color w:val="000000"/>
          <w:lang w:val="en-US" w:eastAsia="id-ID"/>
        </w:rPr>
      </w:pPr>
      <w:r w:rsidRPr="002B77DD">
        <w:t>Fa</w:t>
      </w:r>
      <w:r w:rsidRPr="002B77DD">
        <w:rPr>
          <w:lang w:val="en-US"/>
        </w:rPr>
        <w:t>k</w:t>
      </w:r>
      <w:r w:rsidRPr="002B77DD">
        <w:t xml:space="preserve">tor-faktor dari luar dirinya atau batinnya itulah yang menyebabkan pembuat tindak oidana tidak dapat berbuat lain yang mengakibatkan kesalaahannya menjadi terhapus. Artinya, berkaitan dengan hal ini pembuat tindak pidana terdapat alasan penghapusan pidana, sehingga pertanggujawaban berkaitan dengan hal ini ditunggukan smapai dapat dipastikan ada tidaknya unsur alasan pemaaf dalam diri pelaku pembuat tindak pidana tersebut. </w:t>
      </w:r>
      <w:r w:rsidRPr="002B77DD">
        <w:rPr>
          <w:lang w:val="en-US"/>
        </w:rPr>
        <w:t>S</w:t>
      </w:r>
      <w:r w:rsidRPr="002B77DD">
        <w:t>ekalipun pelaku pembuat tindak pidana dapat dicela namun celaan tersebut tidak dapat dilanjutkan kepadanaya karena pembuat tindak pidana tidak dapat berbuat lain selain melakukan tindak pidana tersebut.</w:t>
      </w:r>
      <w:r w:rsidRPr="002B77DD">
        <w:rPr>
          <w:rStyle w:val="FootnoteReference"/>
        </w:rPr>
        <w:footnoteReference w:id="45"/>
      </w:r>
    </w:p>
    <w:p w:rsidR="00DA624C" w:rsidRPr="002B77DD" w:rsidRDefault="00DA624C" w:rsidP="00DA624C">
      <w:pPr>
        <w:autoSpaceDE w:val="0"/>
        <w:autoSpaceDN w:val="0"/>
        <w:adjustRightInd w:val="0"/>
        <w:spacing w:line="480" w:lineRule="auto"/>
        <w:ind w:firstLine="720"/>
        <w:jc w:val="both"/>
        <w:rPr>
          <w:lang w:val="en-US"/>
        </w:rPr>
      </w:pPr>
      <w:r w:rsidRPr="002B77DD">
        <w:rPr>
          <w:lang w:val="en-US"/>
        </w:rPr>
        <w:t>A</w:t>
      </w:r>
      <w:r w:rsidRPr="002B77DD">
        <w:t xml:space="preserve">lasan pembenar </w:t>
      </w:r>
      <w:r w:rsidRPr="002B77DD">
        <w:rPr>
          <w:lang w:val="en-US"/>
        </w:rPr>
        <w:t>d</w:t>
      </w:r>
      <w:r w:rsidRPr="002B77DD">
        <w:t xml:space="preserve">alam doktrin hukum pidana adalah suatu alasan yang menghapus sifat melawan hukumnya suatu perbuatan. Alasan pembenar dan alasanpemaaf ini dibedakan karena keduanya memiliki fungsi yang berbeda. </w:t>
      </w:r>
      <w:r w:rsidRPr="002B77DD">
        <w:lastRenderedPageBreak/>
        <w:t>Adanya perbedaan ini karena alasan pembenar adalah suatu alasan “pembenaran” atas suatu tindak pidana yang melawan hukum sedangkan alasan pemaaf berujung pada pemaafan terhadap seseorang sekalipun telah melakukan pelanggar hukum atas tindak pidana yang telah diperbuat</w:t>
      </w:r>
      <w:r w:rsidRPr="002B77DD">
        <w:rPr>
          <w:lang w:val="en-US"/>
        </w:rPr>
        <w:t>.</w:t>
      </w:r>
      <w:r w:rsidRPr="002B77DD">
        <w:rPr>
          <w:rStyle w:val="FootnoteReference"/>
          <w:lang w:val="en-US"/>
        </w:rPr>
        <w:footnoteReference w:id="46"/>
      </w:r>
    </w:p>
    <w:p w:rsidR="00DA624C" w:rsidRPr="002B77DD" w:rsidRDefault="00DA624C" w:rsidP="00DA624C">
      <w:pPr>
        <w:autoSpaceDE w:val="0"/>
        <w:autoSpaceDN w:val="0"/>
        <w:adjustRightInd w:val="0"/>
        <w:spacing w:line="480" w:lineRule="auto"/>
        <w:ind w:firstLine="720"/>
        <w:jc w:val="both"/>
        <w:rPr>
          <w:lang w:val="en-US"/>
        </w:rPr>
      </w:pPr>
      <w:r w:rsidRPr="002B77DD">
        <w:t xml:space="preserve">Dalam hukum pidana yang termasuk alasan pembenar seperti keadaaan darurat, pembelaan terpaksa, Menjalankan peraturan perundang-undangan, menjalankan perintah jabatan yang sah. Keadaan darurat merupakan salah satu alasan pembenar, yaitu suatu alsan karena seseorang menghadapi dilema situasi untuk memilih suatu tindakan. Keadaan darurat ini sebagai salah satu bentuk </w:t>
      </w:r>
      <w:r w:rsidRPr="002B77DD">
        <w:rPr>
          <w:i/>
          <w:iCs/>
        </w:rPr>
        <w:t xml:space="preserve">via compulsive </w:t>
      </w:r>
      <w:r w:rsidRPr="002B77DD">
        <w:t xml:space="preserve">terjadi dalam tiga kemungkinan. Kemungkinan </w:t>
      </w:r>
      <w:r w:rsidRPr="002B77DD">
        <w:rPr>
          <w:i/>
          <w:iCs/>
        </w:rPr>
        <w:t xml:space="preserve">Pertama </w:t>
      </w:r>
      <w:r w:rsidRPr="002B77DD">
        <w:t xml:space="preserve">terjepit diama seseorang memilih diantara dua kepentingan yang sama-sama penting, diberi contoh seseorang yang berada ditengah laut bersama ketiga orang temannya, alat penyelamat saat itu hanyalah satu papan yang hanya dapat menampung dua orang saja, dalam hal ini seseorang tidak dapat silahkan apabila salah satu teman tersebut tidak dapat diselamatkan. Kemungkinan yang </w:t>
      </w:r>
      <w:r w:rsidRPr="002B77DD">
        <w:rPr>
          <w:i/>
          <w:iCs/>
        </w:rPr>
        <w:t xml:space="preserve">Kedua </w:t>
      </w:r>
      <w:r w:rsidRPr="002B77DD">
        <w:t>yaitu seseorang terjepit diantara kepentingan dan kewajiban. Kemungkinan yang ketiga adalah seseorang ditempatkan pada situasi terjepit diantara dua kewajiban</w:t>
      </w:r>
      <w:r w:rsidRPr="002B77DD">
        <w:rPr>
          <w:lang w:val="en-US"/>
        </w:rPr>
        <w:t>.</w:t>
      </w:r>
      <w:r w:rsidRPr="002B77DD">
        <w:rPr>
          <w:rStyle w:val="FootnoteReference"/>
          <w:lang w:val="en-US"/>
        </w:rPr>
        <w:footnoteReference w:id="47"/>
      </w:r>
    </w:p>
    <w:p w:rsidR="00DA624C" w:rsidRPr="002B77DD" w:rsidRDefault="00DA624C" w:rsidP="00DA624C">
      <w:pPr>
        <w:autoSpaceDE w:val="0"/>
        <w:autoSpaceDN w:val="0"/>
        <w:adjustRightInd w:val="0"/>
        <w:spacing w:line="480" w:lineRule="auto"/>
        <w:ind w:firstLine="720"/>
        <w:jc w:val="both"/>
        <w:rPr>
          <w:lang w:val="en-US"/>
        </w:rPr>
      </w:pPr>
      <w:r w:rsidRPr="002B77DD">
        <w:t xml:space="preserve">Pembelaan </w:t>
      </w:r>
      <w:r w:rsidRPr="002B77DD">
        <w:rPr>
          <w:lang w:val="en-US"/>
        </w:rPr>
        <w:t>t</w:t>
      </w:r>
      <w:r w:rsidRPr="002B77DD">
        <w:t xml:space="preserve">erpaksa </w:t>
      </w:r>
      <w:r w:rsidRPr="002B77DD">
        <w:rPr>
          <w:lang w:val="en-US"/>
        </w:rPr>
        <w:t>diatur</w:t>
      </w:r>
      <w:r w:rsidRPr="002B77DD">
        <w:t xml:space="preserve"> dalam </w:t>
      </w:r>
      <w:r w:rsidRPr="002B77DD">
        <w:rPr>
          <w:lang w:val="en-US"/>
        </w:rPr>
        <w:t>P</w:t>
      </w:r>
      <w:r w:rsidRPr="002B77DD">
        <w:t xml:space="preserve">asal 49 ayat </w:t>
      </w:r>
      <w:r w:rsidRPr="002B77DD">
        <w:rPr>
          <w:lang w:val="en-US"/>
        </w:rPr>
        <w:t>(</w:t>
      </w:r>
      <w:r w:rsidRPr="002B77DD">
        <w:t>1</w:t>
      </w:r>
      <w:r w:rsidRPr="002B77DD">
        <w:rPr>
          <w:lang w:val="en-US"/>
        </w:rPr>
        <w:t>)</w:t>
      </w:r>
      <w:r w:rsidRPr="002B77DD">
        <w:t xml:space="preserve"> KUHP ditentukan syarat-syarat dimana melakukan suatu delik untuk membela diri dapat dibenarkan. Untuk itu undang-undang menentukan syarat-syarat yang sangat ketat, meneurut </w:t>
      </w:r>
      <w:r w:rsidRPr="002B77DD">
        <w:rPr>
          <w:lang w:val="en-US"/>
        </w:rPr>
        <w:t>P</w:t>
      </w:r>
      <w:r w:rsidRPr="002B77DD">
        <w:t xml:space="preserve">asal 49 ayat </w:t>
      </w:r>
      <w:r w:rsidRPr="002B77DD">
        <w:rPr>
          <w:lang w:val="en-US"/>
        </w:rPr>
        <w:t>(</w:t>
      </w:r>
      <w:r w:rsidRPr="002B77DD">
        <w:t>1</w:t>
      </w:r>
      <w:r w:rsidRPr="002B77DD">
        <w:rPr>
          <w:lang w:val="en-US"/>
        </w:rPr>
        <w:t>)</w:t>
      </w:r>
      <w:r w:rsidRPr="002B77DD">
        <w:t xml:space="preserve"> KUHP untuk pepbelaan terpaksa disyararatkan adanya serangan mendadak atau seketika itu terhadap raga, kehormatan kesusilaan atau harta </w:t>
      </w:r>
      <w:r w:rsidRPr="002B77DD">
        <w:lastRenderedPageBreak/>
        <w:t>benda, serangan itu bersifat melawan hukum, dalam hal ini pembelaan adalah suatu keharusan. Pembelaan terpaksa ini dimaksudkan adalah pembelaan yang dilakukan ketika ada suatu serangan yang akan terjadi. Pembelaan terpaksa ini terjadi apabila seseorang tidak melakukan pembelaan diri maka suatu hal yang buruk akan terjadi atau apabila tidak melakukan pembelaan makan menepatkan seseorang dalam keadaan yang meugikan dan membahayakan</w:t>
      </w:r>
      <w:r w:rsidRPr="002B77DD">
        <w:rPr>
          <w:lang w:val="en-US"/>
        </w:rPr>
        <w:t>.</w:t>
      </w:r>
      <w:r w:rsidRPr="002B77DD">
        <w:rPr>
          <w:rStyle w:val="FootnoteReference"/>
          <w:lang w:val="en-US"/>
        </w:rPr>
        <w:footnoteReference w:id="48"/>
      </w:r>
    </w:p>
    <w:p w:rsidR="00DA624C" w:rsidRPr="002B77DD" w:rsidRDefault="00DA624C" w:rsidP="00DA624C">
      <w:pPr>
        <w:autoSpaceDE w:val="0"/>
        <w:autoSpaceDN w:val="0"/>
        <w:adjustRightInd w:val="0"/>
        <w:ind w:firstLine="720"/>
        <w:jc w:val="both"/>
      </w:pPr>
    </w:p>
    <w:p w:rsidR="00DA624C" w:rsidRPr="002B77DD" w:rsidRDefault="00DA624C" w:rsidP="00DA624C">
      <w:pPr>
        <w:pStyle w:val="BodyTextIndent"/>
        <w:numPr>
          <w:ilvl w:val="0"/>
          <w:numId w:val="12"/>
        </w:numPr>
        <w:spacing w:after="0" w:line="456" w:lineRule="auto"/>
        <w:jc w:val="both"/>
        <w:rPr>
          <w:color w:val="000000"/>
          <w:lang w:val="en-US"/>
        </w:rPr>
      </w:pPr>
      <w:bookmarkStart w:id="0" w:name="_Hlk130247871"/>
      <w:bookmarkStart w:id="1" w:name="_Hlk139982067"/>
      <w:r w:rsidRPr="002B77DD">
        <w:rPr>
          <w:color w:val="000000"/>
          <w:lang w:val="en-US"/>
        </w:rPr>
        <w:t xml:space="preserve">Tindak Pidana Perusakan </w:t>
      </w:r>
      <w:bookmarkEnd w:id="0"/>
      <w:r w:rsidRPr="002B77DD">
        <w:rPr>
          <w:color w:val="000000"/>
          <w:lang w:val="en-US"/>
        </w:rPr>
        <w:t>Fasilitas Umum</w:t>
      </w:r>
      <w:bookmarkEnd w:id="1"/>
    </w:p>
    <w:p w:rsidR="00DA624C" w:rsidRPr="002B77DD" w:rsidRDefault="00DA624C" w:rsidP="00DA624C">
      <w:pPr>
        <w:spacing w:line="456" w:lineRule="auto"/>
        <w:ind w:firstLine="720"/>
        <w:jc w:val="both"/>
        <w:rPr>
          <w:color w:val="000000"/>
          <w:lang w:val="en-US"/>
        </w:rPr>
      </w:pPr>
      <w:r w:rsidRPr="002B77DD">
        <w:rPr>
          <w:color w:val="000000"/>
        </w:rPr>
        <w:t xml:space="preserve">Pengertian tindak pidana dalam Kitab Undang-Undang Hukum Pidana (KUHP) dikenal dengan istilah </w:t>
      </w:r>
      <w:r w:rsidRPr="002B77DD">
        <w:rPr>
          <w:i/>
          <w:iCs/>
          <w:color w:val="000000"/>
        </w:rPr>
        <w:t xml:space="preserve">strafbaarfeit </w:t>
      </w:r>
      <w:r w:rsidRPr="002B77DD">
        <w:rPr>
          <w:color w:val="000000"/>
        </w:rPr>
        <w:t>dan dalam kepustakaan tentang hukum pidana sering mempergunakan delik, sedangkan pembuat undang-undang merumuskan suatu undang- undang mempergunakan istilah peristiwa pidana atau pebuatan pidana atau tindakan pidana.</w:t>
      </w:r>
      <w:r w:rsidRPr="002B77DD">
        <w:rPr>
          <w:rStyle w:val="FootnoteReference"/>
          <w:color w:val="000000"/>
        </w:rPr>
        <w:footnoteReference w:id="49"/>
      </w:r>
    </w:p>
    <w:p w:rsidR="00DA624C" w:rsidRPr="002B77DD" w:rsidRDefault="00DA624C" w:rsidP="00DA624C">
      <w:pPr>
        <w:spacing w:line="456" w:lineRule="auto"/>
        <w:ind w:firstLine="720"/>
        <w:jc w:val="both"/>
        <w:rPr>
          <w:color w:val="000000"/>
        </w:rPr>
      </w:pPr>
      <w:r w:rsidRPr="002B77DD">
        <w:rPr>
          <w:color w:val="000000"/>
        </w:rPr>
        <w:t>PAF. Lamintang menyebutkan tindak pidana adalah suatu pelanggaran norma (gangguan terhadap tata tertib hukum) yang dengan sengaja ataupun tidak sengaja telah dilakukan oleh seorang pelaku, dimana penjatuhan hukuman terhadap pelaku tersebut adalah perlu demi terpeliharanya tertib hukum.</w:t>
      </w:r>
      <w:r w:rsidRPr="002B77DD">
        <w:rPr>
          <w:rStyle w:val="FootnoteReference"/>
          <w:color w:val="000000"/>
        </w:rPr>
        <w:footnoteReference w:id="50"/>
      </w:r>
      <w:r w:rsidRPr="002B77DD">
        <w:rPr>
          <w:color w:val="000000"/>
        </w:rPr>
        <w:t xml:space="preserve"> Leden Marpaung </w:t>
      </w:r>
      <w:r w:rsidRPr="002B77DD">
        <w:rPr>
          <w:iCs/>
          <w:color w:val="000000"/>
        </w:rPr>
        <w:t xml:space="preserve">meyebutkan </w:t>
      </w:r>
      <w:r w:rsidRPr="002B77DD">
        <w:rPr>
          <w:i/>
          <w:iCs/>
          <w:color w:val="000000"/>
        </w:rPr>
        <w:t xml:space="preserve">strafbaarfeit </w:t>
      </w:r>
      <w:r w:rsidRPr="002B77DD">
        <w:rPr>
          <w:color w:val="000000"/>
        </w:rPr>
        <w:t>adalah suatu tindakan yang melanggar hukum yang telah dilakukan dengan sengaja ataupun tidak sengaja oleh seseorang yang tindakannya tersebut dapat dipertanggungjawabkan dan oleh undang-undang telah dinyatakan sebagai suatu tindakan yang dapat dihukum.</w:t>
      </w:r>
      <w:r w:rsidRPr="002B77DD">
        <w:rPr>
          <w:rStyle w:val="FootnoteReference"/>
          <w:color w:val="000000"/>
        </w:rPr>
        <w:footnoteReference w:id="51"/>
      </w:r>
    </w:p>
    <w:p w:rsidR="00DA624C" w:rsidRPr="002B77DD" w:rsidRDefault="00DA624C" w:rsidP="00DA624C">
      <w:pPr>
        <w:spacing w:line="480" w:lineRule="auto"/>
        <w:ind w:firstLine="720"/>
        <w:jc w:val="both"/>
        <w:rPr>
          <w:color w:val="000000"/>
        </w:rPr>
      </w:pPr>
      <w:r w:rsidRPr="002B77DD">
        <w:rPr>
          <w:color w:val="000000"/>
        </w:rPr>
        <w:lastRenderedPageBreak/>
        <w:t>Andi Hamzah merumuskan tindak pidana adalah sebagai suatu tindakan pada, tempat, waktu, dan keadaan tertentu yang dilarang (atau diharuskan) dan diancam dengan pidana oleh undang-undang bersifat melawan hukum, serta dengan kesalahan dilakukan oleh seseorang (yang bertanggungjawab).</w:t>
      </w:r>
      <w:r w:rsidRPr="002B77DD">
        <w:rPr>
          <w:rStyle w:val="FootnoteReference"/>
          <w:color w:val="000000"/>
        </w:rPr>
        <w:footnoteReference w:id="52"/>
      </w:r>
      <w:r w:rsidRPr="002B77DD">
        <w:rPr>
          <w:color w:val="000000"/>
        </w:rPr>
        <w:t xml:space="preserve"> Moeljatno menyebut tindak pidana sebagai perbuatan pidana yang diartikan perbuatan yang melanggar yang dilarang oleh suatu aturan hukum, larangan mana yang disertai ancaman (sanksi) yang berupa pidana tertentu bagi siapa saja yang melanggar larangan tersebut.</w:t>
      </w:r>
      <w:r w:rsidRPr="002B77DD">
        <w:rPr>
          <w:rStyle w:val="FootnoteReference"/>
          <w:color w:val="000000"/>
        </w:rPr>
        <w:footnoteReference w:id="53"/>
      </w:r>
    </w:p>
    <w:p w:rsidR="00DA624C" w:rsidRPr="002B77DD" w:rsidRDefault="00DA624C" w:rsidP="00DA624C">
      <w:pPr>
        <w:spacing w:line="480" w:lineRule="auto"/>
        <w:ind w:firstLine="720"/>
        <w:jc w:val="both"/>
        <w:rPr>
          <w:color w:val="000000"/>
        </w:rPr>
      </w:pPr>
      <w:r w:rsidRPr="002B77DD">
        <w:rPr>
          <w:color w:val="000000"/>
        </w:rPr>
        <w:t xml:space="preserve">Teguh Prasetyo mengemukakan istilah yang paling tepat ialah delik, dikarenakan alasan sebagai berikut: </w:t>
      </w:r>
    </w:p>
    <w:p w:rsidR="00DA624C" w:rsidRPr="002B77DD" w:rsidRDefault="00DA624C" w:rsidP="00DA624C">
      <w:pPr>
        <w:numPr>
          <w:ilvl w:val="0"/>
          <w:numId w:val="14"/>
        </w:numPr>
        <w:spacing w:line="480" w:lineRule="auto"/>
        <w:ind w:left="360"/>
        <w:jc w:val="both"/>
        <w:rPr>
          <w:color w:val="000000"/>
        </w:rPr>
      </w:pPr>
      <w:r w:rsidRPr="002B77DD">
        <w:rPr>
          <w:color w:val="000000"/>
        </w:rPr>
        <w:t>Bersifat universal dan dikenal dimana-mana.</w:t>
      </w:r>
    </w:p>
    <w:p w:rsidR="00DA624C" w:rsidRPr="002B77DD" w:rsidRDefault="00DA624C" w:rsidP="00DA624C">
      <w:pPr>
        <w:numPr>
          <w:ilvl w:val="0"/>
          <w:numId w:val="14"/>
        </w:numPr>
        <w:spacing w:line="480" w:lineRule="auto"/>
        <w:ind w:left="360"/>
        <w:jc w:val="both"/>
        <w:rPr>
          <w:color w:val="000000"/>
        </w:rPr>
      </w:pPr>
      <w:r w:rsidRPr="002B77DD">
        <w:rPr>
          <w:color w:val="000000"/>
        </w:rPr>
        <w:t>Perbuatan itu dilarang dan diancam dengan hukuman oleh undang-undang.</w:t>
      </w:r>
    </w:p>
    <w:p w:rsidR="00DA624C" w:rsidRPr="002B77DD" w:rsidRDefault="00DA624C" w:rsidP="00DA624C">
      <w:pPr>
        <w:numPr>
          <w:ilvl w:val="0"/>
          <w:numId w:val="14"/>
        </w:numPr>
        <w:spacing w:line="480" w:lineRule="auto"/>
        <w:ind w:left="360"/>
        <w:jc w:val="both"/>
        <w:rPr>
          <w:color w:val="000000"/>
        </w:rPr>
      </w:pPr>
      <w:r w:rsidRPr="002B77DD">
        <w:rPr>
          <w:color w:val="000000"/>
        </w:rPr>
        <w:t>Perbuatan itu dilakukan oleh seseorang yang dapat dipertanggungjawabkan.</w:t>
      </w:r>
      <w:r w:rsidRPr="002B77DD">
        <w:rPr>
          <w:rStyle w:val="FootnoteReference"/>
          <w:color w:val="000000"/>
        </w:rPr>
        <w:footnoteReference w:id="54"/>
      </w:r>
    </w:p>
    <w:p w:rsidR="00DA624C" w:rsidRPr="002B77DD" w:rsidRDefault="00DA624C" w:rsidP="00DA624C">
      <w:pPr>
        <w:spacing w:line="444" w:lineRule="auto"/>
        <w:ind w:firstLine="709"/>
        <w:jc w:val="both"/>
        <w:rPr>
          <w:color w:val="000000"/>
          <w:lang w:val="en-US"/>
        </w:rPr>
      </w:pPr>
      <w:r w:rsidRPr="002B77DD">
        <w:rPr>
          <w:color w:val="000000"/>
        </w:rPr>
        <w:t xml:space="preserve">Menurut Kamus Besar Bahasa Indonesia kata </w:t>
      </w:r>
      <w:r w:rsidRPr="002B77DD">
        <w:rPr>
          <w:color w:val="000000"/>
          <w:lang w:val="en-US"/>
        </w:rPr>
        <w:t>p</w:t>
      </w:r>
      <w:r w:rsidRPr="002B77DD">
        <w:rPr>
          <w:color w:val="000000"/>
        </w:rPr>
        <w:t>engrusakan tidakdapat diartikan sendiri</w:t>
      </w:r>
      <w:r w:rsidRPr="002B77DD">
        <w:rPr>
          <w:color w:val="000000"/>
          <w:lang w:val="en-US"/>
        </w:rPr>
        <w:t xml:space="preserve"> tetapi</w:t>
      </w:r>
      <w:r w:rsidRPr="002B77DD">
        <w:rPr>
          <w:color w:val="000000"/>
        </w:rPr>
        <w:t xml:space="preserve"> kata</w:t>
      </w:r>
      <w:r w:rsidRPr="002B77DD">
        <w:rPr>
          <w:iCs/>
          <w:color w:val="000000"/>
        </w:rPr>
        <w:t>rusak</w:t>
      </w:r>
      <w:r w:rsidRPr="002B77DD">
        <w:rPr>
          <w:color w:val="000000"/>
        </w:rPr>
        <w:t xml:space="preserve">berarti sudah tidak sempurna (baik, utuh) lagi, bisa juga berarti hancur dan binasa. </w:t>
      </w:r>
      <w:r w:rsidRPr="002B77DD">
        <w:rPr>
          <w:color w:val="000000"/>
          <w:lang w:val="en-US"/>
        </w:rPr>
        <w:t>P</w:t>
      </w:r>
      <w:r w:rsidRPr="002B77DD">
        <w:rPr>
          <w:color w:val="000000"/>
        </w:rPr>
        <w:t xml:space="preserve">engrusakan </w:t>
      </w:r>
      <w:r w:rsidRPr="002B77DD">
        <w:rPr>
          <w:color w:val="000000"/>
          <w:lang w:val="en-US"/>
        </w:rPr>
        <w:t xml:space="preserve">dapat </w:t>
      </w:r>
      <w:r w:rsidRPr="002B77DD">
        <w:rPr>
          <w:color w:val="000000"/>
        </w:rPr>
        <w:t xml:space="preserve">berarti proses, cara, dan perbuatan merusakkan yang dilakukan oleh orang atau sekelompok orang sehingga menjadi tidak sempurna (baik, utuh) lagi </w:t>
      </w:r>
      <w:r w:rsidRPr="002B77DD">
        <w:rPr>
          <w:color w:val="000000"/>
          <w:lang w:val="en-US"/>
        </w:rPr>
        <w:t>s</w:t>
      </w:r>
      <w:r w:rsidRPr="002B77DD">
        <w:rPr>
          <w:color w:val="000000"/>
        </w:rPr>
        <w:t>edangkan kata penghancuran termasuk kata benda yang bermakna proses, perbuatan, cara menghancurkan. Sedangkan pengrusakan juga termasuk kata benda yang bermakna proses, perbuatan, cara merusakkan</w:t>
      </w:r>
      <w:r w:rsidRPr="002B77DD">
        <w:rPr>
          <w:color w:val="000000"/>
          <w:lang w:val="en-US"/>
        </w:rPr>
        <w:t>.</w:t>
      </w:r>
      <w:r w:rsidRPr="002B77DD">
        <w:rPr>
          <w:rStyle w:val="FootnoteReference"/>
          <w:color w:val="000000"/>
          <w:lang w:val="en-US"/>
        </w:rPr>
        <w:footnoteReference w:id="55"/>
      </w:r>
    </w:p>
    <w:p w:rsidR="00DA624C" w:rsidRPr="002B77DD" w:rsidRDefault="00DA624C" w:rsidP="00DA624C">
      <w:pPr>
        <w:spacing w:line="444" w:lineRule="auto"/>
        <w:ind w:firstLine="709"/>
        <w:jc w:val="both"/>
        <w:rPr>
          <w:color w:val="000000"/>
          <w:lang w:val="en-US"/>
        </w:rPr>
      </w:pPr>
      <w:r w:rsidRPr="002B77DD">
        <w:rPr>
          <w:color w:val="000000"/>
        </w:rPr>
        <w:lastRenderedPageBreak/>
        <w:t>Maksud dari penghancuran dan perusakan dalam hukum pidana adalah melakukan perbuatan terhadap barang orang lain secara merugikan tanpa mengambil barang itu. Pengrusakan barang sarana umum sangat merugikan, baik barang yang dirusak tersebut hanya sebagian saja atau seluruhnya, sehingga masyarakat tersebut tidak dapat menggunakan lagi sarana yang disediakan oleh pemerintah lagi.</w:t>
      </w:r>
      <w:r w:rsidRPr="002B77DD">
        <w:rPr>
          <w:rStyle w:val="FootnoteReference"/>
          <w:color w:val="000000"/>
        </w:rPr>
        <w:footnoteReference w:id="56"/>
      </w:r>
    </w:p>
    <w:p w:rsidR="00DA624C" w:rsidRPr="002B77DD" w:rsidRDefault="00DA624C" w:rsidP="00DA624C">
      <w:pPr>
        <w:spacing w:line="480" w:lineRule="auto"/>
        <w:ind w:firstLine="709"/>
        <w:jc w:val="both"/>
        <w:rPr>
          <w:color w:val="000000"/>
          <w:lang w:val="en-US"/>
        </w:rPr>
      </w:pPr>
      <w:r w:rsidRPr="002B77DD">
        <w:rPr>
          <w:color w:val="000000"/>
        </w:rPr>
        <w:t>Selain itu barang yang telah dirusak merupakan sesuatuyang bernilai bagi masyarakat, dengan terjadinya pengrusakan barang ini sangat mengganggu ketenanganmasyarakat. Sebagaimana aturan-aturan yang telah ditetapkan dalam Kitab Undang-undang Hukum Pidana didalamnya terdapat Pasal 406 ayat (1) KUHP yang berbunyi sebagai berikut : “Barang siapa dengan sengaja dan dengan melawan hak membinasakan, merusakkan, membuat sehingga tidak dapat dipakai lagi atau menghilangkan sesuatu barang yang sama sekali atau sebagiannya kepunyaan orang lain, dihukum penjara selama-lamanya dua tahun delapan bulan atau denda sebanyak-banyaknya Rp. 4.500”</w:t>
      </w:r>
    </w:p>
    <w:p w:rsidR="00DA624C" w:rsidRPr="002B77DD" w:rsidRDefault="00DA624C" w:rsidP="00DA624C">
      <w:pPr>
        <w:spacing w:line="480" w:lineRule="auto"/>
        <w:ind w:firstLine="709"/>
        <w:jc w:val="both"/>
        <w:rPr>
          <w:color w:val="000000"/>
          <w:lang w:val="en-US"/>
        </w:rPr>
      </w:pPr>
      <w:r w:rsidRPr="002B77DD">
        <w:rPr>
          <w:color w:val="000000"/>
        </w:rPr>
        <w:t>R. Soesilo memberikan penafsiran mengenai pengrusakan dan memberikan batasan-batasan yang termasuk kategori tindak pidana pengrusakan agar supaya tindak pidana pengrusakan dapat dihukum. R. Soesilo menguraikan unsur-unsur pengrusakan sebagai berikut:</w:t>
      </w:r>
    </w:p>
    <w:p w:rsidR="00DA624C" w:rsidRPr="002B77DD" w:rsidRDefault="00DA624C" w:rsidP="00DA624C">
      <w:pPr>
        <w:numPr>
          <w:ilvl w:val="0"/>
          <w:numId w:val="15"/>
        </w:numPr>
        <w:tabs>
          <w:tab w:val="clear" w:pos="720"/>
        </w:tabs>
        <w:ind w:left="1080"/>
        <w:jc w:val="both"/>
        <w:rPr>
          <w:color w:val="000000"/>
        </w:rPr>
      </w:pPr>
      <w:r w:rsidRPr="002B77DD">
        <w:rPr>
          <w:color w:val="000000"/>
        </w:rPr>
        <w:t xml:space="preserve">Bahwa terdakwa telah membinasakan, merusakkan membuat sehingga tidak dapat dipakai lagi atau menghilangkan sesuatu barang. </w:t>
      </w:r>
    </w:p>
    <w:p w:rsidR="00DA624C" w:rsidRPr="002B77DD" w:rsidRDefault="00DA624C" w:rsidP="00DA624C">
      <w:pPr>
        <w:numPr>
          <w:ilvl w:val="0"/>
          <w:numId w:val="15"/>
        </w:numPr>
        <w:tabs>
          <w:tab w:val="clear" w:pos="720"/>
        </w:tabs>
        <w:ind w:left="1080"/>
        <w:jc w:val="both"/>
        <w:rPr>
          <w:color w:val="000000"/>
        </w:rPr>
      </w:pPr>
      <w:r w:rsidRPr="002B77DD">
        <w:rPr>
          <w:color w:val="000000"/>
        </w:rPr>
        <w:t xml:space="preserve">Bahwa pembinasaan dan sebagainya itu harus dilakukan dengan sengaja dan dengan melawan hukum. </w:t>
      </w:r>
    </w:p>
    <w:p w:rsidR="00DA624C" w:rsidRPr="002B77DD" w:rsidRDefault="00DA624C" w:rsidP="00DA624C">
      <w:pPr>
        <w:numPr>
          <w:ilvl w:val="0"/>
          <w:numId w:val="15"/>
        </w:numPr>
        <w:tabs>
          <w:tab w:val="clear" w:pos="720"/>
        </w:tabs>
        <w:ind w:left="1080"/>
        <w:jc w:val="both"/>
        <w:rPr>
          <w:color w:val="000000"/>
        </w:rPr>
      </w:pPr>
      <w:r w:rsidRPr="002B77DD">
        <w:rPr>
          <w:color w:val="000000"/>
        </w:rPr>
        <w:lastRenderedPageBreak/>
        <w:t>Bahwa barang itu harus sama sekali atau sebagian kepunyaan orang lain.</w:t>
      </w:r>
      <w:r w:rsidRPr="002B77DD">
        <w:rPr>
          <w:rStyle w:val="FootnoteReference"/>
          <w:color w:val="000000"/>
          <w:lang w:val="en-US"/>
        </w:rPr>
        <w:footnoteReference w:id="57"/>
      </w:r>
    </w:p>
    <w:p w:rsidR="00DA624C" w:rsidRPr="002B77DD" w:rsidRDefault="00DA624C" w:rsidP="00DA624C">
      <w:pPr>
        <w:pStyle w:val="Default"/>
        <w:rPr>
          <w:rFonts w:ascii="Times New Roman" w:hAnsi="Times New Roman" w:cs="Times New Roman"/>
          <w:noProof/>
        </w:rPr>
      </w:pP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Kemudian R. Soesilo menjelaskan lebih lanjut makna Pasal 406 KUHP yakni kata membinasakan sama dengan menghancurkan atau merusak sama sekali, misalnya membanting gelas, cangkir, tempat bunga sehingga hancur, sedang kata merusakkan maksudnya kurang dari pada membinasakan, misalnya memukul gelas, cangkir dan sebagainya tidak sampai hancur, akan tetapi hanya pecah sedikit retak atau hanya putus pegangannya. Membuat sehingga tidak dapat dipakai lagi disini harus demikian rupa, sehingga barang itu tidak dapat diperbaiki lagi. Kata menghilangkan membuat sehingga barang itu tidak ada lagi dan yang dimaksud dengan barang-barang yang terangkat maupun barang yang tidak terangkat.</w:t>
      </w:r>
      <w:r w:rsidRPr="002B77DD">
        <w:rPr>
          <w:rStyle w:val="FootnoteReference"/>
        </w:rPr>
        <w:footnoteReference w:id="58"/>
      </w:r>
    </w:p>
    <w:p w:rsidR="00DA624C" w:rsidRPr="002B77DD" w:rsidRDefault="00DA624C" w:rsidP="00DA624C">
      <w:pPr>
        <w:pStyle w:val="Default"/>
        <w:ind w:firstLine="720"/>
        <w:jc w:val="both"/>
        <w:rPr>
          <w:rFonts w:ascii="Times New Roman" w:hAnsi="Times New Roman" w:cs="Times New Roman"/>
        </w:rPr>
      </w:pPr>
    </w:p>
    <w:p w:rsidR="00DA624C" w:rsidRPr="002B77DD" w:rsidRDefault="00DA624C" w:rsidP="00DA624C">
      <w:pPr>
        <w:pStyle w:val="Default"/>
        <w:numPr>
          <w:ilvl w:val="0"/>
          <w:numId w:val="12"/>
        </w:numPr>
        <w:spacing w:line="480" w:lineRule="auto"/>
        <w:jc w:val="both"/>
        <w:rPr>
          <w:rFonts w:ascii="Times New Roman" w:hAnsi="Times New Roman" w:cs="Times New Roman"/>
          <w:b/>
        </w:rPr>
      </w:pPr>
      <w:r w:rsidRPr="002B77DD">
        <w:rPr>
          <w:rFonts w:ascii="Times New Roman" w:hAnsi="Times New Roman" w:cs="Times New Roman"/>
          <w:b/>
        </w:rPr>
        <w:t>Bentuk-Bentuk Tindak Pidana Perusakan</w:t>
      </w: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Pengrusakan dan penghancuran benda dalam bentuk pokok diatur dalam Pasal 406 KUHP yang merumuskan sebagai berikut:</w:t>
      </w:r>
    </w:p>
    <w:p w:rsidR="00DA624C" w:rsidRPr="002B77DD" w:rsidRDefault="00DA624C" w:rsidP="00DA624C">
      <w:pPr>
        <w:pStyle w:val="Default"/>
        <w:numPr>
          <w:ilvl w:val="1"/>
          <w:numId w:val="12"/>
        </w:numPr>
        <w:tabs>
          <w:tab w:val="clear" w:pos="1545"/>
          <w:tab w:val="num" w:pos="1185"/>
        </w:tabs>
        <w:ind w:left="1185"/>
        <w:jc w:val="both"/>
        <w:rPr>
          <w:rFonts w:ascii="Times New Roman" w:hAnsi="Times New Roman" w:cs="Times New Roman"/>
        </w:rPr>
      </w:pPr>
      <w:r w:rsidRPr="002B77DD">
        <w:rPr>
          <w:rFonts w:ascii="Times New Roman" w:hAnsi="Times New Roman" w:cs="Times New Roman"/>
        </w:rPr>
        <w:t xml:space="preserve">Barang siapa dengan sengaja dan melawan hukum menghancurkan,  merusakkan, membikin tidak dapat dipakai atau menghilangkan suatu benda yang seluruhnya atau sebagian adalah milik orang lain, diancam dengan pidana penjara paling lama 2 tahun 8 bulan atau denda paling banyak Rp 4.500,00 </w:t>
      </w:r>
    </w:p>
    <w:p w:rsidR="00DA624C" w:rsidRPr="002B77DD" w:rsidRDefault="00DA624C" w:rsidP="00DA624C">
      <w:pPr>
        <w:pStyle w:val="Default"/>
        <w:numPr>
          <w:ilvl w:val="1"/>
          <w:numId w:val="12"/>
        </w:numPr>
        <w:tabs>
          <w:tab w:val="clear" w:pos="1545"/>
          <w:tab w:val="num" w:pos="1185"/>
        </w:tabs>
        <w:ind w:left="1185"/>
        <w:jc w:val="both"/>
        <w:rPr>
          <w:rFonts w:ascii="Times New Roman" w:hAnsi="Times New Roman" w:cs="Times New Roman"/>
        </w:rPr>
      </w:pPr>
      <w:r w:rsidRPr="002B77DD">
        <w:rPr>
          <w:rFonts w:ascii="Times New Roman" w:hAnsi="Times New Roman" w:cs="Times New Roman"/>
        </w:rPr>
        <w:t>Dijatuhkan pidana yang sama terhadap orang yang dengan sengaja dan melawan hukum membunuh, merusakkan, membikin tidak dapat dipergunakan atau menghilangkan hewan yang seluruhnya atau sebagian milik orang lain.</w:t>
      </w:r>
      <w:r w:rsidRPr="002B77DD">
        <w:rPr>
          <w:rStyle w:val="FootnoteReference"/>
        </w:rPr>
        <w:footnoteReference w:id="59"/>
      </w:r>
    </w:p>
    <w:p w:rsidR="00DA624C" w:rsidRPr="002B77DD" w:rsidRDefault="00DA624C" w:rsidP="00DA624C">
      <w:pPr>
        <w:pStyle w:val="Default"/>
        <w:ind w:firstLine="720"/>
        <w:jc w:val="both"/>
        <w:rPr>
          <w:rFonts w:ascii="Times New Roman" w:hAnsi="Times New Roman" w:cs="Times New Roman"/>
        </w:rPr>
      </w:pPr>
    </w:p>
    <w:p w:rsidR="00DA624C" w:rsidRPr="002B77DD" w:rsidRDefault="00DA624C" w:rsidP="00DA624C">
      <w:pPr>
        <w:autoSpaceDE w:val="0"/>
        <w:autoSpaceDN w:val="0"/>
        <w:adjustRightInd w:val="0"/>
        <w:spacing w:line="480" w:lineRule="auto"/>
        <w:ind w:firstLine="720"/>
        <w:rPr>
          <w:noProof w:val="0"/>
          <w:color w:val="000000"/>
          <w:lang w:val="en-US"/>
        </w:rPr>
      </w:pPr>
      <w:r w:rsidRPr="002B77DD">
        <w:rPr>
          <w:noProof w:val="0"/>
          <w:color w:val="000000"/>
          <w:lang w:val="en-US"/>
        </w:rPr>
        <w:t xml:space="preserve">Supaya dapat dihukum, menurut pasal ini harus dibuktikan : </w:t>
      </w:r>
    </w:p>
    <w:p w:rsidR="00DA624C" w:rsidRPr="002B77DD" w:rsidRDefault="00DA624C" w:rsidP="00DA624C">
      <w:pPr>
        <w:numPr>
          <w:ilvl w:val="4"/>
          <w:numId w:val="12"/>
        </w:numPr>
        <w:tabs>
          <w:tab w:val="clear" w:pos="3600"/>
          <w:tab w:val="num" w:pos="1080"/>
        </w:tabs>
        <w:autoSpaceDE w:val="0"/>
        <w:autoSpaceDN w:val="0"/>
        <w:adjustRightInd w:val="0"/>
        <w:ind w:left="1080"/>
        <w:jc w:val="both"/>
        <w:rPr>
          <w:noProof w:val="0"/>
          <w:color w:val="000000"/>
          <w:lang w:val="en-US"/>
        </w:rPr>
      </w:pPr>
      <w:r w:rsidRPr="002B77DD">
        <w:rPr>
          <w:noProof w:val="0"/>
          <w:color w:val="000000"/>
          <w:lang w:val="en-US"/>
        </w:rPr>
        <w:lastRenderedPageBreak/>
        <w:t xml:space="preserve">Bahwa terdakwa telah membinasakan, merusakkan, membuat sehingga tidak dapat dipakai lagi atau menghilangkan sesuatu. </w:t>
      </w:r>
    </w:p>
    <w:p w:rsidR="00DA624C" w:rsidRPr="002B77DD" w:rsidRDefault="00DA624C" w:rsidP="00DA624C">
      <w:pPr>
        <w:numPr>
          <w:ilvl w:val="4"/>
          <w:numId w:val="12"/>
        </w:numPr>
        <w:tabs>
          <w:tab w:val="clear" w:pos="3600"/>
          <w:tab w:val="num" w:pos="1080"/>
        </w:tabs>
        <w:autoSpaceDE w:val="0"/>
        <w:autoSpaceDN w:val="0"/>
        <w:adjustRightInd w:val="0"/>
        <w:ind w:left="1080"/>
        <w:jc w:val="both"/>
        <w:rPr>
          <w:noProof w:val="0"/>
          <w:color w:val="000000"/>
          <w:lang w:val="en-US"/>
        </w:rPr>
      </w:pPr>
      <w:r w:rsidRPr="002B77DD">
        <w:rPr>
          <w:noProof w:val="0"/>
          <w:color w:val="000000"/>
          <w:lang w:val="en-US"/>
        </w:rPr>
        <w:t xml:space="preserve">Bahwa pembinasaan dan sebagainya itu dilakukan dengan sengaja dan dengan melawan hukum. </w:t>
      </w:r>
    </w:p>
    <w:p w:rsidR="00DA624C" w:rsidRPr="002B77DD" w:rsidRDefault="00DA624C" w:rsidP="00DA624C">
      <w:pPr>
        <w:numPr>
          <w:ilvl w:val="4"/>
          <w:numId w:val="12"/>
        </w:numPr>
        <w:tabs>
          <w:tab w:val="clear" w:pos="3600"/>
          <w:tab w:val="num" w:pos="1080"/>
        </w:tabs>
        <w:autoSpaceDE w:val="0"/>
        <w:autoSpaceDN w:val="0"/>
        <w:adjustRightInd w:val="0"/>
        <w:ind w:left="1080"/>
        <w:jc w:val="both"/>
        <w:rPr>
          <w:noProof w:val="0"/>
          <w:color w:val="000000"/>
          <w:lang w:val="en-US"/>
        </w:rPr>
      </w:pPr>
      <w:r w:rsidRPr="002B77DD">
        <w:rPr>
          <w:noProof w:val="0"/>
          <w:color w:val="000000"/>
          <w:lang w:val="en-US"/>
        </w:rPr>
        <w:t xml:space="preserve">Bahwa barang itu harus sama sekali atau sebagian kepunyaan orang lain. </w:t>
      </w:r>
    </w:p>
    <w:p w:rsidR="00DA624C" w:rsidRPr="002B77DD" w:rsidRDefault="00DA624C" w:rsidP="00DA624C">
      <w:pPr>
        <w:numPr>
          <w:ilvl w:val="4"/>
          <w:numId w:val="12"/>
        </w:numPr>
        <w:tabs>
          <w:tab w:val="clear" w:pos="3600"/>
          <w:tab w:val="num" w:pos="1080"/>
        </w:tabs>
        <w:autoSpaceDE w:val="0"/>
        <w:autoSpaceDN w:val="0"/>
        <w:adjustRightInd w:val="0"/>
        <w:ind w:left="1080"/>
        <w:jc w:val="both"/>
        <w:rPr>
          <w:noProof w:val="0"/>
          <w:color w:val="000000"/>
          <w:lang w:val="en-US"/>
        </w:rPr>
      </w:pPr>
      <w:r w:rsidRPr="002B77DD">
        <w:rPr>
          <w:noProof w:val="0"/>
          <w:color w:val="000000"/>
          <w:lang w:val="en-US"/>
        </w:rPr>
        <w:t xml:space="preserve">Yang dihukum menurut pasal ini tidak saja mengenai barang, tetappi juga mengenai binatang. </w:t>
      </w:r>
    </w:p>
    <w:p w:rsidR="00DA624C" w:rsidRPr="002B77DD" w:rsidRDefault="00DA624C" w:rsidP="00DA624C">
      <w:pPr>
        <w:pStyle w:val="Default"/>
        <w:ind w:firstLine="720"/>
        <w:jc w:val="both"/>
        <w:rPr>
          <w:rFonts w:ascii="Times New Roman" w:hAnsi="Times New Roman" w:cs="Times New Roman"/>
        </w:rPr>
      </w:pP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 xml:space="preserve">Perbedaan pokok antara ketentuan pada ayat (1) dan pada ayat (2) Pasal 406 KUHP ialah mengenai objeknya. Pada ayat (1) objeknya bukan binatang, sedangkan pada ayat (2) terhadap objek binatang. Unsur-unsur rumusan pada ayat pertama adalah : </w:t>
      </w:r>
    </w:p>
    <w:p w:rsidR="00DA624C" w:rsidRPr="002B77DD" w:rsidRDefault="00DA624C" w:rsidP="00DA624C">
      <w:pPr>
        <w:numPr>
          <w:ilvl w:val="3"/>
          <w:numId w:val="11"/>
        </w:numPr>
        <w:autoSpaceDE w:val="0"/>
        <w:autoSpaceDN w:val="0"/>
        <w:adjustRightInd w:val="0"/>
        <w:ind w:left="1080"/>
        <w:rPr>
          <w:noProof w:val="0"/>
          <w:color w:val="000000"/>
          <w:lang w:val="en-US"/>
        </w:rPr>
      </w:pPr>
      <w:r w:rsidRPr="002B77DD">
        <w:rPr>
          <w:noProof w:val="0"/>
          <w:color w:val="000000"/>
          <w:lang w:val="en-US"/>
        </w:rPr>
        <w:t xml:space="preserve">Unsur Objektif : </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 xml:space="preserve">Perbuatan : </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Menghancurkan.</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Merusakkan.</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Membikin tidak dapat dipakai.</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 xml:space="preserve">Menghilangkan. </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Objeknya : suatu benda.</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Yang seluruhnya atau sebagian milik orang lain.</w:t>
      </w:r>
    </w:p>
    <w:p w:rsidR="00DA624C" w:rsidRPr="002B77DD" w:rsidRDefault="00DA624C" w:rsidP="00DA624C">
      <w:pPr>
        <w:numPr>
          <w:ilvl w:val="3"/>
          <w:numId w:val="11"/>
        </w:numPr>
        <w:autoSpaceDE w:val="0"/>
        <w:autoSpaceDN w:val="0"/>
        <w:adjustRightInd w:val="0"/>
        <w:ind w:left="1080"/>
        <w:rPr>
          <w:noProof w:val="0"/>
          <w:color w:val="000000"/>
          <w:lang w:val="en-US"/>
        </w:rPr>
      </w:pPr>
      <w:r w:rsidRPr="002B77DD">
        <w:rPr>
          <w:noProof w:val="0"/>
          <w:color w:val="000000"/>
          <w:lang w:val="en-US"/>
        </w:rPr>
        <w:t xml:space="preserve">Unsur subjektif : </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Dengan sengaja.</w:t>
      </w:r>
    </w:p>
    <w:p w:rsidR="00DA624C" w:rsidRPr="002B77DD" w:rsidRDefault="00DA624C" w:rsidP="00DA624C">
      <w:pPr>
        <w:numPr>
          <w:ilvl w:val="4"/>
          <w:numId w:val="11"/>
        </w:numPr>
        <w:autoSpaceDE w:val="0"/>
        <w:autoSpaceDN w:val="0"/>
        <w:adjustRightInd w:val="0"/>
        <w:ind w:left="1440"/>
        <w:rPr>
          <w:noProof w:val="0"/>
          <w:color w:val="000000"/>
          <w:lang w:val="en-US"/>
        </w:rPr>
      </w:pPr>
      <w:r w:rsidRPr="002B77DD">
        <w:rPr>
          <w:noProof w:val="0"/>
          <w:color w:val="000000"/>
          <w:lang w:val="en-US"/>
        </w:rPr>
        <w:t xml:space="preserve">Dengan melawan hukum. </w:t>
      </w:r>
      <w:r w:rsidRPr="002B77DD">
        <w:rPr>
          <w:rStyle w:val="FootnoteReference"/>
          <w:noProof w:val="0"/>
          <w:color w:val="000000"/>
          <w:lang w:val="en-US"/>
        </w:rPr>
        <w:footnoteReference w:id="60"/>
      </w:r>
    </w:p>
    <w:p w:rsidR="00DA624C" w:rsidRPr="002B77DD" w:rsidRDefault="00DA624C" w:rsidP="00DA624C">
      <w:pPr>
        <w:pStyle w:val="Default"/>
        <w:ind w:firstLine="720"/>
        <w:jc w:val="both"/>
        <w:rPr>
          <w:rFonts w:ascii="Times New Roman" w:hAnsi="Times New Roman" w:cs="Times New Roman"/>
        </w:rPr>
      </w:pPr>
    </w:p>
    <w:p w:rsidR="00DA624C" w:rsidRPr="002B77DD" w:rsidRDefault="00DA624C" w:rsidP="00DA624C">
      <w:pPr>
        <w:pStyle w:val="Default"/>
        <w:spacing w:line="456" w:lineRule="auto"/>
        <w:ind w:firstLine="720"/>
        <w:jc w:val="both"/>
        <w:rPr>
          <w:rFonts w:ascii="Times New Roman" w:hAnsi="Times New Roman" w:cs="Times New Roman"/>
        </w:rPr>
      </w:pPr>
      <w:r w:rsidRPr="002B77DD">
        <w:rPr>
          <w:rFonts w:ascii="Times New Roman" w:hAnsi="Times New Roman" w:cs="Times New Roman"/>
        </w:rPr>
        <w:t xml:space="preserve">Kesengajaan disini ditempatkan dengan mendahului banyak unsur.Kesengajaan harus ditujukan pada seluruh unsur yang ada dibelakangnya. Dihubungkan dengan unsur-unsur perbuatan yang ada dalam kejahatan ini, seperti merusakkan menghancurkan maka berarti bahwa petindak menghendaki untuk mewujudkan perbuatan merusakkan atau menghancurkan itu, ia sadar bahkan juga menghendaki akibat yang akan timbul. Kehendak, kesadaran atau pengetahuan ini </w:t>
      </w:r>
      <w:r w:rsidRPr="002B77DD">
        <w:rPr>
          <w:rFonts w:ascii="Times New Roman" w:hAnsi="Times New Roman" w:cs="Times New Roman"/>
        </w:rPr>
        <w:lastRenderedPageBreak/>
        <w:t>harus harus sudah ada sebelum melakukan perbuatan itu.Begitu juga terhadap unsur-unsur lainnya.</w:t>
      </w:r>
      <w:r w:rsidRPr="002B77DD">
        <w:rPr>
          <w:rStyle w:val="FootnoteReference"/>
        </w:rPr>
        <w:footnoteReference w:id="61"/>
      </w:r>
    </w:p>
    <w:p w:rsidR="00DA624C" w:rsidRPr="002B77DD" w:rsidRDefault="00DA624C" w:rsidP="00DA624C">
      <w:pPr>
        <w:pStyle w:val="Default"/>
        <w:spacing w:line="456" w:lineRule="auto"/>
        <w:ind w:firstLine="720"/>
        <w:jc w:val="both"/>
        <w:rPr>
          <w:rFonts w:ascii="Times New Roman" w:hAnsi="Times New Roman" w:cs="Times New Roman"/>
        </w:rPr>
      </w:pPr>
      <w:r w:rsidRPr="002B77DD">
        <w:rPr>
          <w:rFonts w:ascii="Times New Roman" w:hAnsi="Times New Roman" w:cs="Times New Roman"/>
        </w:rPr>
        <w:t>Unsur melawan hukum juga terdapat dibelakang kesengajaan, yang berarti terhadap melawan hukum harus dituju oleh adanya kesengajaan petindak. Artinya petindak sebelum melakukan perbuatan merusakkan, ia memiliki kesadaran bahwa melakukan perbuatan merusak benda milik orang lain itu adalah bertentangan dengan hukum. Bertentangan dengan hukum harus diartikan secara luas bukan saja dengan hukum tertulis atau undang-undang, akan tetapi bertentangan dengan apa yang dikehendaki masyarakat.</w:t>
      </w:r>
      <w:r w:rsidRPr="002B77DD">
        <w:rPr>
          <w:rStyle w:val="FootnoteReference"/>
        </w:rPr>
        <w:footnoteReference w:id="62"/>
      </w: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 xml:space="preserve">Bertentangan dengan apa yang dikehendaki artinya perbuatan itu tidak boleh dilakukan. Berdasarkan adanya perbuatan yang dirumuskan secara tegas dalam Pasal 406 KUHP, maka tindak pidana ini tergolong sebagai tindak pidana formil, akan tetapi apabila dilihat sudut bahwa untuk selesainya kejahatan ini ditentukan oleh dapat selesainya perbuatan, sedangkan untuk terwujudnya perbuatan seperti merusak dan menghancurkan diperlukan adanya/timbulnya akibat rusaknya atau hancurnya benda, maka sesunggunya tindak pidana ini tidak dicantumkan secara tegas dalam rumusan seperti halnya penipuan dan pemerasan, tetapi akibat ini sudah terkandung secara terselubung didalam unsur perbuatan. Untuk tindak pidana yang dirumuskan dengan cara mencantumkan unsur tingkah lakunya secara tegas, yang disamping itu juga mencantumkan unsur akibatnya </w:t>
      </w:r>
      <w:r w:rsidRPr="002B77DD">
        <w:rPr>
          <w:rFonts w:ascii="Times New Roman" w:hAnsi="Times New Roman" w:cs="Times New Roman"/>
        </w:rPr>
        <w:lastRenderedPageBreak/>
        <w:t>baik secara tegas maupun secara terselubung maka dapat disebut sebagai tindak pidana formil-materiil.</w:t>
      </w:r>
      <w:r w:rsidRPr="002B77DD">
        <w:rPr>
          <w:rStyle w:val="FootnoteReference"/>
        </w:rPr>
        <w:footnoteReference w:id="63"/>
      </w: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Tindak kejahatan dalam bentuk penghancuran dan pengrusakan dibedakan mejadi lima macam yaitu :</w:t>
      </w:r>
    </w:p>
    <w:p w:rsidR="00DA624C" w:rsidRPr="002B77DD" w:rsidRDefault="00DA624C" w:rsidP="00DA624C">
      <w:pPr>
        <w:pStyle w:val="Default"/>
        <w:numPr>
          <w:ilvl w:val="5"/>
          <w:numId w:val="12"/>
        </w:numPr>
        <w:tabs>
          <w:tab w:val="clear" w:pos="4320"/>
          <w:tab w:val="num" w:pos="360"/>
        </w:tabs>
        <w:spacing w:line="480" w:lineRule="auto"/>
        <w:ind w:left="360"/>
        <w:jc w:val="both"/>
        <w:rPr>
          <w:rFonts w:ascii="Times New Roman" w:hAnsi="Times New Roman" w:cs="Times New Roman"/>
        </w:rPr>
      </w:pPr>
      <w:r w:rsidRPr="002B77DD">
        <w:rPr>
          <w:rFonts w:ascii="Times New Roman" w:hAnsi="Times New Roman" w:cs="Times New Roman"/>
        </w:rPr>
        <w:t>Penghancuran atau pengrusakan ringan</w:t>
      </w: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 xml:space="preserve">Jenis tindak pidana ini diatur dalam ketentuan Pasal 407 KUHP dengan pengecualian yang berbunyi : </w:t>
      </w:r>
    </w:p>
    <w:p w:rsidR="00DA624C" w:rsidRPr="002B77DD" w:rsidRDefault="00DA624C" w:rsidP="00DA624C">
      <w:pPr>
        <w:pStyle w:val="Default"/>
        <w:numPr>
          <w:ilvl w:val="2"/>
          <w:numId w:val="21"/>
        </w:numPr>
        <w:ind w:left="1095"/>
        <w:jc w:val="both"/>
        <w:rPr>
          <w:rFonts w:ascii="Times New Roman" w:hAnsi="Times New Roman" w:cs="Times New Roman"/>
        </w:rPr>
      </w:pPr>
      <w:r w:rsidRPr="002B77DD">
        <w:rPr>
          <w:rFonts w:ascii="Times New Roman" w:hAnsi="Times New Roman" w:cs="Times New Roman"/>
        </w:rPr>
        <w:t xml:space="preserve">Perbuatan-perbuatan yang dirumuskan dalam Pasal 406, jika harga kerugian yang disebabkan tidak lebih dari Rp. 250,- (dua ratus lima puluh rupiah), diancam dengan pidana penjara paling lama tiga bulan atau denda sebanyak- banyaknya Rp. 900,- (sembilan ratus rupiah) </w:t>
      </w:r>
    </w:p>
    <w:p w:rsidR="00DA624C" w:rsidRPr="002B77DD" w:rsidRDefault="00DA624C" w:rsidP="00DA624C">
      <w:pPr>
        <w:pStyle w:val="Default"/>
        <w:numPr>
          <w:ilvl w:val="2"/>
          <w:numId w:val="21"/>
        </w:numPr>
        <w:ind w:left="1095"/>
        <w:jc w:val="both"/>
        <w:rPr>
          <w:rFonts w:ascii="Times New Roman" w:hAnsi="Times New Roman" w:cs="Times New Roman"/>
        </w:rPr>
      </w:pPr>
      <w:r w:rsidRPr="002B77DD">
        <w:rPr>
          <w:rFonts w:ascii="Times New Roman" w:hAnsi="Times New Roman" w:cs="Times New Roman"/>
        </w:rPr>
        <w:t xml:space="preserve">Jika perbuatan yang diterangkan dalam Pasal 406 ayat kedua itu dilakukan dengan memasukkan bahan-bahan yang merusakkan nyawa atau kesehatan, atau jika hewan termasuk yang tersebut dalam Pasal 101, maka ketentuan ayat pertama tidak berlaku. </w:t>
      </w:r>
    </w:p>
    <w:p w:rsidR="00DA624C" w:rsidRPr="002B77DD" w:rsidRDefault="00DA624C" w:rsidP="00DA624C">
      <w:pPr>
        <w:pStyle w:val="Default"/>
        <w:ind w:left="360"/>
        <w:jc w:val="both"/>
        <w:rPr>
          <w:rFonts w:ascii="Times New Roman" w:hAnsi="Times New Roman" w:cs="Times New Roman"/>
        </w:rPr>
      </w:pPr>
    </w:p>
    <w:p w:rsidR="00DA624C" w:rsidRPr="002B77DD" w:rsidRDefault="00DA624C" w:rsidP="00DA624C">
      <w:pPr>
        <w:pStyle w:val="Default"/>
        <w:numPr>
          <w:ilvl w:val="3"/>
          <w:numId w:val="12"/>
        </w:numPr>
        <w:tabs>
          <w:tab w:val="clear" w:pos="2880"/>
          <w:tab w:val="num" w:pos="360"/>
        </w:tabs>
        <w:spacing w:line="480" w:lineRule="auto"/>
        <w:ind w:left="360"/>
        <w:jc w:val="both"/>
        <w:rPr>
          <w:rFonts w:ascii="Times New Roman" w:hAnsi="Times New Roman" w:cs="Times New Roman"/>
        </w:rPr>
      </w:pPr>
      <w:r w:rsidRPr="002B77DD">
        <w:rPr>
          <w:rFonts w:ascii="Times New Roman" w:hAnsi="Times New Roman" w:cs="Times New Roman"/>
        </w:rPr>
        <w:t>Penghancuran atau pengrusakan bangunan jalan kereta api, telegram, telepon, dan listrik.</w:t>
      </w: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Tindak pidana ini diatur dalam ketentuan Pasal 408 KUHP yang berbunyi "Barangsiapa dengan sengaja dan melawan hukum menghancurkan, merusakkan atau membikin tidak dapat dipakai bangunan-bangunan, kereta api, trem, telegram, telpon atau litrik, atau bangunan-bangunan untuk membendung, membagi atau menyalurkan air, saluran gas, air atau rel yang digunakan untuk keperluan umum, diancam dengan pidana paling lama empat tahun".</w:t>
      </w:r>
      <w:r w:rsidRPr="002B77DD">
        <w:rPr>
          <w:rStyle w:val="FootnoteReference"/>
        </w:rPr>
        <w:footnoteReference w:id="64"/>
      </w: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 xml:space="preserve">Pembinasaan atau pengrusakan barang disini hanya mengenai barang-barang biasa kepunyaan orang lain. Jika yang dirusakkan itu bangunan-bangunan </w:t>
      </w:r>
      <w:r w:rsidRPr="002B77DD">
        <w:rPr>
          <w:rFonts w:ascii="Times New Roman" w:hAnsi="Times New Roman" w:cs="Times New Roman"/>
        </w:rPr>
        <w:lastRenderedPageBreak/>
        <w:t>jalan kereta api, telegraf, atau sarana pemerintah lain. Yang dipergunakan untuk kepentingan umum, dikenakan Pasal 408 KUHP. Dapat dipahami dari bunyi pasal di atas, karena dilakukan pada benda-benda yang digunakan untuk kepentingan umum, maka ancaman hukumannya diperberat menjadi selama-lamanya empat tahun.</w:t>
      </w:r>
      <w:r w:rsidRPr="002B77DD">
        <w:rPr>
          <w:rStyle w:val="FootnoteReference"/>
        </w:rPr>
        <w:footnoteReference w:id="65"/>
      </w:r>
    </w:p>
    <w:p w:rsidR="00DA624C" w:rsidRPr="002B77DD" w:rsidRDefault="00DA624C" w:rsidP="00DA624C">
      <w:pPr>
        <w:pStyle w:val="Default"/>
        <w:numPr>
          <w:ilvl w:val="3"/>
          <w:numId w:val="12"/>
        </w:numPr>
        <w:tabs>
          <w:tab w:val="clear" w:pos="2880"/>
          <w:tab w:val="num" w:pos="360"/>
        </w:tabs>
        <w:spacing w:line="480" w:lineRule="auto"/>
        <w:ind w:left="360"/>
        <w:jc w:val="both"/>
        <w:rPr>
          <w:rFonts w:ascii="Times New Roman" w:hAnsi="Times New Roman" w:cs="Times New Roman"/>
        </w:rPr>
      </w:pPr>
      <w:r w:rsidRPr="002B77DD">
        <w:rPr>
          <w:rFonts w:ascii="Times New Roman" w:hAnsi="Times New Roman" w:cs="Times New Roman"/>
        </w:rPr>
        <w:t xml:space="preserve">Penghancuran atau perusakan tidak dengan sengaja </w:t>
      </w: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Jenis tindak pidana ini diatur dalam ketentuan Pasal 409 KUHP yang berbunyi sebagai berikut "Barangsiapa yang karena kealpaannya menyebabkan bangunan-bangunan tersebut dalam pasal di atas dihancurkan, dirusakkan, atau dibikin tidak dapat dipakai diancam dengan kurungan paling lama satu bulan atau denda sebanyak-banyaknya Rp. 1.500,- (seribu lima ratus rupiah)".</w:t>
      </w:r>
      <w:r w:rsidRPr="002B77DD">
        <w:rPr>
          <w:rStyle w:val="FootnoteReference"/>
        </w:rPr>
        <w:footnoteReference w:id="66"/>
      </w:r>
    </w:p>
    <w:p w:rsidR="00DA624C" w:rsidRPr="002B77DD" w:rsidRDefault="00DA624C" w:rsidP="00DA624C">
      <w:pPr>
        <w:pStyle w:val="Default"/>
        <w:spacing w:line="480" w:lineRule="auto"/>
        <w:ind w:firstLine="720"/>
        <w:jc w:val="both"/>
        <w:rPr>
          <w:rFonts w:ascii="Times New Roman" w:hAnsi="Times New Roman" w:cs="Times New Roman"/>
        </w:rPr>
      </w:pPr>
      <w:r w:rsidRPr="002B77DD">
        <w:rPr>
          <w:rFonts w:ascii="Times New Roman" w:hAnsi="Times New Roman" w:cs="Times New Roman"/>
        </w:rPr>
        <w:t>Jenis tindak pidana dalam Pasal 409 KUHP adalah merupakan delik culpa atau tindak pidana karena kealpaan. Apabila pada perbuatan tersebut tidak ada unsur kesengajaan, tetapi hanya culpa atau kurang berhati- hati, maka menurut pasal di atas hukumannya diringankan menjadi kurungan selama-lamanya satu bulan atau denda sebanyak-banyaknya Rp. 1.500,-.</w:t>
      </w:r>
      <w:r w:rsidRPr="002B77DD">
        <w:rPr>
          <w:rStyle w:val="FootnoteReference"/>
        </w:rPr>
        <w:footnoteReference w:id="67"/>
      </w:r>
    </w:p>
    <w:p w:rsidR="00DA624C" w:rsidRPr="002B77DD" w:rsidRDefault="00DA624C" w:rsidP="00DA624C">
      <w:pPr>
        <w:pStyle w:val="Default"/>
        <w:numPr>
          <w:ilvl w:val="3"/>
          <w:numId w:val="12"/>
        </w:numPr>
        <w:tabs>
          <w:tab w:val="clear" w:pos="2880"/>
          <w:tab w:val="num" w:pos="360"/>
        </w:tabs>
        <w:spacing w:line="480" w:lineRule="auto"/>
        <w:ind w:left="360"/>
        <w:jc w:val="both"/>
        <w:rPr>
          <w:rFonts w:ascii="Times New Roman" w:hAnsi="Times New Roman" w:cs="Times New Roman"/>
        </w:rPr>
      </w:pPr>
      <w:r w:rsidRPr="002B77DD">
        <w:rPr>
          <w:rFonts w:ascii="Times New Roman" w:hAnsi="Times New Roman" w:cs="Times New Roman"/>
        </w:rPr>
        <w:t xml:space="preserve">Penghancuran atau pengrusakan terhadap bangunan dan alat pelayaran </w:t>
      </w:r>
    </w:p>
    <w:p w:rsidR="00DA624C" w:rsidRPr="002B77DD" w:rsidRDefault="00DA624C" w:rsidP="00DA624C">
      <w:pPr>
        <w:pStyle w:val="Default"/>
        <w:spacing w:line="480" w:lineRule="auto"/>
        <w:ind w:firstLine="720"/>
        <w:jc w:val="both"/>
        <w:rPr>
          <w:rFonts w:ascii="Times New Roman" w:hAnsi="Times New Roman" w:cs="Times New Roman"/>
        </w:rPr>
        <w:sectPr w:rsidR="00DA624C" w:rsidRPr="002B77DD" w:rsidSect="00E34C9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851" w:footer="851" w:gutter="0"/>
          <w:pgNumType w:start="5"/>
          <w:cols w:space="720"/>
          <w:titlePg/>
          <w:docGrid w:linePitch="360"/>
        </w:sectPr>
      </w:pPr>
      <w:r w:rsidRPr="002B77DD">
        <w:rPr>
          <w:rFonts w:ascii="Times New Roman" w:hAnsi="Times New Roman" w:cs="Times New Roman"/>
        </w:rPr>
        <w:t xml:space="preserve">Tindak pidana ini diatur dalam ketentuan Pasal 410 KUHP yang berbunyi “Barangsiapa dengan sengaja dan melawan hukum, menghancurkan atau membikin tak dapat dipakai, suatu gedung atau kapal yang seluruhnya atau sebagian milik orang lain, diancam dengan pidana penjara paling lama lima </w:t>
      </w:r>
      <w:r w:rsidRPr="002B77DD">
        <w:rPr>
          <w:rFonts w:ascii="Times New Roman" w:hAnsi="Times New Roman" w:cs="Times New Roman"/>
        </w:rPr>
        <w:lastRenderedPageBreak/>
        <w:t>tahun". Pasal ini mengancam dengan maksimum hukuman penjara lima tahun yaitu bagi orang-orang yang dengan sengaja dan dengan melanggar hukum melakukan penghancuran atau pengrusakan barang tersebut dalam pasal di atas.</w:t>
      </w:r>
      <w:r w:rsidRPr="002B77DD">
        <w:rPr>
          <w:rStyle w:val="FootnoteReference"/>
        </w:rPr>
        <w:footnoteReference w:id="68"/>
      </w:r>
    </w:p>
    <w:p w:rsidR="001625C8" w:rsidRPr="00DA624C" w:rsidRDefault="001625C8" w:rsidP="00DA624C">
      <w:bookmarkStart w:id="12" w:name="_GoBack"/>
      <w:bookmarkEnd w:id="12"/>
    </w:p>
    <w:sectPr w:rsidR="001625C8" w:rsidRPr="00DA624C" w:rsidSect="002653F4">
      <w:headerReference w:type="default" r:id="rId13"/>
      <w:footerReference w:type="defaul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59A" w:rsidRDefault="0098559A" w:rsidP="00283936">
      <w:r>
        <w:separator/>
      </w:r>
    </w:p>
  </w:endnote>
  <w:endnote w:type="continuationSeparator" w:id="1">
    <w:p w:rsidR="0098559A" w:rsidRDefault="0098559A" w:rsidP="00283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A" w:rsidRDefault="00EA56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A" w:rsidRDefault="00EA56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A" w:rsidRDefault="00EA56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FD" w:rsidRDefault="0098559A">
    <w:pPr>
      <w:pStyle w:val="Footer"/>
      <w:jc w:val="center"/>
    </w:pPr>
  </w:p>
  <w:p w:rsidR="000170FD" w:rsidRDefault="00985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59A" w:rsidRDefault="0098559A" w:rsidP="00283936">
      <w:r>
        <w:separator/>
      </w:r>
    </w:p>
  </w:footnote>
  <w:footnote w:type="continuationSeparator" w:id="1">
    <w:p w:rsidR="0098559A" w:rsidRDefault="0098559A" w:rsidP="00283936">
      <w:r>
        <w:continuationSeparator/>
      </w:r>
    </w:p>
  </w:footnote>
  <w:footnote w:id="2">
    <w:p w:rsidR="00DA624C" w:rsidRPr="004C5BA3" w:rsidRDefault="00DA624C" w:rsidP="00DA624C">
      <w:pPr>
        <w:pStyle w:val="Default"/>
        <w:ind w:firstLine="720"/>
        <w:jc w:val="both"/>
        <w:rPr>
          <w:rFonts w:ascii="Times New Roman" w:hAnsi="Times New Roman" w:cs="Times New Roman"/>
          <w:sz w:val="20"/>
          <w:szCs w:val="20"/>
        </w:rPr>
      </w:pPr>
      <w:r w:rsidRPr="004C5BA3">
        <w:rPr>
          <w:rStyle w:val="FootnoteReference"/>
          <w:sz w:val="20"/>
          <w:szCs w:val="20"/>
        </w:rPr>
        <w:footnoteRef/>
      </w:r>
      <w:r w:rsidRPr="004C5BA3">
        <w:rPr>
          <w:rFonts w:ascii="Times New Roman" w:hAnsi="Times New Roman" w:cs="Times New Roman"/>
          <w:sz w:val="20"/>
          <w:szCs w:val="20"/>
        </w:rPr>
        <w:t xml:space="preserve">Hanafi Amrani dan Mahrus Ali, </w:t>
      </w:r>
      <w:r w:rsidRPr="004C5BA3">
        <w:rPr>
          <w:rFonts w:ascii="Times New Roman" w:hAnsi="Times New Roman" w:cs="Times New Roman"/>
          <w:i/>
          <w:iCs/>
          <w:sz w:val="20"/>
          <w:szCs w:val="20"/>
        </w:rPr>
        <w:t>Sisitem Pertanggung Jawaban Pidana</w:t>
      </w:r>
      <w:r w:rsidRPr="004C5BA3">
        <w:rPr>
          <w:rFonts w:ascii="Times New Roman" w:hAnsi="Times New Roman" w:cs="Times New Roman"/>
          <w:sz w:val="20"/>
          <w:szCs w:val="20"/>
        </w:rPr>
        <w:t xml:space="preserve">, Rajawali Pers, Jakarta, 2015, </w:t>
      </w:r>
      <w:r>
        <w:rPr>
          <w:rFonts w:ascii="Times New Roman" w:hAnsi="Times New Roman" w:cs="Times New Roman"/>
          <w:sz w:val="20"/>
          <w:szCs w:val="20"/>
        </w:rPr>
        <w:t>hlm.</w:t>
      </w:r>
      <w:r w:rsidRPr="004C5BA3">
        <w:rPr>
          <w:rFonts w:ascii="Times New Roman" w:hAnsi="Times New Roman" w:cs="Times New Roman"/>
          <w:sz w:val="20"/>
          <w:szCs w:val="20"/>
        </w:rPr>
        <w:t>16</w:t>
      </w:r>
    </w:p>
  </w:footnote>
  <w:footnote w:id="3">
    <w:p w:rsidR="00DA624C" w:rsidRPr="004C5BA3" w:rsidRDefault="00DA624C" w:rsidP="00DA624C">
      <w:pPr>
        <w:pStyle w:val="Default"/>
        <w:ind w:firstLine="720"/>
        <w:jc w:val="both"/>
        <w:rPr>
          <w:rFonts w:ascii="Times New Roman" w:hAnsi="Times New Roman" w:cs="Times New Roman"/>
          <w:sz w:val="20"/>
          <w:szCs w:val="20"/>
        </w:rPr>
      </w:pPr>
      <w:r w:rsidRPr="004C5BA3">
        <w:rPr>
          <w:rStyle w:val="FootnoteReference"/>
          <w:sz w:val="20"/>
          <w:szCs w:val="20"/>
        </w:rPr>
        <w:footnoteRef/>
      </w:r>
      <w:r w:rsidRPr="004C5BA3">
        <w:rPr>
          <w:rFonts w:ascii="Times New Roman" w:hAnsi="Times New Roman" w:cs="Times New Roman"/>
          <w:sz w:val="20"/>
          <w:szCs w:val="20"/>
        </w:rPr>
        <w:t xml:space="preserve">Roeslan Saleh, </w:t>
      </w:r>
      <w:r w:rsidRPr="004C5BA3">
        <w:rPr>
          <w:rFonts w:ascii="Times New Roman" w:hAnsi="Times New Roman" w:cs="Times New Roman"/>
          <w:i/>
          <w:iCs/>
          <w:sz w:val="20"/>
          <w:szCs w:val="20"/>
        </w:rPr>
        <w:t>Pikiran-Pikiran Tentang Pertanggung Jawaban Pidana</w:t>
      </w:r>
      <w:r w:rsidRPr="004C5BA3">
        <w:rPr>
          <w:rFonts w:ascii="Times New Roman" w:hAnsi="Times New Roman" w:cs="Times New Roman"/>
          <w:sz w:val="20"/>
          <w:szCs w:val="20"/>
        </w:rPr>
        <w:t xml:space="preserve">, Ghalia Indonesia, Jakarta, 2010, </w:t>
      </w:r>
      <w:r>
        <w:rPr>
          <w:rFonts w:ascii="Times New Roman" w:hAnsi="Times New Roman" w:cs="Times New Roman"/>
          <w:sz w:val="20"/>
          <w:szCs w:val="20"/>
        </w:rPr>
        <w:t>hlm.</w:t>
      </w:r>
      <w:r w:rsidRPr="004C5BA3">
        <w:rPr>
          <w:rFonts w:ascii="Times New Roman" w:hAnsi="Times New Roman" w:cs="Times New Roman"/>
          <w:sz w:val="20"/>
          <w:szCs w:val="20"/>
        </w:rPr>
        <w:t>33</w:t>
      </w:r>
    </w:p>
  </w:footnote>
  <w:footnote w:id="4">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34.</w:t>
      </w:r>
    </w:p>
  </w:footnote>
  <w:footnote w:id="5">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 Chairul Huda</w:t>
      </w:r>
      <w:r w:rsidRPr="004C5BA3">
        <w:rPr>
          <w:i/>
          <w:iCs/>
        </w:rPr>
        <w:t>,</w:t>
      </w:r>
      <w:r w:rsidRPr="00167BA5">
        <w:rPr>
          <w:i/>
          <w:iCs/>
          <w:color w:val="000000"/>
        </w:rPr>
        <w:t xml:space="preserve">Dari Tiada Pidana Tanpa Kesalahan Menuju Kepada Tiada Pertanggungjawaban Pidana Tanpa </w:t>
      </w:r>
      <w:r w:rsidRPr="00167BA5">
        <w:rPr>
          <w:i/>
          <w:color w:val="000000"/>
        </w:rPr>
        <w:t>Kesalahan</w:t>
      </w:r>
      <w:r w:rsidRPr="00167BA5">
        <w:rPr>
          <w:color w:val="000000"/>
          <w:lang w:val="en-US"/>
        </w:rPr>
        <w:t>,</w:t>
      </w:r>
      <w:r w:rsidRPr="00167BA5">
        <w:rPr>
          <w:color w:val="000000"/>
        </w:rPr>
        <w:t xml:space="preserve"> Prenada Media Group, Jakarta, 20</w:t>
      </w:r>
      <w:r w:rsidRPr="00167BA5">
        <w:rPr>
          <w:color w:val="000000"/>
          <w:lang w:val="en-US"/>
        </w:rPr>
        <w:t>1</w:t>
      </w:r>
      <w:r w:rsidRPr="00167BA5">
        <w:rPr>
          <w:color w:val="000000"/>
        </w:rPr>
        <w:t>8</w:t>
      </w:r>
      <w:r w:rsidRPr="004C5BA3">
        <w:rPr>
          <w:iCs/>
          <w:lang w:val="en-US"/>
        </w:rPr>
        <w:t xml:space="preserve">, </w:t>
      </w:r>
      <w:r>
        <w:rPr>
          <w:iCs/>
          <w:lang w:val="en-US"/>
        </w:rPr>
        <w:t>hlm.</w:t>
      </w:r>
      <w:r w:rsidRPr="004C5BA3">
        <w:rPr>
          <w:iCs/>
          <w:lang w:val="en-US"/>
        </w:rPr>
        <w:t>68.</w:t>
      </w:r>
    </w:p>
  </w:footnote>
  <w:footnote w:id="6">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 Sudarto, </w:t>
      </w:r>
      <w:r w:rsidRPr="00AC43B0">
        <w:t xml:space="preserve">Sudarto, </w:t>
      </w:r>
      <w:r w:rsidRPr="00AC43B0">
        <w:rPr>
          <w:i/>
          <w:iCs/>
        </w:rPr>
        <w:t>Hukum Pidana</w:t>
      </w:r>
      <w:r w:rsidRPr="00AC43B0">
        <w:t>, Yayasan Sudarto,  Semarang,  2000</w:t>
      </w:r>
      <w:r w:rsidRPr="004C5BA3">
        <w:rPr>
          <w:lang w:val="en-US"/>
        </w:rPr>
        <w:t xml:space="preserve">, </w:t>
      </w:r>
      <w:r>
        <w:rPr>
          <w:lang w:val="en-US"/>
        </w:rPr>
        <w:t>hlm.</w:t>
      </w:r>
      <w:r w:rsidRPr="004C5BA3">
        <w:t>56</w:t>
      </w:r>
    </w:p>
  </w:footnote>
  <w:footnote w:id="7">
    <w:p w:rsidR="00DA624C" w:rsidRPr="004C5BA3" w:rsidRDefault="00DA624C" w:rsidP="00DA624C">
      <w:pPr>
        <w:pStyle w:val="FootnoteText"/>
        <w:ind w:firstLine="720"/>
        <w:rPr>
          <w:lang w:val="en-US"/>
        </w:rPr>
      </w:pPr>
      <w:r w:rsidRPr="004C5BA3">
        <w:rPr>
          <w:rStyle w:val="FootnoteReference"/>
        </w:rPr>
        <w:footnoteRef/>
      </w:r>
      <w:r w:rsidRPr="004C5BA3">
        <w:t xml:space="preserve"> Chairul Huda</w:t>
      </w:r>
      <w:r w:rsidRPr="004C5BA3">
        <w:rPr>
          <w:i/>
          <w:iCs/>
        </w:rPr>
        <w:t>,</w:t>
      </w:r>
      <w:r w:rsidRPr="004C5BA3">
        <w:rPr>
          <w:i/>
          <w:iCs/>
          <w:lang w:val="en-US"/>
        </w:rPr>
        <w:t xml:space="preserve"> Op.Cit</w:t>
      </w:r>
      <w:r w:rsidRPr="004C5BA3">
        <w:rPr>
          <w:iCs/>
          <w:lang w:val="en-US"/>
        </w:rPr>
        <w:t xml:space="preserve">, </w:t>
      </w:r>
      <w:r>
        <w:rPr>
          <w:iCs/>
          <w:lang w:val="en-US"/>
        </w:rPr>
        <w:t>hlm.</w:t>
      </w:r>
      <w:r w:rsidRPr="004C5BA3">
        <w:rPr>
          <w:iCs/>
          <w:lang w:val="en-US"/>
        </w:rPr>
        <w:t>69.</w:t>
      </w:r>
    </w:p>
  </w:footnote>
  <w:footnote w:id="8">
    <w:p w:rsidR="00DA624C" w:rsidRPr="004C5BA3" w:rsidRDefault="00DA624C" w:rsidP="00DA624C">
      <w:pPr>
        <w:pStyle w:val="FootnoteText"/>
        <w:ind w:firstLine="720"/>
        <w:jc w:val="both"/>
        <w:rPr>
          <w:lang w:val="en-US"/>
        </w:rPr>
      </w:pPr>
      <w:r w:rsidRPr="004C5BA3">
        <w:rPr>
          <w:rStyle w:val="FootnoteReference"/>
        </w:rPr>
        <w:footnoteRef/>
      </w:r>
      <w:r w:rsidRPr="004C5BA3">
        <w:rPr>
          <w:lang w:val="en-US"/>
        </w:rPr>
        <w:t xml:space="preserve">PAF. </w:t>
      </w:r>
      <w:r w:rsidRPr="004C5BA3">
        <w:t xml:space="preserve">Lamintang, </w:t>
      </w:r>
      <w:r w:rsidRPr="00167BA5">
        <w:rPr>
          <w:i/>
          <w:iCs/>
          <w:color w:val="000000"/>
        </w:rPr>
        <w:t>Dasar-Dasar Hukum Pidana Indonesia</w:t>
      </w:r>
      <w:r w:rsidRPr="00167BA5">
        <w:rPr>
          <w:color w:val="000000"/>
        </w:rPr>
        <w:t>,  Citra Adytia Bakti, Bandung, 20</w:t>
      </w:r>
      <w:r w:rsidRPr="00167BA5">
        <w:rPr>
          <w:color w:val="000000"/>
          <w:lang w:val="en-US"/>
        </w:rPr>
        <w:t>14</w:t>
      </w:r>
      <w:r w:rsidRPr="004C5BA3">
        <w:rPr>
          <w:i/>
          <w:iCs/>
          <w:lang w:val="en-US"/>
        </w:rPr>
        <w:t>,</w:t>
      </w:r>
      <w:r>
        <w:rPr>
          <w:lang w:val="en-US"/>
        </w:rPr>
        <w:t>hlm.</w:t>
      </w:r>
      <w:r w:rsidRPr="004C5BA3">
        <w:t>181</w:t>
      </w:r>
      <w:r w:rsidRPr="004C5BA3">
        <w:rPr>
          <w:lang w:val="en-US"/>
        </w:rPr>
        <w:t>.</w:t>
      </w:r>
    </w:p>
  </w:footnote>
  <w:footnote w:id="9">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 Adami Chazawi</w:t>
      </w:r>
      <w:r w:rsidRPr="004C5BA3">
        <w:rPr>
          <w:lang w:val="en-US"/>
        </w:rPr>
        <w:t xml:space="preserve">, </w:t>
      </w:r>
      <w:r w:rsidRPr="00AC43B0">
        <w:rPr>
          <w:i/>
          <w:iCs/>
        </w:rPr>
        <w:t>Kejahatan Terhadap Harta Benda</w:t>
      </w:r>
      <w:r w:rsidRPr="00AC43B0">
        <w:t>,  Bayumedia</w:t>
      </w:r>
      <w:r w:rsidRPr="00AC43B0">
        <w:rPr>
          <w:lang w:val="en-US"/>
        </w:rPr>
        <w:t>,</w:t>
      </w:r>
      <w:r w:rsidRPr="00AC43B0">
        <w:t xml:space="preserve"> Malang</w:t>
      </w:r>
      <w:r w:rsidRPr="00AC43B0">
        <w:rPr>
          <w:lang w:val="en-US"/>
        </w:rPr>
        <w:t>, 2017</w:t>
      </w:r>
      <w:r w:rsidRPr="004C5BA3">
        <w:rPr>
          <w:lang w:val="en-US"/>
        </w:rPr>
        <w:t xml:space="preserve">, </w:t>
      </w:r>
      <w:r>
        <w:t>hlm.</w:t>
      </w:r>
      <w:r w:rsidRPr="004C5BA3">
        <w:t xml:space="preserve">57  </w:t>
      </w:r>
    </w:p>
  </w:footnote>
  <w:footnote w:id="10">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Frans Maramis, </w:t>
      </w:r>
      <w:r w:rsidRPr="004C5BA3">
        <w:rPr>
          <w:i/>
          <w:iCs/>
        </w:rPr>
        <w:t xml:space="preserve">Hukum Pidana Umum </w:t>
      </w:r>
      <w:r w:rsidRPr="004C5BA3">
        <w:rPr>
          <w:i/>
          <w:iCs/>
          <w:lang w:val="en-US"/>
        </w:rPr>
        <w:t>d</w:t>
      </w:r>
      <w:r w:rsidRPr="004C5BA3">
        <w:rPr>
          <w:i/>
          <w:iCs/>
        </w:rPr>
        <w:t>an Tertulis Di Indonesia</w:t>
      </w:r>
      <w:r w:rsidRPr="004C5BA3">
        <w:t>, Rajawali Pers, Jakarta,</w:t>
      </w:r>
      <w:r w:rsidRPr="004C5BA3">
        <w:rPr>
          <w:lang w:val="en-US"/>
        </w:rPr>
        <w:t xml:space="preserve"> 2013,</w:t>
      </w:r>
      <w:r>
        <w:t>hlm.</w:t>
      </w:r>
      <w:r w:rsidRPr="004C5BA3">
        <w:t>58</w:t>
      </w:r>
      <w:r w:rsidRPr="004C5BA3">
        <w:rPr>
          <w:lang w:val="en-US"/>
        </w:rPr>
        <w:t>,</w:t>
      </w:r>
    </w:p>
  </w:footnote>
  <w:footnote w:id="11">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59.</w:t>
      </w:r>
    </w:p>
  </w:footnote>
  <w:footnote w:id="12">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Andi Zainal Abidin, </w:t>
      </w:r>
      <w:r w:rsidRPr="004C5BA3">
        <w:rPr>
          <w:i/>
          <w:iCs/>
        </w:rPr>
        <w:t>Asas-Asas Hukum Pidana Bagian Pertama</w:t>
      </w:r>
      <w:r w:rsidRPr="004C5BA3">
        <w:t xml:space="preserve">, Alumni, Bandung, </w:t>
      </w:r>
      <w:r w:rsidRPr="004C5BA3">
        <w:rPr>
          <w:lang w:val="en-US"/>
        </w:rPr>
        <w:t xml:space="preserve">2017, </w:t>
      </w:r>
      <w:r>
        <w:t>hlm.</w:t>
      </w:r>
      <w:r w:rsidRPr="004C5BA3">
        <w:t xml:space="preserve">72.  </w:t>
      </w:r>
    </w:p>
  </w:footnote>
  <w:footnote w:id="13">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 Moeljatno, </w:t>
      </w:r>
      <w:r w:rsidRPr="00167BA5">
        <w:rPr>
          <w:i/>
          <w:color w:val="000000"/>
        </w:rPr>
        <w:t xml:space="preserve">Asas-Asas Hukum Pidana, </w:t>
      </w:r>
      <w:r w:rsidRPr="00167BA5">
        <w:rPr>
          <w:color w:val="000000"/>
        </w:rPr>
        <w:t xml:space="preserve">Rineka Cipta, Jakarta, </w:t>
      </w:r>
      <w:r w:rsidRPr="00167BA5">
        <w:rPr>
          <w:color w:val="000000"/>
          <w:lang w:val="en-US"/>
        </w:rPr>
        <w:t>201</w:t>
      </w:r>
      <w:r w:rsidRPr="00167BA5">
        <w:rPr>
          <w:color w:val="000000"/>
        </w:rPr>
        <w:t>8</w:t>
      </w:r>
      <w:r>
        <w:rPr>
          <w:color w:val="000000"/>
          <w:lang w:val="en-US"/>
        </w:rPr>
        <w:t xml:space="preserve">, </w:t>
      </w:r>
      <w:r>
        <w:t>hlm.</w:t>
      </w:r>
      <w:r w:rsidRPr="004C5BA3">
        <w:t>71</w:t>
      </w:r>
    </w:p>
  </w:footnote>
  <w:footnote w:id="14">
    <w:p w:rsidR="00DA624C" w:rsidRPr="004C5BA3" w:rsidRDefault="00DA624C" w:rsidP="00DA624C">
      <w:pPr>
        <w:pStyle w:val="FootnoteText"/>
        <w:ind w:firstLine="720"/>
        <w:jc w:val="both"/>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72</w:t>
      </w:r>
    </w:p>
  </w:footnote>
  <w:footnote w:id="15">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 Sudarto, </w:t>
      </w:r>
      <w:r w:rsidRPr="004C5BA3">
        <w:rPr>
          <w:i/>
        </w:rPr>
        <w:t>Op.Cit</w:t>
      </w:r>
      <w:r w:rsidRPr="004C5BA3">
        <w:t xml:space="preserve">, </w:t>
      </w:r>
      <w:r>
        <w:rPr>
          <w:lang w:val="en-US"/>
        </w:rPr>
        <w:t>hlm.</w:t>
      </w:r>
      <w:r w:rsidRPr="004C5BA3">
        <w:t>71</w:t>
      </w:r>
    </w:p>
  </w:footnote>
  <w:footnote w:id="16">
    <w:p w:rsidR="00DA624C" w:rsidRPr="004C5BA3" w:rsidRDefault="00DA624C" w:rsidP="00DA624C">
      <w:pPr>
        <w:pStyle w:val="FootnoteText"/>
        <w:ind w:firstLine="720"/>
        <w:rPr>
          <w:lang w:val="en-US"/>
        </w:rPr>
      </w:pPr>
      <w:r w:rsidRPr="004C5BA3">
        <w:rPr>
          <w:rStyle w:val="FootnoteReference"/>
        </w:rPr>
        <w:footnoteRef/>
      </w:r>
      <w:r w:rsidRPr="004C5BA3">
        <w:t xml:space="preserve"> Hanafi Amrani dan Mahrus Al</w:t>
      </w:r>
      <w:r w:rsidRPr="004C5BA3">
        <w:rPr>
          <w:lang w:val="en-US"/>
        </w:rPr>
        <w:t xml:space="preserve">i, </w:t>
      </w:r>
      <w:r w:rsidRPr="004C5BA3">
        <w:rPr>
          <w:i/>
          <w:lang w:val="en-US"/>
        </w:rPr>
        <w:t>Op.Cit</w:t>
      </w:r>
      <w:r w:rsidRPr="004C5BA3">
        <w:rPr>
          <w:lang w:val="en-US"/>
        </w:rPr>
        <w:t>,</w:t>
      </w:r>
      <w:r>
        <w:rPr>
          <w:lang w:val="en-US"/>
        </w:rPr>
        <w:t>hlm.</w:t>
      </w:r>
      <w:r w:rsidRPr="004C5BA3">
        <w:rPr>
          <w:lang w:val="en-US"/>
        </w:rPr>
        <w:t>27.</w:t>
      </w:r>
    </w:p>
  </w:footnote>
  <w:footnote w:id="17">
    <w:p w:rsidR="00DA624C" w:rsidRPr="004C5BA3" w:rsidRDefault="00DA624C" w:rsidP="00DA624C">
      <w:pPr>
        <w:pStyle w:val="FootnoteText"/>
        <w:ind w:firstLine="720"/>
        <w:rPr>
          <w:lang w:val="en-US"/>
        </w:rPr>
      </w:pPr>
      <w:r w:rsidRPr="004C5BA3">
        <w:rPr>
          <w:rStyle w:val="FootnoteReference"/>
        </w:rPr>
        <w:footnoteRef/>
      </w:r>
      <w:r w:rsidRPr="004C5BA3">
        <w:rPr>
          <w:lang w:val="en-US"/>
        </w:rPr>
        <w:t xml:space="preserve">Chairul Huda, </w:t>
      </w:r>
      <w:r w:rsidRPr="004C5BA3">
        <w:rPr>
          <w:i/>
          <w:lang w:val="en-US"/>
        </w:rPr>
        <w:t>Op.Cit</w:t>
      </w:r>
      <w:r w:rsidRPr="004C5BA3">
        <w:rPr>
          <w:lang w:val="en-US"/>
        </w:rPr>
        <w:t xml:space="preserve">, </w:t>
      </w:r>
      <w:r>
        <w:rPr>
          <w:lang w:val="en-US"/>
        </w:rPr>
        <w:t>hlm.</w:t>
      </w:r>
      <w:r w:rsidRPr="004C5BA3">
        <w:rPr>
          <w:lang w:val="en-US"/>
        </w:rPr>
        <w:t>172.</w:t>
      </w:r>
    </w:p>
  </w:footnote>
  <w:footnote w:id="18">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173.</w:t>
      </w:r>
    </w:p>
  </w:footnote>
  <w:footnote w:id="19">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Martiman Prodjohamidjodjo, </w:t>
      </w:r>
      <w:r w:rsidRPr="004C5BA3">
        <w:rPr>
          <w:i/>
          <w:iCs/>
        </w:rPr>
        <w:t>Memahami Dasar-Dasar Hukum Pidana Indoensia</w:t>
      </w:r>
      <w:r w:rsidRPr="004C5BA3">
        <w:t xml:space="preserve">, Paradnya Paramita, Jakarta, </w:t>
      </w:r>
      <w:r w:rsidRPr="004C5BA3">
        <w:rPr>
          <w:lang w:val="en-US"/>
        </w:rPr>
        <w:t>200</w:t>
      </w:r>
      <w:r w:rsidRPr="004C5BA3">
        <w:t xml:space="preserve">6, </w:t>
      </w:r>
      <w:r>
        <w:t>hlm.</w:t>
      </w:r>
      <w:r w:rsidRPr="004C5BA3">
        <w:t xml:space="preserve">  32</w:t>
      </w:r>
    </w:p>
  </w:footnote>
  <w:footnote w:id="20">
    <w:p w:rsidR="00DA624C" w:rsidRPr="004C5BA3" w:rsidRDefault="00DA624C" w:rsidP="00DA624C">
      <w:pPr>
        <w:pStyle w:val="FootnoteText"/>
        <w:ind w:firstLine="720"/>
        <w:rPr>
          <w:lang w:val="en-US"/>
        </w:rPr>
      </w:pPr>
      <w:r w:rsidRPr="004C5BA3">
        <w:rPr>
          <w:rStyle w:val="FootnoteReference"/>
        </w:rPr>
        <w:footnoteRef/>
      </w:r>
      <w:r w:rsidRPr="004C5BA3">
        <w:t xml:space="preserve"> Hanafi Amrani,</w:t>
      </w:r>
      <w:r w:rsidRPr="004C5BA3">
        <w:rPr>
          <w:lang w:val="en-US"/>
        </w:rPr>
        <w:t xml:space="preserve"> dan </w:t>
      </w:r>
      <w:r w:rsidRPr="004C5BA3">
        <w:t>Mahrus Ali,</w:t>
      </w:r>
      <w:r w:rsidRPr="004C5BA3">
        <w:rPr>
          <w:i/>
          <w:lang w:val="en-US"/>
        </w:rPr>
        <w:t>Op.Cit</w:t>
      </w:r>
      <w:r w:rsidRPr="004C5BA3">
        <w:rPr>
          <w:lang w:val="en-US"/>
        </w:rPr>
        <w:t xml:space="preserve">, </w:t>
      </w:r>
      <w:r>
        <w:rPr>
          <w:lang w:val="en-US"/>
        </w:rPr>
        <w:t>hlm.</w:t>
      </w:r>
      <w:r w:rsidRPr="004C5BA3">
        <w:rPr>
          <w:lang w:val="en-US"/>
        </w:rPr>
        <w:t>52.</w:t>
      </w:r>
    </w:p>
  </w:footnote>
  <w:footnote w:id="21">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53.</w:t>
      </w:r>
    </w:p>
  </w:footnote>
  <w:footnote w:id="22">
    <w:p w:rsidR="00DA624C" w:rsidRPr="004C5BA3" w:rsidRDefault="00DA624C" w:rsidP="00DA624C">
      <w:pPr>
        <w:pStyle w:val="FootnoteText"/>
        <w:ind w:firstLine="720"/>
        <w:rPr>
          <w:lang w:val="en-US"/>
        </w:rPr>
      </w:pPr>
      <w:r w:rsidRPr="004C5BA3">
        <w:rPr>
          <w:rStyle w:val="FootnoteReference"/>
        </w:rPr>
        <w:footnoteRef/>
      </w:r>
      <w:r w:rsidRPr="004C5BA3">
        <w:t xml:space="preserve"> Moeljalento,</w:t>
      </w:r>
      <w:r w:rsidRPr="004C5BA3">
        <w:rPr>
          <w:i/>
          <w:lang w:val="en-US"/>
        </w:rPr>
        <w:t>Op.Cit</w:t>
      </w:r>
      <w:r w:rsidRPr="004C5BA3">
        <w:rPr>
          <w:lang w:val="en-US"/>
        </w:rPr>
        <w:t xml:space="preserve">, </w:t>
      </w:r>
      <w:r>
        <w:rPr>
          <w:lang w:val="en-US"/>
        </w:rPr>
        <w:t>hlm.</w:t>
      </w:r>
      <w:r w:rsidRPr="004C5BA3">
        <w:rPr>
          <w:lang w:val="en-US"/>
        </w:rPr>
        <w:t>25.</w:t>
      </w:r>
    </w:p>
  </w:footnote>
  <w:footnote w:id="23">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 Frans Maramis, </w:t>
      </w:r>
      <w:r w:rsidRPr="004C5BA3">
        <w:rPr>
          <w:i/>
          <w:iCs/>
        </w:rPr>
        <w:t>Hukum PIdana Umum dan Tertulis di Indonesia</w:t>
      </w:r>
      <w:r w:rsidRPr="004C5BA3">
        <w:t xml:space="preserve">, RajaGrafindo Persada, Jakarta, </w:t>
      </w:r>
      <w:r w:rsidRPr="004C5BA3">
        <w:rPr>
          <w:lang w:val="en-US"/>
        </w:rPr>
        <w:t xml:space="preserve">2015, </w:t>
      </w:r>
      <w:r>
        <w:t>hlm.</w:t>
      </w:r>
      <w:r w:rsidRPr="004C5BA3">
        <w:t>85</w:t>
      </w:r>
    </w:p>
  </w:footnote>
  <w:footnote w:id="24">
    <w:p w:rsidR="00DA624C" w:rsidRPr="004C5BA3" w:rsidRDefault="00DA624C" w:rsidP="00DA624C">
      <w:pPr>
        <w:pStyle w:val="FootnoteText"/>
        <w:ind w:firstLine="720"/>
        <w:rPr>
          <w:lang w:val="en-US"/>
        </w:rPr>
      </w:pPr>
      <w:r w:rsidRPr="004C5BA3">
        <w:rPr>
          <w:rStyle w:val="FootnoteReference"/>
        </w:rPr>
        <w:footnoteRef/>
      </w:r>
      <w:r w:rsidRPr="004C5BA3">
        <w:rPr>
          <w:i/>
          <w:iCs/>
        </w:rPr>
        <w:t>Ibid</w:t>
      </w:r>
      <w:r w:rsidRPr="004C5BA3">
        <w:t xml:space="preserve">, </w:t>
      </w:r>
      <w:r>
        <w:t>hlm.</w:t>
      </w:r>
      <w:r w:rsidRPr="004C5BA3">
        <w:t>114</w:t>
      </w:r>
      <w:r w:rsidRPr="004C5BA3">
        <w:rPr>
          <w:lang w:val="en-US"/>
        </w:rPr>
        <w:t>.</w:t>
      </w:r>
    </w:p>
  </w:footnote>
  <w:footnote w:id="25">
    <w:p w:rsidR="00DA624C" w:rsidRPr="004C5BA3" w:rsidRDefault="00DA624C" w:rsidP="00DA624C">
      <w:pPr>
        <w:pStyle w:val="FootnoteText"/>
        <w:ind w:firstLine="720"/>
        <w:rPr>
          <w:lang w:val="en-US"/>
        </w:rPr>
      </w:pPr>
      <w:r w:rsidRPr="004C5BA3">
        <w:rPr>
          <w:rStyle w:val="FootnoteReference"/>
        </w:rPr>
        <w:footnoteRef/>
      </w:r>
      <w:r w:rsidRPr="004C5BA3">
        <w:rPr>
          <w:i/>
          <w:iCs/>
        </w:rPr>
        <w:t>Ibid</w:t>
      </w:r>
      <w:r w:rsidRPr="004C5BA3">
        <w:t xml:space="preserve">, </w:t>
      </w:r>
      <w:r>
        <w:t>hlm.</w:t>
      </w:r>
      <w:r w:rsidRPr="004C5BA3">
        <w:t>11</w:t>
      </w:r>
      <w:r w:rsidRPr="004C5BA3">
        <w:rPr>
          <w:lang w:val="en-US"/>
        </w:rPr>
        <w:t>5.</w:t>
      </w:r>
    </w:p>
  </w:footnote>
  <w:footnote w:id="26">
    <w:p w:rsidR="00DA624C" w:rsidRPr="004C5BA3" w:rsidRDefault="00DA624C" w:rsidP="00DA624C">
      <w:pPr>
        <w:pStyle w:val="FootnoteText"/>
        <w:ind w:firstLine="720"/>
        <w:rPr>
          <w:lang w:val="en-US"/>
        </w:rPr>
      </w:pPr>
      <w:r w:rsidRPr="004C5BA3">
        <w:rPr>
          <w:rStyle w:val="FootnoteReference"/>
        </w:rPr>
        <w:footnoteRef/>
      </w:r>
      <w:r w:rsidRPr="004C5BA3">
        <w:rPr>
          <w:lang w:val="en-US"/>
        </w:rPr>
        <w:t xml:space="preserve">Chairul Huda, </w:t>
      </w:r>
      <w:r w:rsidRPr="004C5BA3">
        <w:rPr>
          <w:i/>
          <w:lang w:val="en-US"/>
        </w:rPr>
        <w:t>Op.Cit</w:t>
      </w:r>
      <w:r w:rsidRPr="004C5BA3">
        <w:rPr>
          <w:lang w:val="en-US"/>
        </w:rPr>
        <w:t xml:space="preserve">, </w:t>
      </w:r>
      <w:r>
        <w:rPr>
          <w:lang w:val="en-US"/>
        </w:rPr>
        <w:t>hlm.</w:t>
      </w:r>
      <w:r w:rsidRPr="004C5BA3">
        <w:rPr>
          <w:lang w:val="en-US"/>
        </w:rPr>
        <w:t>180.</w:t>
      </w:r>
    </w:p>
  </w:footnote>
  <w:footnote w:id="27">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183.</w:t>
      </w:r>
    </w:p>
  </w:footnote>
  <w:footnote w:id="28">
    <w:p w:rsidR="00DA624C" w:rsidRPr="004C5BA3" w:rsidRDefault="00DA624C" w:rsidP="00DA624C">
      <w:pPr>
        <w:pStyle w:val="FootnoteText"/>
        <w:ind w:firstLine="720"/>
        <w:rPr>
          <w:lang w:val="en-US"/>
        </w:rPr>
      </w:pPr>
      <w:r w:rsidRPr="004C5BA3">
        <w:rPr>
          <w:rStyle w:val="FootnoteReference"/>
        </w:rPr>
        <w:footnoteRef/>
      </w:r>
      <w:r w:rsidRPr="004C5BA3">
        <w:rPr>
          <w:lang w:val="en-US"/>
        </w:rPr>
        <w:t xml:space="preserve">Mahrus Ali, </w:t>
      </w:r>
      <w:r w:rsidRPr="004C5BA3">
        <w:rPr>
          <w:i/>
          <w:lang w:val="en-US"/>
        </w:rPr>
        <w:t>Op.Cit</w:t>
      </w:r>
      <w:r w:rsidRPr="004C5BA3">
        <w:rPr>
          <w:lang w:val="en-US"/>
        </w:rPr>
        <w:t xml:space="preserve">, </w:t>
      </w:r>
      <w:r>
        <w:rPr>
          <w:lang w:val="en-US"/>
        </w:rPr>
        <w:t>hlm.</w:t>
      </w:r>
      <w:r w:rsidRPr="004C5BA3">
        <w:rPr>
          <w:lang w:val="en-US"/>
        </w:rPr>
        <w:t>92.</w:t>
      </w:r>
    </w:p>
  </w:footnote>
  <w:footnote w:id="29">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93.</w:t>
      </w:r>
    </w:p>
  </w:footnote>
  <w:footnote w:id="30">
    <w:p w:rsidR="00DA624C" w:rsidRPr="004C5BA3" w:rsidRDefault="00DA624C" w:rsidP="00DA624C">
      <w:pPr>
        <w:pStyle w:val="FootnoteText"/>
        <w:ind w:firstLine="720"/>
        <w:rPr>
          <w:lang w:val="en-US"/>
        </w:rPr>
      </w:pPr>
      <w:r w:rsidRPr="004C5BA3">
        <w:rPr>
          <w:rStyle w:val="FootnoteReference"/>
        </w:rPr>
        <w:footnoteRef/>
      </w:r>
      <w:r w:rsidRPr="004C5BA3">
        <w:rPr>
          <w:noProof w:val="0"/>
          <w:lang w:val="en-US"/>
        </w:rPr>
        <w:t xml:space="preserve">Moeljatno, </w:t>
      </w:r>
      <w:r w:rsidRPr="004C5BA3">
        <w:rPr>
          <w:i/>
          <w:iCs/>
          <w:noProof w:val="0"/>
          <w:lang w:val="en-US"/>
        </w:rPr>
        <w:t>Op. Cit</w:t>
      </w:r>
      <w:r w:rsidRPr="004C5BA3">
        <w:rPr>
          <w:noProof w:val="0"/>
          <w:lang w:val="en-US"/>
        </w:rPr>
        <w:t xml:space="preserve">., </w:t>
      </w:r>
      <w:r>
        <w:rPr>
          <w:noProof w:val="0"/>
          <w:lang w:val="en-US"/>
        </w:rPr>
        <w:t>hlm.</w:t>
      </w:r>
      <w:r w:rsidRPr="004C5BA3">
        <w:rPr>
          <w:noProof w:val="0"/>
          <w:lang w:val="en-US"/>
        </w:rPr>
        <w:t>171.</w:t>
      </w:r>
    </w:p>
  </w:footnote>
  <w:footnote w:id="31">
    <w:p w:rsidR="00DA624C" w:rsidRPr="004C5BA3" w:rsidRDefault="00DA624C" w:rsidP="00DA624C">
      <w:pPr>
        <w:pStyle w:val="FootnoteText"/>
        <w:ind w:firstLine="720"/>
        <w:rPr>
          <w:lang w:val="en-US"/>
        </w:rPr>
      </w:pPr>
      <w:r w:rsidRPr="004C5BA3">
        <w:rPr>
          <w:rStyle w:val="FootnoteReference"/>
        </w:rPr>
        <w:footnoteRef/>
      </w:r>
      <w:r w:rsidRPr="004C5BA3">
        <w:t xml:space="preserve"> Frans Maramis,</w:t>
      </w:r>
      <w:r w:rsidRPr="004C5BA3">
        <w:rPr>
          <w:i/>
          <w:lang w:val="en-US"/>
        </w:rPr>
        <w:t>Op.Cit</w:t>
      </w:r>
      <w:r w:rsidRPr="004C5BA3">
        <w:rPr>
          <w:lang w:val="en-US"/>
        </w:rPr>
        <w:t xml:space="preserve">, </w:t>
      </w:r>
      <w:r>
        <w:rPr>
          <w:lang w:val="en-US"/>
        </w:rPr>
        <w:t>hlm.</w:t>
      </w:r>
      <w:r w:rsidRPr="004C5BA3">
        <w:rPr>
          <w:lang w:val="en-US"/>
        </w:rPr>
        <w:t>122.</w:t>
      </w:r>
    </w:p>
  </w:footnote>
  <w:footnote w:id="32">
    <w:p w:rsidR="00DA624C" w:rsidRPr="004C5BA3" w:rsidRDefault="00DA624C" w:rsidP="00DA624C">
      <w:pPr>
        <w:pStyle w:val="FootnoteText"/>
        <w:ind w:firstLine="720"/>
        <w:rPr>
          <w:lang w:val="en-US"/>
        </w:rPr>
      </w:pPr>
      <w:r w:rsidRPr="004C5BA3">
        <w:rPr>
          <w:rStyle w:val="FootnoteReference"/>
        </w:rPr>
        <w:footnoteRef/>
      </w:r>
      <w:r w:rsidRPr="004C5BA3">
        <w:rPr>
          <w:i/>
          <w:iCs/>
        </w:rPr>
        <w:t>Ibid</w:t>
      </w:r>
      <w:r w:rsidRPr="004C5BA3">
        <w:t xml:space="preserve">, </w:t>
      </w:r>
      <w:r>
        <w:t>hlm.</w:t>
      </w:r>
      <w:r w:rsidRPr="004C5BA3">
        <w:t>12</w:t>
      </w:r>
      <w:r w:rsidRPr="004C5BA3">
        <w:rPr>
          <w:lang w:val="en-US"/>
        </w:rPr>
        <w:t>3</w:t>
      </w:r>
    </w:p>
  </w:footnote>
  <w:footnote w:id="33">
    <w:p w:rsidR="00DA624C" w:rsidRPr="004C5BA3" w:rsidRDefault="00DA624C" w:rsidP="00DA624C">
      <w:pPr>
        <w:pStyle w:val="FootnoteText"/>
        <w:ind w:firstLine="720"/>
        <w:rPr>
          <w:lang w:val="en-US"/>
        </w:rPr>
      </w:pPr>
      <w:r w:rsidRPr="004C5BA3">
        <w:rPr>
          <w:rStyle w:val="FootnoteReference"/>
        </w:rPr>
        <w:footnoteRef/>
      </w:r>
      <w:r w:rsidRPr="004C5BA3">
        <w:rPr>
          <w:i/>
          <w:iCs/>
        </w:rPr>
        <w:t>Ibid</w:t>
      </w:r>
      <w:r w:rsidRPr="004C5BA3">
        <w:t xml:space="preserve">, </w:t>
      </w:r>
      <w:r>
        <w:t>hlm.</w:t>
      </w:r>
      <w:r w:rsidRPr="004C5BA3">
        <w:t>12</w:t>
      </w:r>
      <w:r w:rsidRPr="004C5BA3">
        <w:rPr>
          <w:lang w:val="en-US"/>
        </w:rPr>
        <w:t>4</w:t>
      </w:r>
    </w:p>
  </w:footnote>
  <w:footnote w:id="34">
    <w:p w:rsidR="00DA624C" w:rsidRPr="004C5BA3" w:rsidRDefault="00DA624C" w:rsidP="00DA624C">
      <w:pPr>
        <w:pStyle w:val="FootnoteText"/>
        <w:ind w:firstLine="720"/>
        <w:rPr>
          <w:lang w:val="en-US"/>
        </w:rPr>
      </w:pPr>
      <w:r w:rsidRPr="004C5BA3">
        <w:rPr>
          <w:rStyle w:val="FootnoteReference"/>
        </w:rPr>
        <w:footnoteRef/>
      </w:r>
      <w:r w:rsidRPr="004C5BA3">
        <w:rPr>
          <w:lang w:val="en-US"/>
        </w:rPr>
        <w:t xml:space="preserve">Mahrus Ali, </w:t>
      </w:r>
      <w:r w:rsidRPr="004C5BA3">
        <w:rPr>
          <w:i/>
          <w:lang w:val="en-US"/>
        </w:rPr>
        <w:t>Op.Cit</w:t>
      </w:r>
      <w:r w:rsidRPr="004C5BA3">
        <w:rPr>
          <w:lang w:val="en-US"/>
        </w:rPr>
        <w:t xml:space="preserve">, </w:t>
      </w:r>
      <w:r>
        <w:rPr>
          <w:lang w:val="en-US"/>
        </w:rPr>
        <w:t>hlm.</w:t>
      </w:r>
      <w:r w:rsidRPr="004C5BA3">
        <w:rPr>
          <w:lang w:val="en-US"/>
        </w:rPr>
        <w:t>96.</w:t>
      </w:r>
    </w:p>
  </w:footnote>
  <w:footnote w:id="35">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97</w:t>
      </w:r>
    </w:p>
  </w:footnote>
  <w:footnote w:id="36">
    <w:p w:rsidR="00DA624C" w:rsidRPr="004C5BA3" w:rsidRDefault="00DA624C" w:rsidP="00DA624C">
      <w:pPr>
        <w:pStyle w:val="FootnoteText"/>
        <w:ind w:firstLine="720"/>
        <w:rPr>
          <w:lang w:val="en-US"/>
        </w:rPr>
      </w:pPr>
      <w:r w:rsidRPr="004C5BA3">
        <w:rPr>
          <w:rStyle w:val="FootnoteReference"/>
        </w:rPr>
        <w:footnoteRef/>
      </w:r>
      <w:r w:rsidRPr="004C5BA3">
        <w:t xml:space="preserve"> Moeljatno</w:t>
      </w:r>
      <w:r w:rsidRPr="004C5BA3">
        <w:rPr>
          <w:lang w:val="en-US"/>
        </w:rPr>
        <w:t xml:space="preserve">, </w:t>
      </w:r>
      <w:r w:rsidRPr="004C5BA3">
        <w:rPr>
          <w:i/>
          <w:lang w:val="en-US"/>
        </w:rPr>
        <w:t>Op.Cit</w:t>
      </w:r>
      <w:r w:rsidRPr="004C5BA3">
        <w:rPr>
          <w:lang w:val="en-US"/>
        </w:rPr>
        <w:t xml:space="preserve">, </w:t>
      </w:r>
      <w:r>
        <w:rPr>
          <w:lang w:val="en-US"/>
        </w:rPr>
        <w:t>hlm.</w:t>
      </w:r>
      <w:r w:rsidRPr="004C5BA3">
        <w:rPr>
          <w:lang w:val="en-US"/>
        </w:rPr>
        <w:t>67.</w:t>
      </w:r>
    </w:p>
  </w:footnote>
  <w:footnote w:id="37">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68,</w:t>
      </w:r>
    </w:p>
  </w:footnote>
  <w:footnote w:id="38">
    <w:p w:rsidR="00DA624C" w:rsidRPr="004C5BA3" w:rsidRDefault="00DA624C" w:rsidP="00DA624C">
      <w:pPr>
        <w:pStyle w:val="FootnoteText"/>
        <w:ind w:firstLine="720"/>
        <w:rPr>
          <w:lang w:val="en-US"/>
        </w:rPr>
      </w:pPr>
      <w:r w:rsidRPr="004C5BA3">
        <w:rPr>
          <w:rStyle w:val="FootnoteReference"/>
        </w:rPr>
        <w:footnoteRef/>
      </w:r>
      <w:r w:rsidRPr="004C5BA3">
        <w:rPr>
          <w:lang w:val="en-US"/>
        </w:rPr>
        <w:t xml:space="preserve">Mahrus Ali, </w:t>
      </w:r>
      <w:r w:rsidRPr="004C5BA3">
        <w:rPr>
          <w:i/>
          <w:lang w:val="en-US"/>
        </w:rPr>
        <w:t>Op.Cit</w:t>
      </w:r>
      <w:r w:rsidRPr="004C5BA3">
        <w:rPr>
          <w:lang w:val="en-US"/>
        </w:rPr>
        <w:t xml:space="preserve">, </w:t>
      </w:r>
      <w:r>
        <w:rPr>
          <w:lang w:val="en-US"/>
        </w:rPr>
        <w:t>hlm.</w:t>
      </w:r>
      <w:r w:rsidRPr="004C5BA3">
        <w:rPr>
          <w:lang w:val="en-US"/>
        </w:rPr>
        <w:t>98.</w:t>
      </w:r>
    </w:p>
  </w:footnote>
  <w:footnote w:id="39">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Pr>
          <w:lang w:val="en-US"/>
        </w:rPr>
        <w:t>hlm.</w:t>
      </w:r>
      <w:r w:rsidRPr="004C5BA3">
        <w:rPr>
          <w:lang w:val="en-US"/>
        </w:rPr>
        <w:t>99.</w:t>
      </w:r>
    </w:p>
  </w:footnote>
  <w:footnote w:id="40">
    <w:p w:rsidR="00DA624C" w:rsidRPr="004C5BA3" w:rsidRDefault="00DA624C" w:rsidP="00DA624C">
      <w:pPr>
        <w:pStyle w:val="FootnoteText"/>
        <w:ind w:firstLine="720"/>
        <w:rPr>
          <w:lang w:val="en-US"/>
        </w:rPr>
      </w:pPr>
      <w:r w:rsidRPr="004C5BA3">
        <w:rPr>
          <w:rStyle w:val="FootnoteReference"/>
        </w:rPr>
        <w:footnoteRef/>
      </w:r>
      <w:r w:rsidRPr="004C5BA3">
        <w:t xml:space="preserve"> Andi Zainal Abidin, </w:t>
      </w:r>
      <w:r w:rsidRPr="004C5BA3">
        <w:rPr>
          <w:i/>
          <w:iCs/>
          <w:lang w:val="en-US"/>
        </w:rPr>
        <w:t>Op.Cit</w:t>
      </w:r>
      <w:r w:rsidRPr="004C5BA3">
        <w:rPr>
          <w:lang w:val="en-US"/>
        </w:rPr>
        <w:t xml:space="preserve">, </w:t>
      </w:r>
      <w:r>
        <w:t>hlm.</w:t>
      </w:r>
      <w:r w:rsidRPr="004C5BA3">
        <w:t>260</w:t>
      </w:r>
    </w:p>
  </w:footnote>
  <w:footnote w:id="41">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262.</w:t>
      </w:r>
    </w:p>
  </w:footnote>
  <w:footnote w:id="42">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Agus Rusianto, </w:t>
      </w:r>
      <w:r w:rsidRPr="004C5BA3">
        <w:rPr>
          <w:i/>
          <w:iCs/>
        </w:rPr>
        <w:t>Tindak Pidana dan Pertanggung Jawaban Pidana</w:t>
      </w:r>
      <w:r w:rsidRPr="004C5BA3">
        <w:t xml:space="preserve">, Prenadamedia Group, Jakarta, </w:t>
      </w:r>
      <w:r w:rsidRPr="004C5BA3">
        <w:rPr>
          <w:lang w:val="en-US"/>
        </w:rPr>
        <w:t xml:space="preserve">2016, </w:t>
      </w:r>
      <w:r>
        <w:t>hlm.</w:t>
      </w:r>
      <w:r w:rsidRPr="004C5BA3">
        <w:t>80</w:t>
      </w:r>
    </w:p>
  </w:footnote>
  <w:footnote w:id="43">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81.</w:t>
      </w:r>
    </w:p>
  </w:footnote>
  <w:footnote w:id="44">
    <w:p w:rsidR="00DA624C" w:rsidRPr="004C5BA3" w:rsidRDefault="00DA624C" w:rsidP="00DA624C">
      <w:pPr>
        <w:pStyle w:val="FootnoteText"/>
        <w:ind w:firstLine="720"/>
        <w:rPr>
          <w:lang w:val="en-US"/>
        </w:rPr>
      </w:pPr>
      <w:r w:rsidRPr="004C5BA3">
        <w:rPr>
          <w:rStyle w:val="FootnoteReference"/>
        </w:rPr>
        <w:footnoteRef/>
      </w:r>
      <w:r w:rsidRPr="004C5BA3">
        <w:t xml:space="preserve"> Chairul Huda</w:t>
      </w:r>
      <w:r w:rsidRPr="004C5BA3">
        <w:rPr>
          <w:lang w:val="en-US"/>
        </w:rPr>
        <w:t xml:space="preserve">, </w:t>
      </w:r>
      <w:r w:rsidRPr="004C5BA3">
        <w:rPr>
          <w:i/>
          <w:lang w:val="en-US"/>
        </w:rPr>
        <w:t>Op.Cit</w:t>
      </w:r>
      <w:r w:rsidRPr="004C5BA3">
        <w:rPr>
          <w:lang w:val="en-US"/>
        </w:rPr>
        <w:t xml:space="preserve">, </w:t>
      </w:r>
      <w:r>
        <w:rPr>
          <w:lang w:val="en-US"/>
        </w:rPr>
        <w:t>hlm.</w:t>
      </w:r>
      <w:r w:rsidRPr="004C5BA3">
        <w:rPr>
          <w:lang w:val="en-US"/>
        </w:rPr>
        <w:t>116.</w:t>
      </w:r>
    </w:p>
  </w:footnote>
  <w:footnote w:id="45">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117.</w:t>
      </w:r>
    </w:p>
  </w:footnote>
  <w:footnote w:id="46">
    <w:p w:rsidR="00DA624C" w:rsidRPr="004C5BA3" w:rsidRDefault="00DA624C" w:rsidP="00DA624C">
      <w:pPr>
        <w:pStyle w:val="FootnoteText"/>
        <w:ind w:firstLine="720"/>
        <w:rPr>
          <w:lang w:val="en-US"/>
        </w:rPr>
      </w:pPr>
      <w:r w:rsidRPr="004C5BA3">
        <w:rPr>
          <w:rStyle w:val="FootnoteReference"/>
        </w:rPr>
        <w:footnoteRef/>
      </w:r>
      <w:r w:rsidRPr="004C5BA3">
        <w:t xml:space="preserve"> Hanafi Amrani, Mahrus Ali, </w:t>
      </w:r>
      <w:r w:rsidRPr="004C5BA3">
        <w:rPr>
          <w:i/>
        </w:rPr>
        <w:t>Op.Cit</w:t>
      </w:r>
      <w:r w:rsidRPr="004C5BA3">
        <w:t xml:space="preserve">, </w:t>
      </w:r>
      <w:r>
        <w:t>hlm.</w:t>
      </w:r>
      <w:r w:rsidRPr="004C5BA3">
        <w:t>45</w:t>
      </w:r>
    </w:p>
  </w:footnote>
  <w:footnote w:id="47">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46.</w:t>
      </w:r>
    </w:p>
  </w:footnote>
  <w:footnote w:id="48">
    <w:p w:rsidR="00DA624C" w:rsidRPr="004C5BA3" w:rsidRDefault="00DA624C" w:rsidP="00DA624C">
      <w:pPr>
        <w:pStyle w:val="FootnoteText"/>
        <w:ind w:firstLine="720"/>
        <w:rPr>
          <w:lang w:val="en-US"/>
        </w:rPr>
      </w:pPr>
      <w:r w:rsidRPr="004C5BA3">
        <w:rPr>
          <w:rStyle w:val="FootnoteReference"/>
        </w:rPr>
        <w:footnoteRef/>
      </w:r>
      <w:r w:rsidRPr="004C5BA3">
        <w:t xml:space="preserve"> Sutorius, </w:t>
      </w:r>
      <w:r w:rsidRPr="004C5BA3">
        <w:rPr>
          <w:i/>
          <w:iCs/>
        </w:rPr>
        <w:t>Hukum Pidana</w:t>
      </w:r>
      <w:r w:rsidRPr="004C5BA3">
        <w:t>, Liberty, Yogyakarta,</w:t>
      </w:r>
      <w:r w:rsidRPr="004C5BA3">
        <w:rPr>
          <w:lang w:val="en-US"/>
        </w:rPr>
        <w:t xml:space="preserve"> 2015, </w:t>
      </w:r>
      <w:r>
        <w:t>hlm.</w:t>
      </w:r>
      <w:r w:rsidRPr="004C5BA3">
        <w:t>59</w:t>
      </w:r>
    </w:p>
  </w:footnote>
  <w:footnote w:id="49">
    <w:p w:rsidR="00DA624C" w:rsidRPr="004C5BA3" w:rsidRDefault="00DA624C" w:rsidP="00DA624C">
      <w:pPr>
        <w:pStyle w:val="FootnoteText"/>
        <w:ind w:firstLine="720"/>
        <w:jc w:val="both"/>
        <w:rPr>
          <w:lang w:val="en-US"/>
        </w:rPr>
      </w:pPr>
      <w:r w:rsidRPr="004C5BA3">
        <w:rPr>
          <w:rStyle w:val="FootnoteReference"/>
        </w:rPr>
        <w:footnoteRef/>
      </w:r>
      <w:bookmarkStart w:id="2" w:name="_Hlk130827181"/>
      <w:r w:rsidRPr="004C5BA3">
        <w:t xml:space="preserve">Amir Ilyas, </w:t>
      </w:r>
      <w:r w:rsidRPr="004C5BA3">
        <w:rPr>
          <w:i/>
          <w:iCs/>
        </w:rPr>
        <w:t>Asas-Asas Hukum Pidana</w:t>
      </w:r>
      <w:r w:rsidRPr="004C5BA3">
        <w:t>, Yogyakarta, Rengkang Education, Yogyakarta</w:t>
      </w:r>
      <w:r w:rsidRPr="004C5BA3">
        <w:rPr>
          <w:lang w:val="en-US"/>
        </w:rPr>
        <w:t>,</w:t>
      </w:r>
      <w:r w:rsidRPr="004C5BA3">
        <w:t xml:space="preserve"> 2012</w:t>
      </w:r>
      <w:bookmarkEnd w:id="2"/>
      <w:r w:rsidRPr="004C5BA3">
        <w:t xml:space="preserve">, </w:t>
      </w:r>
      <w:r w:rsidRPr="004C5BA3">
        <w:rPr>
          <w:lang w:val="en-US"/>
        </w:rPr>
        <w:t xml:space="preserve">hal. </w:t>
      </w:r>
      <w:r w:rsidRPr="004C5BA3">
        <w:t>20</w:t>
      </w:r>
    </w:p>
  </w:footnote>
  <w:footnote w:id="50">
    <w:p w:rsidR="00DA624C" w:rsidRPr="004C5BA3" w:rsidRDefault="00DA624C" w:rsidP="00DA624C">
      <w:pPr>
        <w:pStyle w:val="FootnoteText"/>
        <w:ind w:firstLine="720"/>
        <w:jc w:val="both"/>
        <w:rPr>
          <w:lang w:val="en-US"/>
        </w:rPr>
      </w:pPr>
      <w:r w:rsidRPr="004C5BA3">
        <w:rPr>
          <w:rStyle w:val="FootnoteReference"/>
        </w:rPr>
        <w:footnoteRef/>
      </w:r>
      <w:bookmarkStart w:id="3" w:name="_Hlk130827200"/>
      <w:r w:rsidRPr="004C5BA3">
        <w:t xml:space="preserve">P.A.F. Lamintang, </w:t>
      </w:r>
      <w:r w:rsidRPr="004C5BA3">
        <w:rPr>
          <w:i/>
          <w:iCs/>
        </w:rPr>
        <w:t>Dasar-Dasar Hukum Pidana Indonesia</w:t>
      </w:r>
      <w:r w:rsidRPr="004C5BA3">
        <w:t>,  Citra Adytia Bakti, Bandung, 20</w:t>
      </w:r>
      <w:r w:rsidRPr="004C5BA3">
        <w:rPr>
          <w:lang w:val="en-US"/>
        </w:rPr>
        <w:t>14</w:t>
      </w:r>
      <w:bookmarkEnd w:id="3"/>
      <w:r w:rsidRPr="004C5BA3">
        <w:t xml:space="preserve">, </w:t>
      </w:r>
      <w:r w:rsidRPr="004C5BA3">
        <w:rPr>
          <w:lang w:val="en-US"/>
        </w:rPr>
        <w:t xml:space="preserve">hal. </w:t>
      </w:r>
      <w:r w:rsidRPr="004C5BA3">
        <w:t xml:space="preserve">182  </w:t>
      </w:r>
    </w:p>
  </w:footnote>
  <w:footnote w:id="51">
    <w:p w:rsidR="00DA624C" w:rsidRPr="004C5BA3" w:rsidRDefault="00DA624C" w:rsidP="00DA624C">
      <w:pPr>
        <w:pStyle w:val="FootnoteText"/>
        <w:ind w:firstLine="720"/>
        <w:jc w:val="both"/>
        <w:rPr>
          <w:lang w:val="en-US"/>
        </w:rPr>
      </w:pPr>
      <w:r w:rsidRPr="004C5BA3">
        <w:rPr>
          <w:rStyle w:val="FootnoteReference"/>
        </w:rPr>
        <w:footnoteRef/>
      </w:r>
      <w:bookmarkStart w:id="4" w:name="_Hlk130827229"/>
      <w:r w:rsidRPr="004C5BA3">
        <w:t xml:space="preserve">Leden Marpaung, </w:t>
      </w:r>
      <w:r w:rsidRPr="004C5BA3">
        <w:rPr>
          <w:i/>
          <w:iCs/>
        </w:rPr>
        <w:t>Asas Teori Praktik Hukum Pidana</w:t>
      </w:r>
      <w:r w:rsidRPr="004C5BA3">
        <w:t>, Sinar Grafika, Jakarta, 2012</w:t>
      </w:r>
      <w:bookmarkEnd w:id="4"/>
      <w:r w:rsidRPr="004C5BA3">
        <w:t xml:space="preserve">, </w:t>
      </w:r>
      <w:r w:rsidRPr="004C5BA3">
        <w:rPr>
          <w:lang w:val="en-US"/>
        </w:rPr>
        <w:t>hal.</w:t>
      </w:r>
      <w:r w:rsidRPr="004C5BA3">
        <w:t>8</w:t>
      </w:r>
    </w:p>
  </w:footnote>
  <w:footnote w:id="52">
    <w:p w:rsidR="00DA624C" w:rsidRPr="004C5BA3" w:rsidRDefault="00DA624C" w:rsidP="00DA624C">
      <w:pPr>
        <w:pStyle w:val="FootnoteText"/>
        <w:ind w:firstLine="720"/>
        <w:jc w:val="both"/>
        <w:rPr>
          <w:color w:val="000000"/>
          <w:lang w:val="en-US"/>
        </w:rPr>
      </w:pPr>
      <w:r w:rsidRPr="004C5BA3">
        <w:rPr>
          <w:rStyle w:val="FootnoteReference"/>
        </w:rPr>
        <w:footnoteRef/>
      </w:r>
      <w:bookmarkStart w:id="5" w:name="_Hlk130827254"/>
      <w:r w:rsidRPr="004C5BA3">
        <w:t>Andi Hamzah</w:t>
      </w:r>
      <w:bookmarkEnd w:id="5"/>
      <w:r w:rsidRPr="004C5BA3">
        <w:t xml:space="preserve">, </w:t>
      </w:r>
      <w:r w:rsidRPr="004C5BA3">
        <w:rPr>
          <w:i/>
          <w:iCs/>
          <w:color w:val="000000"/>
        </w:rPr>
        <w:t>Asas-Asas Hukum Pidana</w:t>
      </w:r>
      <w:r w:rsidRPr="004C5BA3">
        <w:rPr>
          <w:color w:val="000000"/>
        </w:rPr>
        <w:t>, Rienka Cipta, Jakarta, 201</w:t>
      </w:r>
      <w:r w:rsidRPr="004C5BA3">
        <w:rPr>
          <w:color w:val="000000"/>
          <w:lang w:val="en-US"/>
        </w:rPr>
        <w:t xml:space="preserve">4 </w:t>
      </w:r>
      <w:r w:rsidRPr="004C5BA3">
        <w:rPr>
          <w:i/>
          <w:iCs/>
          <w:color w:val="000000"/>
          <w:lang w:val="en-US"/>
        </w:rPr>
        <w:t>,</w:t>
      </w:r>
      <w:r w:rsidRPr="004C5BA3">
        <w:rPr>
          <w:iCs/>
          <w:color w:val="000000"/>
          <w:lang w:val="en-US"/>
        </w:rPr>
        <w:t>hal.</w:t>
      </w:r>
      <w:r w:rsidRPr="004C5BA3">
        <w:rPr>
          <w:color w:val="000000"/>
        </w:rPr>
        <w:t>96.</w:t>
      </w:r>
    </w:p>
  </w:footnote>
  <w:footnote w:id="53">
    <w:p w:rsidR="00DA624C" w:rsidRPr="004C5BA3" w:rsidRDefault="00DA624C" w:rsidP="00DA624C">
      <w:pPr>
        <w:pStyle w:val="FootnoteText"/>
        <w:ind w:firstLine="720"/>
        <w:jc w:val="both"/>
        <w:rPr>
          <w:lang w:val="en-US"/>
        </w:rPr>
      </w:pPr>
      <w:r w:rsidRPr="004C5BA3">
        <w:rPr>
          <w:rStyle w:val="FootnoteReference"/>
        </w:rPr>
        <w:footnoteRef/>
      </w:r>
      <w:bookmarkStart w:id="6" w:name="_Hlk130827269"/>
      <w:r w:rsidRPr="004C5BA3">
        <w:t>Moel</w:t>
      </w:r>
      <w:r w:rsidRPr="004C5BA3">
        <w:rPr>
          <w:lang w:val="en-US"/>
        </w:rPr>
        <w:t>j</w:t>
      </w:r>
      <w:r w:rsidRPr="004C5BA3">
        <w:t>atno</w:t>
      </w:r>
      <w:r w:rsidRPr="004C5BA3">
        <w:rPr>
          <w:lang w:val="en-US"/>
        </w:rPr>
        <w:t>,</w:t>
      </w:r>
      <w:bookmarkEnd w:id="6"/>
      <w:r w:rsidRPr="004C5BA3">
        <w:rPr>
          <w:i/>
        </w:rPr>
        <w:t xml:space="preserve">Asas-Asas Hukum Pidana, </w:t>
      </w:r>
      <w:r w:rsidRPr="004C5BA3">
        <w:t xml:space="preserve">Rineka Cipta, Jakarta, </w:t>
      </w:r>
      <w:r w:rsidRPr="004C5BA3">
        <w:rPr>
          <w:lang w:val="en-US"/>
        </w:rPr>
        <w:t>201</w:t>
      </w:r>
      <w:r w:rsidRPr="004C5BA3">
        <w:t>8</w:t>
      </w:r>
      <w:r w:rsidRPr="004C5BA3">
        <w:rPr>
          <w:i/>
          <w:iCs/>
          <w:lang w:val="en-US"/>
        </w:rPr>
        <w:t>t</w:t>
      </w:r>
      <w:r w:rsidRPr="004C5BA3">
        <w:rPr>
          <w:lang w:val="en-US"/>
        </w:rPr>
        <w:t xml:space="preserve">, </w:t>
      </w:r>
      <w:r w:rsidRPr="004C5BA3">
        <w:rPr>
          <w:iCs/>
          <w:lang w:val="en-US"/>
        </w:rPr>
        <w:t>hal.</w:t>
      </w:r>
      <w:r w:rsidRPr="004C5BA3">
        <w:t>16</w:t>
      </w:r>
    </w:p>
  </w:footnote>
  <w:footnote w:id="54">
    <w:p w:rsidR="00DA624C" w:rsidRPr="004C5BA3" w:rsidRDefault="00DA624C" w:rsidP="00DA624C">
      <w:pPr>
        <w:pStyle w:val="FootnoteText"/>
        <w:ind w:firstLine="720"/>
        <w:jc w:val="both"/>
        <w:rPr>
          <w:lang w:val="en-US"/>
        </w:rPr>
      </w:pPr>
      <w:r w:rsidRPr="004C5BA3">
        <w:rPr>
          <w:rStyle w:val="FootnoteReference"/>
        </w:rPr>
        <w:footnoteRef/>
      </w:r>
      <w:bookmarkStart w:id="7" w:name="_Hlk130827287"/>
      <w:r w:rsidRPr="004C5BA3">
        <w:t xml:space="preserve">Teguh Prasetyo, </w:t>
      </w:r>
      <w:r w:rsidRPr="004C5BA3">
        <w:rPr>
          <w:i/>
          <w:iCs/>
        </w:rPr>
        <w:t>Hukum Pidana</w:t>
      </w:r>
      <w:r w:rsidRPr="004C5BA3">
        <w:t>, Raja Grafindo, Jakarta,  201</w:t>
      </w:r>
      <w:r w:rsidRPr="004C5BA3">
        <w:rPr>
          <w:lang w:val="en-US"/>
        </w:rPr>
        <w:t>3</w:t>
      </w:r>
      <w:r w:rsidRPr="004C5BA3">
        <w:t>,</w:t>
      </w:r>
      <w:bookmarkEnd w:id="7"/>
      <w:r w:rsidRPr="004C5BA3">
        <w:rPr>
          <w:iCs/>
          <w:lang w:val="en-US"/>
        </w:rPr>
        <w:t>hal.</w:t>
      </w:r>
      <w:r w:rsidRPr="004C5BA3">
        <w:t xml:space="preserve"> 48</w:t>
      </w:r>
    </w:p>
  </w:footnote>
  <w:footnote w:id="55">
    <w:p w:rsidR="00DA624C" w:rsidRPr="004C5BA3" w:rsidRDefault="00DA624C" w:rsidP="00DA624C">
      <w:pPr>
        <w:pStyle w:val="FootnoteText"/>
        <w:ind w:firstLine="720"/>
        <w:jc w:val="both"/>
        <w:rPr>
          <w:lang w:val="en-US"/>
        </w:rPr>
      </w:pPr>
      <w:r w:rsidRPr="004C5BA3">
        <w:rPr>
          <w:rStyle w:val="FootnoteReference"/>
        </w:rPr>
        <w:footnoteRef/>
      </w:r>
      <w:bookmarkStart w:id="8" w:name="_Hlk130827301"/>
      <w:bookmarkStart w:id="9" w:name="_Hlk130827578"/>
      <w:r w:rsidRPr="004C5BA3">
        <w:rPr>
          <w:lang w:val="en-US"/>
        </w:rPr>
        <w:t>WJS Poerwadarminta</w:t>
      </w:r>
      <w:bookmarkEnd w:id="8"/>
      <w:r w:rsidRPr="004C5BA3">
        <w:rPr>
          <w:lang w:val="en-US"/>
        </w:rPr>
        <w:t xml:space="preserve">, </w:t>
      </w:r>
      <w:r w:rsidRPr="004C5BA3">
        <w:rPr>
          <w:i/>
          <w:lang w:val="en-US"/>
        </w:rPr>
        <w:t>Kamus Besar Bahasa Indonesika</w:t>
      </w:r>
      <w:r w:rsidRPr="004C5BA3">
        <w:rPr>
          <w:lang w:val="en-US"/>
        </w:rPr>
        <w:t>, PN. Balai Pustaka, 2014</w:t>
      </w:r>
      <w:bookmarkEnd w:id="9"/>
      <w:r w:rsidRPr="004C5BA3">
        <w:rPr>
          <w:lang w:val="en-US"/>
        </w:rPr>
        <w:t>, hal.386.</w:t>
      </w:r>
    </w:p>
  </w:footnote>
  <w:footnote w:id="56">
    <w:p w:rsidR="00DA624C" w:rsidRPr="004C5BA3" w:rsidRDefault="00DA624C" w:rsidP="00DA624C">
      <w:pPr>
        <w:pStyle w:val="FootnoteText"/>
        <w:ind w:firstLine="720"/>
        <w:jc w:val="both"/>
        <w:rPr>
          <w:lang w:val="en-US"/>
        </w:rPr>
      </w:pPr>
      <w:r w:rsidRPr="004C5BA3">
        <w:rPr>
          <w:rStyle w:val="FootnoteReference"/>
        </w:rPr>
        <w:footnoteRef/>
      </w:r>
      <w:bookmarkStart w:id="10" w:name="_Hlk130827314"/>
      <w:r w:rsidRPr="004C5BA3">
        <w:t xml:space="preserve">Franciscus Theojunior, </w:t>
      </w:r>
      <w:r w:rsidRPr="004C5BA3">
        <w:rPr>
          <w:i/>
          <w:iCs/>
        </w:rPr>
        <w:t>Dasar-Dasar Hukum Pidana Di Indonesia</w:t>
      </w:r>
      <w:r w:rsidRPr="004C5BA3">
        <w:t xml:space="preserve">, </w:t>
      </w:r>
      <w:r w:rsidRPr="004C5BA3">
        <w:rPr>
          <w:lang w:val="en-US"/>
        </w:rPr>
        <w:t xml:space="preserve">Ghalia Indonesia, </w:t>
      </w:r>
      <w:r w:rsidRPr="004C5BA3">
        <w:t>Jakarta 2014</w:t>
      </w:r>
      <w:bookmarkEnd w:id="10"/>
      <w:r w:rsidRPr="004C5BA3">
        <w:t>, hal.179</w:t>
      </w:r>
    </w:p>
  </w:footnote>
  <w:footnote w:id="57">
    <w:p w:rsidR="00DA624C" w:rsidRPr="004C5BA3" w:rsidRDefault="00DA624C" w:rsidP="00DA624C">
      <w:pPr>
        <w:pStyle w:val="FootnoteText"/>
        <w:ind w:firstLine="720"/>
        <w:jc w:val="both"/>
        <w:rPr>
          <w:lang w:val="en-US"/>
        </w:rPr>
      </w:pPr>
      <w:r w:rsidRPr="004C5BA3">
        <w:rPr>
          <w:rStyle w:val="FootnoteReference"/>
        </w:rPr>
        <w:footnoteRef/>
      </w:r>
      <w:bookmarkStart w:id="11" w:name="_Hlk130827332"/>
      <w:r w:rsidRPr="004C5BA3">
        <w:t>R. Soesilo</w:t>
      </w:r>
      <w:bookmarkEnd w:id="11"/>
      <w:r w:rsidRPr="004C5BA3">
        <w:rPr>
          <w:lang w:val="en-US"/>
        </w:rPr>
        <w:t xml:space="preserve">, </w:t>
      </w:r>
      <w:r w:rsidRPr="004C5BA3">
        <w:rPr>
          <w:i/>
          <w:iCs/>
        </w:rPr>
        <w:t xml:space="preserve">Kitab Undang-Undang Hukum Pidana Dengan Penjelasannya, </w:t>
      </w:r>
      <w:r w:rsidRPr="004C5BA3">
        <w:t xml:space="preserve">Politeia, Bogor, </w:t>
      </w:r>
      <w:r w:rsidRPr="004C5BA3">
        <w:rPr>
          <w:lang w:val="en-US"/>
        </w:rPr>
        <w:t>2015</w:t>
      </w:r>
      <w:r w:rsidRPr="004C5BA3">
        <w:rPr>
          <w:i/>
          <w:lang w:val="en-US"/>
        </w:rPr>
        <w:t xml:space="preserve">, </w:t>
      </w:r>
      <w:r w:rsidRPr="004C5BA3">
        <w:rPr>
          <w:lang w:val="en-US"/>
        </w:rPr>
        <w:t xml:space="preserve"> hal.</w:t>
      </w:r>
      <w:r w:rsidRPr="004C5BA3">
        <w:t>279</w:t>
      </w:r>
    </w:p>
  </w:footnote>
  <w:footnote w:id="58">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hal.280.</w:t>
      </w:r>
    </w:p>
  </w:footnote>
  <w:footnote w:id="59">
    <w:p w:rsidR="00DA624C" w:rsidRPr="004C5BA3" w:rsidRDefault="00DA624C" w:rsidP="00DA624C">
      <w:pPr>
        <w:pStyle w:val="FootnoteText"/>
        <w:ind w:firstLine="720"/>
        <w:rPr>
          <w:lang w:val="en-US"/>
        </w:rPr>
      </w:pPr>
      <w:r w:rsidRPr="004C5BA3">
        <w:rPr>
          <w:rStyle w:val="FootnoteReference"/>
        </w:rPr>
        <w:footnoteRef/>
      </w:r>
      <w:r w:rsidRPr="004C5BA3">
        <w:t xml:space="preserve"> AdamiChazawi, </w:t>
      </w:r>
      <w:r w:rsidRPr="004C5BA3">
        <w:rPr>
          <w:i/>
          <w:iCs/>
        </w:rPr>
        <w:t xml:space="preserve">Kejahatan Terhadap Harta Benda. </w:t>
      </w:r>
      <w:r w:rsidRPr="004C5BA3">
        <w:rPr>
          <w:i/>
          <w:lang w:val="en-US"/>
        </w:rPr>
        <w:t>Op.Cit</w:t>
      </w:r>
      <w:r w:rsidRPr="004C5BA3">
        <w:rPr>
          <w:lang w:val="en-US"/>
        </w:rPr>
        <w:t xml:space="preserve">, </w:t>
      </w:r>
      <w:r>
        <w:rPr>
          <w:lang w:val="en-US"/>
        </w:rPr>
        <w:t>hlm.</w:t>
      </w:r>
      <w:r w:rsidRPr="004C5BA3">
        <w:t>187</w:t>
      </w:r>
    </w:p>
  </w:footnote>
  <w:footnote w:id="60">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188.</w:t>
      </w:r>
    </w:p>
  </w:footnote>
  <w:footnote w:id="61">
    <w:p w:rsidR="00DA624C" w:rsidRPr="004C5BA3" w:rsidRDefault="00DA624C" w:rsidP="00DA624C">
      <w:pPr>
        <w:pStyle w:val="FootnoteText"/>
        <w:ind w:firstLine="720"/>
        <w:rPr>
          <w:lang w:val="en-US"/>
        </w:rPr>
      </w:pPr>
      <w:r w:rsidRPr="004C5BA3">
        <w:rPr>
          <w:rStyle w:val="FootnoteReference"/>
        </w:rPr>
        <w:footnoteRef/>
      </w:r>
      <w:r w:rsidRPr="004C5BA3">
        <w:t xml:space="preserve"> Teguh Prasetyo, </w:t>
      </w:r>
      <w:r w:rsidRPr="004C5BA3">
        <w:rPr>
          <w:i/>
          <w:iCs/>
          <w:lang w:val="en-US"/>
        </w:rPr>
        <w:t>Op.Cit</w:t>
      </w:r>
      <w:r w:rsidRPr="004C5BA3">
        <w:t xml:space="preserve">, </w:t>
      </w:r>
      <w:r>
        <w:t>hlm.</w:t>
      </w:r>
      <w:r w:rsidRPr="004C5BA3">
        <w:t xml:space="preserve">17  </w:t>
      </w:r>
    </w:p>
  </w:footnote>
  <w:footnote w:id="62">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18</w:t>
      </w:r>
    </w:p>
  </w:footnote>
  <w:footnote w:id="63">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 Muladi dan Barda Nawawi</w:t>
      </w:r>
      <w:r w:rsidRPr="004C5BA3">
        <w:rPr>
          <w:lang w:val="en-US"/>
        </w:rPr>
        <w:t xml:space="preserve">, </w:t>
      </w:r>
      <w:r w:rsidRPr="004C5BA3">
        <w:rPr>
          <w:i/>
          <w:iCs/>
        </w:rPr>
        <w:t xml:space="preserve">Bunga Rampal Hukum Pidana. </w:t>
      </w:r>
      <w:r w:rsidRPr="004C5BA3">
        <w:t>Alumni. Bandung</w:t>
      </w:r>
      <w:r w:rsidRPr="004C5BA3">
        <w:rPr>
          <w:lang w:val="en-US"/>
        </w:rPr>
        <w:t xml:space="preserve">, 2012, </w:t>
      </w:r>
      <w:r>
        <w:rPr>
          <w:lang w:val="en-US"/>
        </w:rPr>
        <w:t>hlm.</w:t>
      </w:r>
      <w:r w:rsidRPr="004C5BA3">
        <w:t xml:space="preserve"> 87</w:t>
      </w:r>
    </w:p>
  </w:footnote>
  <w:footnote w:id="64">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P.A.F. Lamintang dan C.D. Samosir, </w:t>
      </w:r>
      <w:r w:rsidRPr="004C5BA3">
        <w:rPr>
          <w:i/>
          <w:iCs/>
        </w:rPr>
        <w:t>Hukum Pidana Indonesia</w:t>
      </w:r>
      <w:r w:rsidRPr="004C5BA3">
        <w:t xml:space="preserve">, Sinar Baru, Bandung, </w:t>
      </w:r>
      <w:r w:rsidRPr="004C5BA3">
        <w:rPr>
          <w:lang w:val="en-US"/>
        </w:rPr>
        <w:t>201</w:t>
      </w:r>
      <w:r w:rsidRPr="004C5BA3">
        <w:t xml:space="preserve">3, </w:t>
      </w:r>
      <w:r>
        <w:t>hlm.</w:t>
      </w:r>
      <w:r w:rsidRPr="004C5BA3">
        <w:t xml:space="preserve">178  </w:t>
      </w:r>
    </w:p>
  </w:footnote>
  <w:footnote w:id="65">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179.</w:t>
      </w:r>
    </w:p>
  </w:footnote>
  <w:footnote w:id="66">
    <w:p w:rsidR="00DA624C" w:rsidRPr="004C5BA3" w:rsidRDefault="00DA624C" w:rsidP="00DA624C">
      <w:pPr>
        <w:pStyle w:val="FootnoteText"/>
        <w:ind w:firstLine="720"/>
        <w:jc w:val="both"/>
        <w:rPr>
          <w:lang w:val="en-US"/>
        </w:rPr>
      </w:pPr>
      <w:r w:rsidRPr="004C5BA3">
        <w:rPr>
          <w:rStyle w:val="FootnoteReference"/>
        </w:rPr>
        <w:footnoteRef/>
      </w:r>
      <w:r w:rsidRPr="004C5BA3">
        <w:rPr>
          <w:lang w:val="en-US"/>
        </w:rPr>
        <w:t xml:space="preserve">R. </w:t>
      </w:r>
      <w:r w:rsidRPr="004C5BA3">
        <w:t xml:space="preserve">Sianturi, </w:t>
      </w:r>
      <w:r w:rsidRPr="004C5BA3">
        <w:rPr>
          <w:i/>
          <w:iCs/>
        </w:rPr>
        <w:t>Tindak Pidana KUHP Berikut Uraiannya</w:t>
      </w:r>
      <w:r w:rsidRPr="004C5BA3">
        <w:t>, Alumni, Jakarta, 20</w:t>
      </w:r>
      <w:r w:rsidRPr="004C5BA3">
        <w:rPr>
          <w:lang w:val="en-US"/>
        </w:rPr>
        <w:t>1</w:t>
      </w:r>
      <w:r w:rsidRPr="004C5BA3">
        <w:t>3</w:t>
      </w:r>
      <w:r w:rsidRPr="004C5BA3">
        <w:rPr>
          <w:lang w:val="en-US"/>
        </w:rPr>
        <w:t xml:space="preserve">, </w:t>
      </w:r>
      <w:r>
        <w:rPr>
          <w:lang w:val="en-US"/>
        </w:rPr>
        <w:t>hlm.</w:t>
      </w:r>
      <w:r w:rsidRPr="004C5BA3">
        <w:rPr>
          <w:lang w:val="en-US"/>
        </w:rPr>
        <w:t>73.</w:t>
      </w:r>
    </w:p>
  </w:footnote>
  <w:footnote w:id="67">
    <w:p w:rsidR="00DA624C" w:rsidRPr="004C5BA3" w:rsidRDefault="00DA624C" w:rsidP="00DA624C">
      <w:pPr>
        <w:pStyle w:val="FootnoteText"/>
        <w:ind w:firstLine="720"/>
        <w:jc w:val="both"/>
        <w:rPr>
          <w:lang w:val="en-US"/>
        </w:rPr>
      </w:pPr>
      <w:r w:rsidRPr="004C5BA3">
        <w:rPr>
          <w:rStyle w:val="FootnoteReference"/>
        </w:rPr>
        <w:footnoteRef/>
      </w:r>
      <w:r w:rsidRPr="004C5BA3">
        <w:t xml:space="preserve"> Muladi dan Barda Nawawi Arief, </w:t>
      </w:r>
      <w:r w:rsidRPr="004C5BA3">
        <w:rPr>
          <w:i/>
          <w:iCs/>
        </w:rPr>
        <w:t>Teori- Teori dan Kebijakan Pidana</w:t>
      </w:r>
      <w:r w:rsidRPr="004C5BA3">
        <w:t>,  Alumni, Bandung, 20</w:t>
      </w:r>
      <w:r w:rsidRPr="004C5BA3">
        <w:rPr>
          <w:lang w:val="en-US"/>
        </w:rPr>
        <w:t>1</w:t>
      </w:r>
      <w:r w:rsidRPr="004C5BA3">
        <w:t>5</w:t>
      </w:r>
      <w:r w:rsidRPr="004C5BA3">
        <w:rPr>
          <w:lang w:val="en-US"/>
        </w:rPr>
        <w:t xml:space="preserve">, </w:t>
      </w:r>
      <w:r>
        <w:rPr>
          <w:lang w:val="en-US"/>
        </w:rPr>
        <w:t>hlm.</w:t>
      </w:r>
      <w:r w:rsidRPr="004C5BA3">
        <w:rPr>
          <w:lang w:val="en-US"/>
        </w:rPr>
        <w:t>82.</w:t>
      </w:r>
    </w:p>
  </w:footnote>
  <w:footnote w:id="68">
    <w:p w:rsidR="00DA624C" w:rsidRPr="004C5BA3" w:rsidRDefault="00DA624C" w:rsidP="00DA624C">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A" w:rsidRDefault="00EA56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A" w:rsidRDefault="00EA567A" w:rsidP="00EA567A">
    <w:pPr>
      <w:pStyle w:val="Header"/>
      <w:jc w:val="right"/>
    </w:pPr>
    <w:r>
      <w:t>PUBLISH: 20/11/2025 15:23:32</w:t>
    </w:r>
  </w:p>
  <w:p w:rsidR="00EA567A" w:rsidRDefault="00EA56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7A" w:rsidRDefault="00EA567A" w:rsidP="00EA567A">
    <w:pPr>
      <w:pStyle w:val="Header"/>
      <w:jc w:val="right"/>
    </w:pPr>
    <w:r>
      <w:t>PUBLISH: 20/11/2025 15:23:32</w:t>
    </w:r>
  </w:p>
  <w:p w:rsidR="00EA567A" w:rsidRDefault="00EA567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FD" w:rsidRDefault="0098559A">
    <w:pPr>
      <w:pStyle w:val="Header"/>
      <w:jc w:val="right"/>
    </w:pPr>
  </w:p>
  <w:p w:rsidR="000170FD" w:rsidRPr="007E1322" w:rsidRDefault="00B84CC3" w:rsidP="007B7479">
    <w:pPr>
      <w:tabs>
        <w:tab w:val="left" w:pos="2700"/>
        <w:tab w:val="center" w:pos="4308"/>
      </w:tabs>
      <w:spacing w:line="360" w:lineRule="auto"/>
      <w:ind w:right="-680"/>
      <w:rPr>
        <w:b/>
        <w:color w:val="00B050"/>
        <w:sz w:val="28"/>
      </w:rPr>
    </w:pPr>
    <w:r>
      <w:rPr>
        <w:b/>
        <w:color w:val="00B050"/>
      </w:rPr>
      <w:tab/>
    </w:r>
    <w:r>
      <w:rPr>
        <w:b/>
        <w:color w:val="00B050"/>
      </w:rPr>
      <w:tab/>
    </w:r>
  </w:p>
  <w:p w:rsidR="000170FD" w:rsidRDefault="00B84CC3">
    <w:pPr>
      <w:pStyle w:val="Header"/>
    </w:pPr>
    <w:r>
      <w:rPr>
        <w:lang w:eastAsia="id-ID"/>
      </w:rPr>
      <w:drawing>
        <wp:anchor distT="0" distB="0" distL="114300" distR="114300" simplePos="0" relativeHeight="251661312" behindDoc="1" locked="0" layoutInCell="1" allowOverlap="1">
          <wp:simplePos x="0" y="0"/>
          <wp:positionH relativeFrom="column">
            <wp:posOffset>18415</wp:posOffset>
          </wp:positionH>
          <wp:positionV relativeFrom="paragraph">
            <wp:posOffset>2157730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6A10B6A"/>
    <w:multiLevelType w:val="hybridMultilevel"/>
    <w:tmpl w:val="A2088494"/>
    <w:lvl w:ilvl="0" w:tplc="8FDC9230">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443A29"/>
    <w:multiLevelType w:val="hybridMultilevel"/>
    <w:tmpl w:val="12D6DB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5">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B084A"/>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8">
    <w:nsid w:val="220D0A75"/>
    <w:multiLevelType w:val="hybridMultilevel"/>
    <w:tmpl w:val="5A4A4872"/>
    <w:lvl w:ilvl="0" w:tplc="5768944A">
      <w:start w:val="1"/>
      <w:numFmt w:val="lowerLetter"/>
      <w:lvlText w:val="%1."/>
      <w:lvlJc w:val="left"/>
      <w:pPr>
        <w:ind w:left="720" w:hanging="360"/>
      </w:pPr>
      <w:rPr>
        <w:rFonts w:hint="default"/>
        <w:sz w:val="23"/>
      </w:rPr>
    </w:lvl>
    <w:lvl w:ilvl="1" w:tplc="04090019">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CB145CA0">
      <w:start w:val="1"/>
      <w:numFmt w:val="upperLetter"/>
      <w:lvlText w:val="%5."/>
      <w:lvlJc w:val="left"/>
      <w:pPr>
        <w:ind w:left="3600" w:hanging="360"/>
      </w:pPr>
      <w:rPr>
        <w:rFonts w:hint="default"/>
        <w:b/>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37DB1"/>
    <w:multiLevelType w:val="hybridMultilevel"/>
    <w:tmpl w:val="7E04BBEC"/>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B3B43"/>
    <w:multiLevelType w:val="hybridMultilevel"/>
    <w:tmpl w:val="CA9E83C6"/>
    <w:lvl w:ilvl="0" w:tplc="47143430">
      <w:start w:val="1"/>
      <w:numFmt w:val="decimal"/>
      <w:lvlText w:val="(%1)"/>
      <w:lvlJc w:val="left"/>
      <w:pPr>
        <w:tabs>
          <w:tab w:val="num" w:pos="735"/>
        </w:tabs>
        <w:ind w:left="735" w:hanging="375"/>
      </w:pPr>
      <w:rPr>
        <w:rFonts w:cs="Times New Roman" w:hint="default"/>
      </w:rPr>
    </w:lvl>
    <w:lvl w:ilvl="1" w:tplc="AD88DBC2">
      <w:start w:val="1"/>
      <w:numFmt w:val="upperLetter"/>
      <w:lvlText w:val="%2."/>
      <w:lvlJc w:val="left"/>
      <w:pPr>
        <w:ind w:left="1440" w:hanging="360"/>
      </w:pPr>
      <w:rPr>
        <w:rFonts w:hint="default"/>
        <w:color w:val="000000"/>
      </w:rPr>
    </w:lvl>
    <w:lvl w:ilvl="2" w:tplc="D3F87048">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F460730"/>
    <w:multiLevelType w:val="hybridMultilevel"/>
    <w:tmpl w:val="3ADC9C0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63B56A52"/>
    <w:multiLevelType w:val="multilevel"/>
    <w:tmpl w:val="4C92F9A6"/>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6670349A"/>
    <w:multiLevelType w:val="hybridMultilevel"/>
    <w:tmpl w:val="B2642E04"/>
    <w:lvl w:ilvl="0" w:tplc="1E9EF4B4">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13947EAC">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897C02B2">
      <w:start w:val="1"/>
      <w:numFmt w:val="decimal"/>
      <w:lvlText w:val="%4."/>
      <w:lvlJc w:val="left"/>
      <w:pPr>
        <w:ind w:left="2880" w:hanging="360"/>
      </w:pPr>
      <w:rPr>
        <w:b w:val="0"/>
      </w:rPr>
    </w:lvl>
    <w:lvl w:ilvl="4" w:tplc="D6C2472C">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F03A59"/>
    <w:multiLevelType w:val="hybridMultilevel"/>
    <w:tmpl w:val="596C0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96323BD"/>
    <w:multiLevelType w:val="hybridMultilevel"/>
    <w:tmpl w:val="9ED8474E"/>
    <w:lvl w:ilvl="0" w:tplc="0409000F">
      <w:start w:val="1"/>
      <w:numFmt w:val="decimal"/>
      <w:lvlText w:val="%1)"/>
      <w:lvlJc w:val="left"/>
      <w:pPr>
        <w:ind w:left="1080" w:hanging="360"/>
      </w:pPr>
      <w:rPr>
        <w:rFonts w:hint="default"/>
        <w:sz w:val="23"/>
      </w:rPr>
    </w:lvl>
    <w:lvl w:ilvl="1" w:tplc="04090019">
      <w:start w:val="1"/>
      <w:numFmt w:val="decimal"/>
      <w:lvlText w:val="%2."/>
      <w:lvlJc w:val="left"/>
      <w:pPr>
        <w:ind w:left="1815" w:hanging="375"/>
      </w:pPr>
      <w:rPr>
        <w:rFonts w:hint="default"/>
      </w:rPr>
    </w:lvl>
    <w:lvl w:ilvl="2" w:tplc="0409001B">
      <w:start w:val="1"/>
      <w:numFmt w:val="decimal"/>
      <w:lvlText w:val="(%3)"/>
      <w:lvlJc w:val="left"/>
      <w:pPr>
        <w:ind w:left="2715" w:hanging="375"/>
      </w:pPr>
      <w:rPr>
        <w:rFonts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6908BB"/>
    <w:multiLevelType w:val="hybridMultilevel"/>
    <w:tmpl w:val="DB34DCDA"/>
    <w:lvl w:ilvl="0" w:tplc="592A064C">
      <w:start w:val="1"/>
      <w:numFmt w:val="decimal"/>
      <w:lvlText w:val="%1."/>
      <w:lvlJc w:val="left"/>
      <w:pPr>
        <w:ind w:left="720" w:hanging="360"/>
      </w:pPr>
      <w:rPr>
        <w:rFonts w:ascii="Times New Roman" w:eastAsia="Times New Roman" w:hAnsi="Times New Roman" w:cs="Times New Roman"/>
      </w:rPr>
    </w:lvl>
    <w:lvl w:ilvl="1" w:tplc="37AC4C0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0AEB1E"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CE13A9"/>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7F745203"/>
    <w:multiLevelType w:val="hybridMultilevel"/>
    <w:tmpl w:val="8CB452BC"/>
    <w:lvl w:ilvl="0" w:tplc="AB8C9716">
      <w:start w:val="1"/>
      <w:numFmt w:val="upperLetter"/>
      <w:lvlText w:val="%1."/>
      <w:lvlJc w:val="left"/>
      <w:pPr>
        <w:tabs>
          <w:tab w:val="num" w:pos="720"/>
        </w:tabs>
        <w:ind w:left="720" w:hanging="360"/>
      </w:pPr>
      <w:rPr>
        <w:rFonts w:hint="default"/>
      </w:rPr>
    </w:lvl>
    <w:lvl w:ilvl="1" w:tplc="F0628F88">
      <w:start w:val="1"/>
      <w:numFmt w:val="lowerLetter"/>
      <w:lvlText w:val="%2."/>
      <w:lvlJc w:val="left"/>
      <w:pPr>
        <w:tabs>
          <w:tab w:val="num" w:pos="1440"/>
        </w:tabs>
        <w:ind w:left="1440" w:hanging="360"/>
      </w:pPr>
      <w:rPr>
        <w:rFonts w:hint="default"/>
      </w:rPr>
    </w:lvl>
    <w:lvl w:ilvl="2" w:tplc="77B61C48">
      <w:start w:val="1"/>
      <w:numFmt w:val="decimal"/>
      <w:lvlText w:val="%3."/>
      <w:lvlJc w:val="right"/>
      <w:pPr>
        <w:tabs>
          <w:tab w:val="num" w:pos="2160"/>
        </w:tabs>
        <w:ind w:left="2160" w:hanging="18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0"/>
  </w:num>
  <w:num w:numId="4">
    <w:abstractNumId w:val="4"/>
  </w:num>
  <w:num w:numId="5">
    <w:abstractNumId w:val="7"/>
  </w:num>
  <w:num w:numId="6">
    <w:abstractNumId w:val="19"/>
  </w:num>
  <w:num w:numId="7">
    <w:abstractNumId w:val="1"/>
  </w:num>
  <w:num w:numId="8">
    <w:abstractNumId w:val="3"/>
  </w:num>
  <w:num w:numId="9">
    <w:abstractNumId w:val="20"/>
  </w:num>
  <w:num w:numId="10">
    <w:abstractNumId w:val="18"/>
  </w:num>
  <w:num w:numId="11">
    <w:abstractNumId w:val="14"/>
  </w:num>
  <w:num w:numId="12">
    <w:abstractNumId w:val="13"/>
  </w:num>
  <w:num w:numId="13">
    <w:abstractNumId w:val="12"/>
  </w:num>
  <w:num w:numId="14">
    <w:abstractNumId w:val="17"/>
  </w:num>
  <w:num w:numId="15">
    <w:abstractNumId w:val="9"/>
  </w:num>
  <w:num w:numId="16">
    <w:abstractNumId w:val="8"/>
  </w:num>
  <w:num w:numId="17">
    <w:abstractNumId w:val="16"/>
  </w:num>
  <w:num w:numId="18">
    <w:abstractNumId w:val="5"/>
  </w:num>
  <w:num w:numId="19">
    <w:abstractNumId w:val="2"/>
  </w:num>
  <w:num w:numId="20">
    <w:abstractNumId w:val="1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Ixt0Hy3Bau+a4N8Crfkt8wM5xjU=" w:salt="tZ5sQi5E7TNPMQDRB++vxA=="/>
  <w:defaultTabStop w:val="720"/>
  <w:characterSpacingControl w:val="doNotCompress"/>
  <w:footnotePr>
    <w:footnote w:id="0"/>
    <w:footnote w:id="1"/>
  </w:footnotePr>
  <w:endnotePr>
    <w:endnote w:id="0"/>
    <w:endnote w:id="1"/>
  </w:endnotePr>
  <w:compat/>
  <w:rsids>
    <w:rsidRoot w:val="002653F4"/>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53F4"/>
    <w:rsid w:val="00272376"/>
    <w:rsid w:val="0028393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22ECC"/>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8559A"/>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84CC3"/>
    <w:rsid w:val="00BB18A3"/>
    <w:rsid w:val="00BB751A"/>
    <w:rsid w:val="00BB7EA9"/>
    <w:rsid w:val="00BD7D85"/>
    <w:rsid w:val="00C33B3A"/>
    <w:rsid w:val="00C40065"/>
    <w:rsid w:val="00C50F49"/>
    <w:rsid w:val="00C618BA"/>
    <w:rsid w:val="00C85DA5"/>
    <w:rsid w:val="00C90BE8"/>
    <w:rsid w:val="00CA4608"/>
    <w:rsid w:val="00CA782A"/>
    <w:rsid w:val="00CF0A19"/>
    <w:rsid w:val="00CF197C"/>
    <w:rsid w:val="00D33069"/>
    <w:rsid w:val="00D4615A"/>
    <w:rsid w:val="00D869A0"/>
    <w:rsid w:val="00DA624C"/>
    <w:rsid w:val="00DB10A7"/>
    <w:rsid w:val="00DE62D3"/>
    <w:rsid w:val="00DF25BA"/>
    <w:rsid w:val="00E05F2F"/>
    <w:rsid w:val="00E06D0C"/>
    <w:rsid w:val="00E404DB"/>
    <w:rsid w:val="00E50A01"/>
    <w:rsid w:val="00E55B35"/>
    <w:rsid w:val="00E7137E"/>
    <w:rsid w:val="00E71C74"/>
    <w:rsid w:val="00EA567A"/>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rsid w:val="00283936"/>
    <w:rPr>
      <w:sz w:val="20"/>
      <w:szCs w:val="20"/>
    </w:rPr>
  </w:style>
  <w:style w:type="character" w:customStyle="1" w:styleId="FootnoteTextChar">
    <w:name w:val="Footnote Text Char"/>
    <w:aliases w:val="Char Char, Char Char1,Footnote Text Char1 Char,Footnote Text Char Char Char,Char Char Char1 Char,Char Char Char Char Char Char1 Char,Char Char Char Char1 Char,Char Char1 Char,Char Char Char Char Char Char,Char Char Char Char"/>
    <w:basedOn w:val="DefaultParagraphFont"/>
    <w:link w:val="FootnoteText"/>
    <w:uiPriority w:val="99"/>
    <w:rsid w:val="00283936"/>
    <w:rPr>
      <w:rFonts w:ascii="Times New Roman" w:eastAsia="Times New Roman" w:hAnsi="Times New Roman" w:cs="Times New Roman"/>
      <w:noProof/>
      <w:sz w:val="20"/>
      <w:szCs w:val="20"/>
      <w:lang w:val="id-ID"/>
    </w:rPr>
  </w:style>
  <w:style w:type="character" w:styleId="FootnoteReference">
    <w:name w:val="footnote reference"/>
    <w:rsid w:val="00283936"/>
    <w:rPr>
      <w:vertAlign w:val="superscript"/>
    </w:rPr>
  </w:style>
  <w:style w:type="paragraph" w:styleId="BodyTextIndent2">
    <w:name w:val="Body Text Indent 2"/>
    <w:basedOn w:val="Normal"/>
    <w:link w:val="BodyTextIndent2Char"/>
    <w:uiPriority w:val="99"/>
    <w:semiHidden/>
    <w:unhideWhenUsed/>
    <w:rsid w:val="00DA624C"/>
    <w:pPr>
      <w:spacing w:after="120" w:line="480" w:lineRule="auto"/>
      <w:ind w:left="360"/>
    </w:pPr>
  </w:style>
  <w:style w:type="character" w:customStyle="1" w:styleId="BodyTextIndent2Char">
    <w:name w:val="Body Text Indent 2 Char"/>
    <w:basedOn w:val="DefaultParagraphFont"/>
    <w:link w:val="BodyTextIndent2"/>
    <w:uiPriority w:val="99"/>
    <w:semiHidden/>
    <w:rsid w:val="00DA624C"/>
    <w:rPr>
      <w:rFonts w:ascii="Times New Roman" w:eastAsia="Times New Roman" w:hAnsi="Times New Roman" w:cs="Times New Roman"/>
      <w:noProof/>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eastAsia="x-none"/>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eastAsia="x-none"/>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rsid w:val="00283936"/>
    <w:rPr>
      <w:sz w:val="20"/>
      <w:szCs w:val="20"/>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basedOn w:val="DefaultParagraphFont"/>
    <w:link w:val="FootnoteText"/>
    <w:uiPriority w:val="99"/>
    <w:rsid w:val="00283936"/>
    <w:rPr>
      <w:rFonts w:ascii="Times New Roman" w:eastAsia="Times New Roman" w:hAnsi="Times New Roman" w:cs="Times New Roman"/>
      <w:noProof/>
      <w:sz w:val="20"/>
      <w:szCs w:val="20"/>
      <w:lang w:val="id-ID"/>
    </w:rPr>
  </w:style>
  <w:style w:type="character" w:styleId="FootnoteReference">
    <w:name w:val="footnote reference"/>
    <w:rsid w:val="00283936"/>
    <w:rPr>
      <w:vertAlign w:val="superscript"/>
    </w:rPr>
  </w:style>
  <w:style w:type="paragraph" w:styleId="BodyTextIndent2">
    <w:name w:val="Body Text Indent 2"/>
    <w:basedOn w:val="Normal"/>
    <w:link w:val="BodyTextIndent2Char"/>
    <w:uiPriority w:val="99"/>
    <w:semiHidden/>
    <w:unhideWhenUsed/>
    <w:rsid w:val="00DA624C"/>
    <w:pPr>
      <w:spacing w:after="120" w:line="480" w:lineRule="auto"/>
      <w:ind w:left="360"/>
    </w:pPr>
  </w:style>
  <w:style w:type="character" w:customStyle="1" w:styleId="BodyTextIndent2Char">
    <w:name w:val="Body Text Indent 2 Char"/>
    <w:basedOn w:val="DefaultParagraphFont"/>
    <w:link w:val="BodyTextIndent2"/>
    <w:uiPriority w:val="99"/>
    <w:semiHidden/>
    <w:rsid w:val="00DA624C"/>
    <w:rPr>
      <w:rFonts w:ascii="Times New Roman" w:eastAsia="Times New Roman" w:hAnsi="Times New Roman" w:cs="Times New Roman"/>
      <w:noProof/>
      <w:sz w:val="24"/>
      <w:szCs w:val="24"/>
      <w:lang w:val="id-ID"/>
    </w:rPr>
  </w:style>
</w:styles>
</file>

<file path=word/webSettings.xml><?xml version="1.0" encoding="utf-8"?>
<w:webSettings xmlns:r="http://schemas.openxmlformats.org/officeDocument/2006/relationships" xmlns:w="http://schemas.openxmlformats.org/wordprocessingml/2006/main">
  <w:divs>
    <w:div w:id="381754787">
      <w:bodyDiv w:val="1"/>
      <w:marLeft w:val="0"/>
      <w:marRight w:val="0"/>
      <w:marTop w:val="0"/>
      <w:marBottom w:val="0"/>
      <w:divBdr>
        <w:top w:val="none" w:sz="0" w:space="0" w:color="auto"/>
        <w:left w:val="none" w:sz="0" w:space="0" w:color="auto"/>
        <w:bottom w:val="none" w:sz="0" w:space="0" w:color="auto"/>
        <w:right w:val="none" w:sz="0" w:space="0" w:color="auto"/>
      </w:divBdr>
    </w:div>
    <w:div w:id="818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5395</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2025-11-20T08:30:00Z</dcterms:created>
  <dcterms:modified xsi:type="dcterms:W3CDTF">2025-11-20T08:30:00Z</dcterms:modified>
</cp:coreProperties>
</file>