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ECC" w:rsidRPr="002B77DD" w:rsidRDefault="00822ECC" w:rsidP="00822ECC">
      <w:pPr>
        <w:ind w:right="-4"/>
        <w:jc w:val="center"/>
        <w:rPr>
          <w:b/>
        </w:rPr>
      </w:pPr>
      <w:r w:rsidRPr="002B77DD">
        <w:rPr>
          <w:b/>
        </w:rPr>
        <w:t>ABSTRAK</w:t>
      </w:r>
    </w:p>
    <w:p w:rsidR="00822ECC" w:rsidRPr="002B77DD" w:rsidRDefault="00822ECC" w:rsidP="00822ECC">
      <w:pPr>
        <w:ind w:right="-4"/>
        <w:jc w:val="center"/>
        <w:rPr>
          <w:b/>
        </w:rPr>
      </w:pPr>
    </w:p>
    <w:p w:rsidR="00822ECC" w:rsidRPr="002B77DD" w:rsidRDefault="00822ECC" w:rsidP="00822ECC">
      <w:pPr>
        <w:ind w:right="-4"/>
        <w:jc w:val="center"/>
        <w:rPr>
          <w:b/>
        </w:rPr>
      </w:pPr>
      <w:r w:rsidRPr="002B77DD">
        <w:rPr>
          <w:b/>
        </w:rPr>
        <w:t>PERTANGGUNG JAWABAN PIDANA  PELAKU PERUSAKAN  FASILITAS UMUM</w:t>
      </w:r>
    </w:p>
    <w:p w:rsidR="00822ECC" w:rsidRPr="002B77DD" w:rsidRDefault="00822ECC" w:rsidP="00822ECC">
      <w:pPr>
        <w:ind w:right="-4"/>
        <w:jc w:val="center"/>
        <w:rPr>
          <w:b/>
        </w:rPr>
      </w:pPr>
      <w:r w:rsidRPr="002B77DD">
        <w:rPr>
          <w:b/>
        </w:rPr>
        <w:t xml:space="preserve"> (Analisa Putusan Pengadilan Nomor 620/Pid.B/2022/PN.Kisaran)</w:t>
      </w:r>
    </w:p>
    <w:p w:rsidR="00822ECC" w:rsidRPr="002B77DD" w:rsidRDefault="00822ECC" w:rsidP="00822ECC">
      <w:pPr>
        <w:ind w:right="-4"/>
        <w:jc w:val="center"/>
        <w:rPr>
          <w:b/>
        </w:rPr>
      </w:pPr>
    </w:p>
    <w:p w:rsidR="00822ECC" w:rsidRPr="002B77DD" w:rsidRDefault="00822ECC" w:rsidP="00822ECC">
      <w:pPr>
        <w:jc w:val="center"/>
        <w:rPr>
          <w:b/>
        </w:rPr>
      </w:pPr>
      <w:r w:rsidRPr="002B77DD">
        <w:rPr>
          <w:b/>
        </w:rPr>
        <w:t>Prayogi</w:t>
      </w:r>
    </w:p>
    <w:p w:rsidR="00822ECC" w:rsidRPr="002B77DD" w:rsidRDefault="00822ECC" w:rsidP="00822ECC">
      <w:pPr>
        <w:jc w:val="center"/>
        <w:rPr>
          <w:b/>
          <w:u w:val="single"/>
          <w:lang w:val="en-US"/>
        </w:rPr>
      </w:pPr>
      <w:r w:rsidRPr="002B77DD">
        <w:rPr>
          <w:b/>
          <w:u w:val="single"/>
          <w:lang w:val="en-US"/>
        </w:rPr>
        <w:t>(</w:t>
      </w:r>
      <w:r w:rsidRPr="002B77DD">
        <w:rPr>
          <w:b/>
          <w:lang w:eastAsia="zh-CN"/>
        </w:rPr>
        <w:t>235114</w:t>
      </w:r>
      <w:r w:rsidRPr="002B77DD">
        <w:rPr>
          <w:b/>
          <w:lang w:val="en-US" w:eastAsia="zh-CN"/>
        </w:rPr>
        <w:t>115)</w:t>
      </w:r>
    </w:p>
    <w:p w:rsidR="00822ECC" w:rsidRPr="002B77DD" w:rsidRDefault="00822ECC" w:rsidP="00822ECC">
      <w:pPr>
        <w:rPr>
          <w:lang w:val="en-US"/>
        </w:rPr>
      </w:pPr>
      <w:r w:rsidRPr="002B77DD">
        <w:rPr>
          <w:b/>
        </w:rPr>
        <w:tab/>
      </w:r>
      <w:r w:rsidRPr="002B77DD">
        <w:rPr>
          <w:b/>
        </w:rPr>
        <w:tab/>
      </w:r>
      <w:r w:rsidRPr="002B77DD">
        <w:rPr>
          <w:b/>
        </w:rPr>
        <w:tab/>
      </w:r>
      <w:r w:rsidRPr="002B77DD">
        <w:rPr>
          <w:b/>
        </w:rPr>
        <w:tab/>
      </w:r>
      <w:r w:rsidRPr="002B77DD">
        <w:rPr>
          <w:b/>
        </w:rPr>
        <w:tab/>
      </w:r>
      <w:r w:rsidRPr="002B77DD">
        <w:rPr>
          <w:b/>
        </w:rPr>
        <w:tab/>
      </w:r>
    </w:p>
    <w:p w:rsidR="00822ECC" w:rsidRPr="002B77DD" w:rsidRDefault="00822ECC" w:rsidP="00822ECC">
      <w:pPr>
        <w:pStyle w:val="Default"/>
        <w:widowControl w:val="0"/>
        <w:spacing w:line="216" w:lineRule="auto"/>
        <w:ind w:firstLine="720"/>
        <w:jc w:val="both"/>
        <w:rPr>
          <w:rFonts w:ascii="Times New Roman" w:hAnsi="Times New Roman" w:cs="Times New Roman"/>
        </w:rPr>
      </w:pPr>
      <w:r w:rsidRPr="002B77DD">
        <w:rPr>
          <w:rFonts w:ascii="Times New Roman" w:hAnsi="Times New Roman" w:cs="Times New Roman"/>
          <w:iCs/>
        </w:rPr>
        <w:t>Tujuanpenelitianadalahuntukmengetahui</w:t>
      </w:r>
      <w:r w:rsidRPr="002B77DD">
        <w:rPr>
          <w:rFonts w:ascii="Times New Roman" w:hAnsi="Times New Roman" w:cs="Times New Roman"/>
          <w:spacing w:val="4"/>
        </w:rPr>
        <w:t>latarbelakang</w:t>
      </w:r>
      <w:r w:rsidRPr="002B77DD">
        <w:rPr>
          <w:rFonts w:ascii="Times New Roman" w:hAnsi="Times New Roman" w:cs="Times New Roman"/>
        </w:rPr>
        <w:t xml:space="preserve"> yang menyebabkanterjadinyaperusakanfasilitasumumdalamPutusanPengadilanNomor 620/Pid.B/2022/PN.Kisaran, untukmengetahuipertanggungjawabanpidanaterhadappelakuperusakanfasilitasumum, untukmengetahuipertimbangan hakim PengadilanNegeriKisarandalammemutusperkarapengrusakanfasilitasumumdalamPutusanPengadilanNomor 620/Pid.B/2022/PN.Kisaran</w:t>
      </w:r>
    </w:p>
    <w:p w:rsidR="00822ECC" w:rsidRPr="002B77DD" w:rsidRDefault="00822ECC" w:rsidP="00822ECC">
      <w:pPr>
        <w:pStyle w:val="Default"/>
        <w:widowControl w:val="0"/>
        <w:spacing w:line="216" w:lineRule="auto"/>
        <w:ind w:firstLine="720"/>
        <w:jc w:val="both"/>
        <w:rPr>
          <w:rFonts w:ascii="Times New Roman" w:hAnsi="Times New Roman" w:cs="Times New Roman"/>
        </w:rPr>
      </w:pPr>
      <w:r w:rsidRPr="002B77DD">
        <w:rPr>
          <w:rFonts w:ascii="Times New Roman" w:hAnsi="Times New Roman" w:cs="Times New Roman"/>
        </w:rPr>
        <w:t>Hasilpenelitianyaitul</w:t>
      </w:r>
      <w:r w:rsidRPr="002B77DD">
        <w:rPr>
          <w:rFonts w:ascii="Times New Roman" w:hAnsi="Times New Roman" w:cs="Times New Roman"/>
          <w:spacing w:val="4"/>
        </w:rPr>
        <w:t>atarbelakang</w:t>
      </w:r>
      <w:r w:rsidRPr="002B77DD">
        <w:rPr>
          <w:rFonts w:ascii="Times New Roman" w:hAnsi="Times New Roman" w:cs="Times New Roman"/>
        </w:rPr>
        <w:t>yang menyebabkanterjadinyaperusakanfasilitasumumadalahterdakwainginmenambahpenghasilansebagaipenjaga toilet danjika toilet tersebuttetapdidepanTerdakwamerasakesalkarenapenghasilanTerdakwaberkurang. SupayapenghasilanTerdakwamencukupidarimenjaga toilet umum, karenajikadidepanwargaataupembeliataupedagangtidakmaumembayaratautidakmaubuang air kecilataubesar di toilet yang Terdakwarusaktersebut.Pertanggungjawabanpidanaterhadapnarapidana yang melakukanperusakanfasilitasumumadalah</w:t>
      </w:r>
      <w:r w:rsidRPr="002B77DD">
        <w:rPr>
          <w:rFonts w:ascii="Times New Roman" w:hAnsi="Times New Roman" w:cs="Times New Roman"/>
          <w:bCs/>
        </w:rPr>
        <w:t>terdakwadi</w:t>
      </w:r>
      <w:r w:rsidRPr="002B77DD">
        <w:rPr>
          <w:rFonts w:ascii="Times New Roman" w:hAnsi="Times New Roman" w:cs="Times New Roman"/>
        </w:rPr>
        <w:t>jatuhkanpidanadenganpidanapidanapenjaramasing-masingselama</w:t>
      </w:r>
      <w:r w:rsidRPr="002B77DD">
        <w:rPr>
          <w:rFonts w:ascii="Times New Roman" w:hAnsi="Times New Roman" w:cs="Times New Roman"/>
          <w:bCs/>
        </w:rPr>
        <w:t>9 (sembilan) bulankarenat</w:t>
      </w:r>
      <w:r w:rsidRPr="002B77DD">
        <w:rPr>
          <w:rFonts w:ascii="Times New Roman" w:hAnsi="Times New Roman" w:cs="Times New Roman"/>
        </w:rPr>
        <w:t>erpenuhinyaunsur-unsurPasal 107 ayat (1) KUHP sehinggaterdakwatelahterbuktisecarasahdanmeyakinkanbersalahmelakukantindakpidana</w:t>
      </w:r>
      <w:r w:rsidRPr="002B77DD">
        <w:rPr>
          <w:rFonts w:ascii="Times New Roman" w:hAnsi="Times New Roman" w:cs="Times New Roman"/>
          <w:bCs/>
        </w:rPr>
        <w:t>melakukanpengrusakanterhadapfasilitasumum, sehinggaakibatperbuatannyamaka</w:t>
      </w:r>
      <w:r w:rsidRPr="002B77DD">
        <w:rPr>
          <w:rFonts w:ascii="Times New Roman" w:hAnsi="Times New Roman" w:cs="Times New Roman"/>
        </w:rPr>
        <w:t>pihakDinasKetenagakerjaan, PerindustriandanPerdaganganKabupatenBatu Bara mengalamikerugiansekitar Rp.5.000.000,00 (lima juta rupiah). Pertimbangan hakim dalammenjatuhkanputusanterhadaptindakpidanaperusakanfasilitasumumdalamPutusanPengadilanNomor 620/Pid.B/2022/PN KisadalahMajelis Hakim mempunyaipertimbangan-pertimbanganmulaidarituntutanJaksaPenuntutUmum, terpenuhinyaunsur-unsursesuaidenganpasal yang didakwakandantidakadaalasanpembenardanpemaaf, sehinggadinyatakanbersalah, sertahal-hal yang memberatkandanmeringankan. AdapunpertimbanganMajelis Hakim yang telahmemutusperkarainiyaituhal yang meringankanterdakwaberlakusopan di persidangan, mengakuidanmenyesaliperbuatannyadanberjanjitidakmengulangiperbuatanmelawanhukumdikemudianharisedangkanhal yang memberatkanadalahterdakwasudahpernahdihukum</w:t>
      </w:r>
    </w:p>
    <w:p w:rsidR="00822ECC" w:rsidRPr="002B77DD" w:rsidRDefault="00822ECC" w:rsidP="00822ECC">
      <w:pPr>
        <w:pStyle w:val="Default"/>
        <w:widowControl w:val="0"/>
        <w:spacing w:line="216" w:lineRule="auto"/>
        <w:ind w:firstLine="720"/>
        <w:jc w:val="both"/>
        <w:rPr>
          <w:rFonts w:ascii="Times New Roman" w:hAnsi="Times New Roman" w:cs="Times New Roman"/>
        </w:rPr>
      </w:pPr>
      <w:r w:rsidRPr="002B77DD">
        <w:rPr>
          <w:rFonts w:ascii="Times New Roman" w:hAnsi="Times New Roman" w:cs="Times New Roman"/>
        </w:rPr>
        <w:t>Adapun saran yang diajukanadalah a</w:t>
      </w:r>
      <w:r w:rsidRPr="002B77DD">
        <w:rPr>
          <w:rFonts w:ascii="Times New Roman" w:hAnsi="Times New Roman" w:cs="Times New Roman"/>
          <w:snapToGrid w:val="0"/>
        </w:rPr>
        <w:t>gar aparatpenegakhukummemberikansanksihukuman yang beratterhadappelakutindakpidanaperusakanfasilitasumumsehinggatidakmengulangiperbuatannyalagidan orang-orang yang akanmelakukanperbuatantersebutmenjaditakutberbuatperusakanfasilitasumum. Diharapkanmajelis hakim dalammemutuskansuatuperkarahendaknyamemperhatikansecaracermataturanperu</w:t>
      </w:r>
      <w:r w:rsidRPr="002B77DD">
        <w:rPr>
          <w:rFonts w:ascii="Times New Roman" w:hAnsi="Times New Roman" w:cs="Times New Roman"/>
          <w:snapToGrid w:val="0"/>
        </w:rPr>
        <w:lastRenderedPageBreak/>
        <w:t>ndang-undangan yang berlakusehinggadalammemutuskansuatuputusandapatmemberikanputusan yang sesuaidenganfaktadanbukti-buktidipersidangan</w:t>
      </w:r>
    </w:p>
    <w:p w:rsidR="00822ECC" w:rsidRPr="002B77DD" w:rsidRDefault="00822ECC" w:rsidP="00822ECC">
      <w:pPr>
        <w:pStyle w:val="Default"/>
        <w:widowControl w:val="0"/>
        <w:ind w:firstLine="720"/>
        <w:jc w:val="both"/>
        <w:rPr>
          <w:rFonts w:ascii="Times New Roman" w:hAnsi="Times New Roman" w:cs="Times New Roman"/>
        </w:rPr>
      </w:pPr>
    </w:p>
    <w:p w:rsidR="00822ECC" w:rsidRPr="002B77DD" w:rsidRDefault="00822ECC" w:rsidP="00822ECC">
      <w:pPr>
        <w:pStyle w:val="BodyText3"/>
        <w:jc w:val="both"/>
        <w:rPr>
          <w:b/>
          <w:sz w:val="24"/>
          <w:szCs w:val="24"/>
        </w:rPr>
      </w:pPr>
      <w:r w:rsidRPr="002B77DD">
        <w:rPr>
          <w:b/>
          <w:bCs/>
          <w:sz w:val="24"/>
          <w:szCs w:val="24"/>
        </w:rPr>
        <w:t xml:space="preserve">Kata Kunci: </w:t>
      </w:r>
      <w:r w:rsidRPr="002B77DD">
        <w:rPr>
          <w:b/>
          <w:sz w:val="24"/>
          <w:szCs w:val="24"/>
        </w:rPr>
        <w:t>Penegakan Hukum, Perusakan,  Fasilitas Umum.</w:t>
      </w:r>
    </w:p>
    <w:p w:rsidR="00822ECC" w:rsidRPr="002B77DD" w:rsidRDefault="00822ECC" w:rsidP="00822ECC">
      <w:pPr>
        <w:pStyle w:val="BodyText3"/>
        <w:spacing w:after="0"/>
        <w:jc w:val="center"/>
        <w:rPr>
          <w:b/>
          <w:i/>
          <w:sz w:val="24"/>
          <w:szCs w:val="24"/>
        </w:rPr>
      </w:pPr>
      <w:r w:rsidRPr="002B77DD">
        <w:rPr>
          <w:b/>
          <w:i/>
          <w:sz w:val="24"/>
          <w:szCs w:val="24"/>
        </w:rPr>
        <w:t>ABSTRACT</w:t>
      </w:r>
    </w:p>
    <w:p w:rsidR="00822ECC" w:rsidRPr="002B77DD" w:rsidRDefault="00822ECC" w:rsidP="00822ECC">
      <w:pPr>
        <w:pStyle w:val="BodyText3"/>
        <w:spacing w:after="0"/>
        <w:jc w:val="center"/>
        <w:rPr>
          <w:b/>
          <w:i/>
          <w:sz w:val="24"/>
          <w:szCs w:val="24"/>
        </w:rPr>
      </w:pPr>
    </w:p>
    <w:p w:rsidR="00822ECC" w:rsidRPr="002B77DD" w:rsidRDefault="00822ECC" w:rsidP="00822ECC">
      <w:pPr>
        <w:pStyle w:val="BodyText3"/>
        <w:spacing w:after="0"/>
        <w:jc w:val="center"/>
        <w:rPr>
          <w:b/>
          <w:i/>
          <w:sz w:val="24"/>
          <w:szCs w:val="24"/>
        </w:rPr>
      </w:pPr>
      <w:r w:rsidRPr="002B77DD">
        <w:rPr>
          <w:b/>
          <w:i/>
          <w:sz w:val="24"/>
          <w:szCs w:val="24"/>
        </w:rPr>
        <w:t>CRIMINAL RESPONSIBILITY OF PERPETRATORS OF PUBLIC FACILITY DESTRUCTION</w:t>
      </w:r>
    </w:p>
    <w:p w:rsidR="00822ECC" w:rsidRPr="002B77DD" w:rsidRDefault="00822ECC" w:rsidP="00822ECC">
      <w:pPr>
        <w:pStyle w:val="BodyText3"/>
        <w:spacing w:after="0"/>
        <w:jc w:val="center"/>
        <w:rPr>
          <w:b/>
          <w:i/>
          <w:sz w:val="24"/>
          <w:szCs w:val="24"/>
        </w:rPr>
      </w:pPr>
      <w:r w:rsidRPr="002B77DD">
        <w:rPr>
          <w:b/>
          <w:i/>
          <w:sz w:val="24"/>
          <w:szCs w:val="24"/>
        </w:rPr>
        <w:t>(Analysis of Court Decision Number 620/Pid.B/2022/PN.Kisaran)</w:t>
      </w:r>
    </w:p>
    <w:p w:rsidR="00822ECC" w:rsidRPr="002B77DD" w:rsidRDefault="00822ECC" w:rsidP="00822ECC">
      <w:pPr>
        <w:pStyle w:val="BodyText3"/>
        <w:spacing w:after="0"/>
        <w:jc w:val="center"/>
        <w:rPr>
          <w:b/>
          <w:i/>
          <w:sz w:val="24"/>
          <w:szCs w:val="24"/>
        </w:rPr>
      </w:pPr>
    </w:p>
    <w:p w:rsidR="00822ECC" w:rsidRPr="002B77DD" w:rsidRDefault="00822ECC" w:rsidP="00822ECC">
      <w:pPr>
        <w:jc w:val="center"/>
        <w:rPr>
          <w:b/>
        </w:rPr>
      </w:pPr>
      <w:r w:rsidRPr="002B77DD">
        <w:rPr>
          <w:b/>
        </w:rPr>
        <w:t>Prayogi</w:t>
      </w:r>
    </w:p>
    <w:p w:rsidR="00822ECC" w:rsidRPr="002B77DD" w:rsidRDefault="00822ECC" w:rsidP="00822ECC">
      <w:pPr>
        <w:jc w:val="center"/>
        <w:rPr>
          <w:b/>
          <w:u w:val="single"/>
          <w:lang w:val="en-US"/>
        </w:rPr>
      </w:pPr>
      <w:r w:rsidRPr="002B77DD">
        <w:rPr>
          <w:b/>
          <w:u w:val="single"/>
          <w:lang w:val="en-US"/>
        </w:rPr>
        <w:t>(</w:t>
      </w:r>
      <w:r w:rsidRPr="002B77DD">
        <w:rPr>
          <w:b/>
          <w:lang w:eastAsia="zh-CN"/>
        </w:rPr>
        <w:t>235114</w:t>
      </w:r>
      <w:r w:rsidRPr="002B77DD">
        <w:rPr>
          <w:b/>
          <w:lang w:val="en-US" w:eastAsia="zh-CN"/>
        </w:rPr>
        <w:t>115)</w:t>
      </w:r>
    </w:p>
    <w:p w:rsidR="00822ECC" w:rsidRPr="002B77DD" w:rsidRDefault="00822ECC" w:rsidP="00822ECC">
      <w:pPr>
        <w:pStyle w:val="BodyText3"/>
        <w:jc w:val="both"/>
        <w:rPr>
          <w:b/>
          <w:sz w:val="24"/>
          <w:szCs w:val="24"/>
        </w:rPr>
      </w:pPr>
    </w:p>
    <w:p w:rsidR="00822ECC" w:rsidRPr="002B77DD" w:rsidRDefault="00822ECC" w:rsidP="00822ECC">
      <w:pPr>
        <w:pStyle w:val="BodyText3"/>
        <w:spacing w:after="0"/>
        <w:ind w:firstLine="709"/>
        <w:jc w:val="both"/>
        <w:rPr>
          <w:i/>
          <w:sz w:val="24"/>
          <w:szCs w:val="24"/>
        </w:rPr>
      </w:pPr>
      <w:r w:rsidRPr="002B77DD">
        <w:rPr>
          <w:i/>
          <w:sz w:val="24"/>
          <w:szCs w:val="24"/>
        </w:rPr>
        <w:t>The purpose of the study is to determine the background that caused the destruction of public facilities in Court Decision Number 620/Pid.B/2022/PN.Kisaran, to determine the criminal liability of perpetrators of destruction of public facilities, to determine the considerations of the Kisaran District Court judge in deciding the case of destruction of public facilities in Court Decision Number 620/Pid.B/2022/PN.Kisaran</w:t>
      </w:r>
    </w:p>
    <w:p w:rsidR="00822ECC" w:rsidRPr="002B77DD" w:rsidRDefault="00822ECC" w:rsidP="00822ECC">
      <w:pPr>
        <w:pStyle w:val="BodyText3"/>
        <w:spacing w:after="0"/>
        <w:ind w:firstLine="709"/>
        <w:jc w:val="both"/>
        <w:rPr>
          <w:i/>
          <w:sz w:val="24"/>
          <w:szCs w:val="24"/>
        </w:rPr>
      </w:pPr>
      <w:r w:rsidRPr="002B77DD">
        <w:rPr>
          <w:i/>
          <w:sz w:val="24"/>
          <w:szCs w:val="24"/>
        </w:rPr>
        <w:t xml:space="preserve">The results of the study are that the background that caused the destruction of public facilities was that the defendant wanted to increase his income as a toilet guard and if the toilet remained in front of the defendant, he felt annoyed because the defendant's income was reduced. So that the defendant's income is sufficient from guarding public toilets, because if in front of residents or buyers or traders do not want to pay or do not want to urinate or defecate in the toilet that the defendant damaged. Criminal liability for prisoners who damage public facilities is that the defendant is sentenced to 9 (nine) months in prison each because the elements of Article 107 paragraph (1) of the Criminal Code have been fulfilled so that the defendant has been proven legally and convincingly guilty of committing a crime of damaging public facilities, so that as a result of his actions, the Manpower, Industry and Trade Service of Batu Bara Regency suffered a loss of around IDR 5,000,000.00 (five million rupiah). The judge's considerations in passing a verdict on the crime of destroying public facilities in Court Decision Number 620/Pid.B/2022/PN Kis are that the Panel of Judges has considerations starting from the demands of the Public Prosecutor, the fulfillment of elements in accordance with the articles charged and there are no justifications and excuses, so that they are found guilty, as well as aggravating and mitigating factors. The consideration of the Panel of Judges who have decided this case is that the mitigating factor is that the defendant behaved politely in court, admitted and regretted his actions and promised not to repeat the unlawful act in the future, while the aggravating factor is that the defendant has been convicted. The suggestion submitted is that law enforcement officers provide severe penalties for perpetrators of criminal acts of destruction of public facilities so that they do not repeat their actions and people who will commit such acts are afraid to destroy public facilities. It is hoped that the panel of judges in deciding a case should pay </w:t>
      </w:r>
      <w:r w:rsidRPr="002B77DD">
        <w:rPr>
          <w:i/>
          <w:sz w:val="24"/>
          <w:szCs w:val="24"/>
        </w:rPr>
        <w:lastRenderedPageBreak/>
        <w:t>close attention to the applicable laws and regulations so that in deciding a decision they can provide a decision that is in accordance with the facts and evidence in court.</w:t>
      </w:r>
    </w:p>
    <w:p w:rsidR="00822ECC" w:rsidRPr="002B77DD" w:rsidRDefault="00822ECC" w:rsidP="00822ECC">
      <w:pPr>
        <w:pStyle w:val="BodyText3"/>
        <w:spacing w:after="0"/>
        <w:jc w:val="both"/>
        <w:rPr>
          <w:b/>
          <w:sz w:val="24"/>
          <w:szCs w:val="24"/>
        </w:rPr>
      </w:pPr>
    </w:p>
    <w:p w:rsidR="00822ECC" w:rsidRPr="002B77DD" w:rsidRDefault="00822ECC" w:rsidP="00822ECC">
      <w:pPr>
        <w:pStyle w:val="BodyText3"/>
        <w:jc w:val="both"/>
        <w:rPr>
          <w:b/>
          <w:i/>
          <w:sz w:val="24"/>
          <w:szCs w:val="24"/>
        </w:rPr>
      </w:pPr>
      <w:r w:rsidRPr="002B77DD">
        <w:rPr>
          <w:b/>
          <w:i/>
          <w:sz w:val="24"/>
          <w:szCs w:val="24"/>
        </w:rPr>
        <w:t>Keywords: Law Enforcement, Destruction, Public Facilities</w:t>
      </w:r>
    </w:p>
    <w:p w:rsidR="001625C8" w:rsidRPr="00822ECC" w:rsidRDefault="001625C8" w:rsidP="00822ECC">
      <w:bookmarkStart w:id="0" w:name="_GoBack"/>
      <w:bookmarkEnd w:id="0"/>
    </w:p>
    <w:sectPr w:rsidR="001625C8" w:rsidRPr="00822ECC" w:rsidSect="002653F4">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5B5" w:rsidRDefault="004175B5" w:rsidP="00FD7A9F">
      <w:r>
        <w:separator/>
      </w:r>
    </w:p>
  </w:endnote>
  <w:endnote w:type="continuationSeparator" w:id="1">
    <w:p w:rsidR="004175B5" w:rsidRDefault="004175B5" w:rsidP="00FD7A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1E" w:rsidRDefault="004327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4175B5">
    <w:pPr>
      <w:pStyle w:val="Footer"/>
      <w:jc w:val="center"/>
    </w:pPr>
  </w:p>
  <w:p w:rsidR="000170FD" w:rsidRDefault="004175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1E" w:rsidRDefault="00432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5B5" w:rsidRDefault="004175B5" w:rsidP="00FD7A9F">
      <w:r>
        <w:separator/>
      </w:r>
    </w:p>
  </w:footnote>
  <w:footnote w:type="continuationSeparator" w:id="1">
    <w:p w:rsidR="004175B5" w:rsidRDefault="004175B5" w:rsidP="00FD7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1E" w:rsidRDefault="004327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43271E">
    <w:pPr>
      <w:pStyle w:val="Header"/>
      <w:jc w:val="right"/>
    </w:pPr>
    <w:r>
      <w:t>PUBLISH: 20/11/2025 15:23:32</w:t>
    </w:r>
  </w:p>
  <w:p w:rsidR="000170FD" w:rsidRPr="007E1322" w:rsidRDefault="00822ECC" w:rsidP="007B7479">
    <w:pPr>
      <w:tabs>
        <w:tab w:val="left" w:pos="2700"/>
        <w:tab w:val="center" w:pos="4308"/>
      </w:tabs>
      <w:spacing w:line="360" w:lineRule="auto"/>
      <w:ind w:right="-680"/>
      <w:rPr>
        <w:b/>
        <w:color w:val="00B050"/>
        <w:sz w:val="28"/>
      </w:rPr>
    </w:pPr>
    <w:r>
      <w:rPr>
        <w:b/>
        <w:color w:val="00B050"/>
      </w:rPr>
      <w:tab/>
    </w:r>
    <w:r>
      <w:rPr>
        <w:b/>
        <w:color w:val="00B050"/>
      </w:rPr>
      <w:tab/>
    </w:r>
  </w:p>
  <w:p w:rsidR="000170FD" w:rsidRDefault="00822ECC">
    <w:pPr>
      <w:pStyle w:val="Header"/>
    </w:pPr>
    <w:r>
      <w:rPr>
        <w:lang w:eastAsia="id-ID"/>
      </w:rPr>
      <w:drawing>
        <wp:anchor distT="0" distB="0" distL="114300" distR="114300" simplePos="0" relativeHeight="251661312" behindDoc="1" locked="0" layoutInCell="1" allowOverlap="1">
          <wp:simplePos x="0" y="0"/>
          <wp:positionH relativeFrom="column">
            <wp:posOffset>18415</wp:posOffset>
          </wp:positionH>
          <wp:positionV relativeFrom="paragraph">
            <wp:posOffset>2157730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1E" w:rsidRDefault="004327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PWlpk2DXOrHlTglT8KvtVJN8Wrc=" w:salt="8T/lwsOUDN89ADI7mU8XHA=="/>
  <w:defaultTabStop w:val="720"/>
  <w:characterSpacingControl w:val="doNotCompress"/>
  <w:footnotePr>
    <w:footnote w:id="0"/>
    <w:footnote w:id="1"/>
  </w:footnotePr>
  <w:endnotePr>
    <w:endnote w:id="0"/>
    <w:endnote w:id="1"/>
  </w:endnotePr>
  <w:compat/>
  <w:rsids>
    <w:rsidRoot w:val="002653F4"/>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53F4"/>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175B5"/>
    <w:rsid w:val="0042470D"/>
    <w:rsid w:val="0043271E"/>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22ECC"/>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 w:val="00FD7A9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eastAsia="x-none"/>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eastAsia="x-none"/>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2025-11-20T08:24:00Z</dcterms:created>
  <dcterms:modified xsi:type="dcterms:W3CDTF">2025-11-20T08:24:00Z</dcterms:modified>
</cp:coreProperties>
</file>