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8C" w:rsidRPr="00305172" w:rsidRDefault="00EE038C" w:rsidP="00EE038C">
      <w:pPr>
        <w:spacing w:line="480" w:lineRule="auto"/>
        <w:jc w:val="center"/>
        <w:rPr>
          <w:b/>
        </w:rPr>
      </w:pPr>
      <w:r w:rsidRPr="00305172">
        <w:rPr>
          <w:b/>
        </w:rPr>
        <w:t>BAB IV</w:t>
      </w:r>
    </w:p>
    <w:p w:rsidR="00EE038C" w:rsidRPr="00305172" w:rsidRDefault="00EE038C" w:rsidP="00EE038C">
      <w:pPr>
        <w:spacing w:line="480" w:lineRule="auto"/>
        <w:jc w:val="center"/>
        <w:rPr>
          <w:b/>
          <w:lang w:val="id-ID"/>
        </w:rPr>
      </w:pPr>
      <w:r w:rsidRPr="00305172">
        <w:rPr>
          <w:b/>
        </w:rPr>
        <w:t>HASIL PENELITIAN DAN PEMBAHASAN</w:t>
      </w:r>
    </w:p>
    <w:p w:rsidR="00EE038C" w:rsidRPr="00305172" w:rsidRDefault="00EE038C" w:rsidP="00EE038C">
      <w:pPr>
        <w:jc w:val="center"/>
        <w:rPr>
          <w:b/>
          <w:lang w:val="id-ID"/>
        </w:rPr>
      </w:pPr>
    </w:p>
    <w:p w:rsidR="00EE038C" w:rsidRPr="00305172" w:rsidRDefault="00EE038C" w:rsidP="0020090D">
      <w:pPr>
        <w:numPr>
          <w:ilvl w:val="0"/>
          <w:numId w:val="6"/>
        </w:numPr>
        <w:spacing w:line="480" w:lineRule="auto"/>
        <w:ind w:left="360"/>
        <w:jc w:val="both"/>
      </w:pPr>
      <w:r w:rsidRPr="00305172">
        <w:rPr>
          <w:b/>
        </w:rPr>
        <w:t>Kriteria Hukum Pemboncengan Reputasi Sebagai Suatu Perbuatan Pelanggaran Terhadap Merek</w:t>
      </w:r>
      <w:r w:rsidRPr="00305172">
        <w:t xml:space="preserve"> </w:t>
      </w:r>
    </w:p>
    <w:p w:rsidR="00EE038C" w:rsidRPr="00305172" w:rsidRDefault="00EE038C" w:rsidP="00EE038C">
      <w:pPr>
        <w:spacing w:line="480" w:lineRule="auto"/>
        <w:ind w:firstLine="709"/>
        <w:jc w:val="both"/>
      </w:pPr>
      <w:r w:rsidRPr="00305172">
        <w:t xml:space="preserve">Perbuatan pemboncengan reputasi tidak diatur secara tegas dan khusus baik dalam UU Merek Tahun 2001 maupun </w:t>
      </w:r>
      <w:r w:rsidRPr="00305172">
        <w:rPr>
          <w:bCs/>
        </w:rPr>
        <w:t xml:space="preserve">UU Merek dan Indikasi Geografis </w:t>
      </w:r>
      <w:r w:rsidRPr="00305172">
        <w:t xml:space="preserve">yang berlaku di Indonesia sekarang ini. Perbuatan pemboncengan reputasi dalam </w:t>
      </w:r>
      <w:r w:rsidRPr="00305172">
        <w:rPr>
          <w:bCs/>
        </w:rPr>
        <w:t>UU Merek dan Indikasi Geografis</w:t>
      </w:r>
      <w:r w:rsidRPr="00305172">
        <w:t xml:space="preserve"> digolongkan sebagai pelanggaran merek yang merupakan perbuatan pendaftaran merek oleh pihak lain yang memiliki persamaan pada pokoknya atau persamaan secara keseluruhan yang dilakukan dengan itikad buruk oleh pihak lain tersebut dengan tukuan mengambil keuntungan pribadi yang sebesar-besarnya dengan merugikan pemegang merek yang ditirunya tersebut.</w:t>
      </w:r>
      <w:r w:rsidRPr="00305172">
        <w:rPr>
          <w:rStyle w:val="FootnoteReference"/>
        </w:rPr>
        <w:footnoteReference w:id="2"/>
      </w:r>
    </w:p>
    <w:p w:rsidR="00EE038C" w:rsidRPr="00305172" w:rsidRDefault="00EE038C" w:rsidP="00EE038C">
      <w:pPr>
        <w:autoSpaceDE w:val="0"/>
        <w:autoSpaceDN w:val="0"/>
        <w:adjustRightInd w:val="0"/>
        <w:spacing w:line="480" w:lineRule="auto"/>
        <w:ind w:firstLine="709"/>
        <w:jc w:val="both"/>
      </w:pPr>
      <w:r w:rsidRPr="00305172">
        <w:t xml:space="preserve">Penjelasan Pasal 21 ayat (1) huruf a </w:t>
      </w:r>
      <w:r w:rsidRPr="00305172">
        <w:rPr>
          <w:bCs/>
        </w:rPr>
        <w:t>UU Merek dan Indikasi Geografis</w:t>
      </w:r>
      <w:r w:rsidRPr="00305172">
        <w:t xml:space="preserve"> yang mengatur tentang penolakan terhadap pendaftaran suatu merek yang disebutkan yaitu, "Penolakan permohonan pendaftaran merek terhadap merek yang mempunyai persamaan pada pokoknya atau persamaan secara keseluruhan dengan merek terdaftar milik pihak lain atau dimohonkan lebih dahulu oleh pihak lain untuk barang dan/atau jasa sejenis”. </w:t>
      </w:r>
    </w:p>
    <w:p w:rsidR="00EE038C" w:rsidRPr="00305172" w:rsidRDefault="00EE038C" w:rsidP="00EE038C">
      <w:pPr>
        <w:autoSpaceDE w:val="0"/>
        <w:autoSpaceDN w:val="0"/>
        <w:adjustRightInd w:val="0"/>
        <w:spacing w:line="480" w:lineRule="auto"/>
        <w:ind w:firstLine="709"/>
        <w:jc w:val="both"/>
      </w:pPr>
      <w:r w:rsidRPr="00305172">
        <w:t xml:space="preserve">Ketentuan Pasal 21 ayat (1) huruf b </w:t>
      </w:r>
      <w:r w:rsidRPr="00305172">
        <w:rPr>
          <w:bCs/>
        </w:rPr>
        <w:t>UU Merek dan Indikasi Geografis</w:t>
      </w:r>
      <w:r w:rsidRPr="00305172">
        <w:t xml:space="preserve"> juga mengatur tentang “Penolakan permohonan pendaftaran merek yang mempunyai persamaan pada pokoknya atau keseluruhannya dengan merek terkenal pihak lain </w:t>
      </w:r>
      <w:r w:rsidRPr="00305172">
        <w:lastRenderedPageBreak/>
        <w:t>untuk barang dan atau jasa sejenis”. Pasal 21</w:t>
      </w:r>
      <w:r w:rsidRPr="00305172">
        <w:rPr>
          <w:lang w:val="id-ID"/>
        </w:rPr>
        <w:t xml:space="preserve"> </w:t>
      </w:r>
      <w:r w:rsidRPr="00305172">
        <w:t xml:space="preserve">ayat (1) huruf c </w:t>
      </w:r>
      <w:r w:rsidRPr="00305172">
        <w:rPr>
          <w:bCs/>
        </w:rPr>
        <w:t>UU Merek dan Indikasi Geografis</w:t>
      </w:r>
      <w:r w:rsidRPr="00305172">
        <w:t xml:space="preserve"> mengatur tentang penolakan permohonan pendaftaran merek yang mempunyai persamaan pada pokoknya atau keseluruhan dengan merek terkenal milik pihak lain untuk barang dan/atau jasa tidak sejenis yang memenuhi persyaratan tertentu. Pengadilan Niaga dapat memerintahkan lembaga yang bersifat mandiri untuk melakukan survei guna memperoleh kesimpulan mengenai terkenal atau tidaknya merek yang menjadi dasar penolakan tersebut.</w:t>
      </w:r>
    </w:p>
    <w:p w:rsidR="00EE038C" w:rsidRPr="00305172" w:rsidRDefault="00EE038C" w:rsidP="00EE038C">
      <w:pPr>
        <w:autoSpaceDE w:val="0"/>
        <w:autoSpaceDN w:val="0"/>
        <w:adjustRightInd w:val="0"/>
        <w:spacing w:line="480" w:lineRule="auto"/>
        <w:ind w:firstLine="709"/>
        <w:jc w:val="both"/>
      </w:pPr>
      <w:r w:rsidRPr="00305172">
        <w:t>Reputasi atau itikad baik dalam dunia bisnis dipandang sebagai kunci sukses atau kegagalan dari sebuah perusahaan. Banyak pelaku usaha berjuang untuk mendapatkan dan menjaga reputasi mereka dengan mempertahankan kualitas produk dan memberikan jasa kelas satu kepada para konsumen. Pelaku usaha dengan sengaja memasang iklan untuk membangun reputasi produk maupun untuk mengenalkan produk baru di pasaran dan mempertahankan reputasi produk yang sudah ada sebelumnya.</w:t>
      </w:r>
      <w:r w:rsidRPr="00305172">
        <w:rPr>
          <w:rStyle w:val="FootnoteReference"/>
        </w:rPr>
        <w:footnoteReference w:id="3"/>
      </w:r>
    </w:p>
    <w:p w:rsidR="00EE038C" w:rsidRPr="00305172" w:rsidRDefault="00EE038C" w:rsidP="00EE038C">
      <w:pPr>
        <w:autoSpaceDE w:val="0"/>
        <w:autoSpaceDN w:val="0"/>
        <w:adjustRightInd w:val="0"/>
        <w:spacing w:line="480" w:lineRule="auto"/>
        <w:ind w:firstLine="709"/>
        <w:jc w:val="both"/>
        <w:rPr>
          <w:lang w:val="id-ID"/>
        </w:rPr>
      </w:pPr>
      <w:r w:rsidRPr="00305172">
        <w:t xml:space="preserve">Merek sangat penting dalam dunia usaha, periklanan dan pemasaran karena publik sering mengaitkan suatu </w:t>
      </w:r>
      <w:r w:rsidRPr="00305172">
        <w:rPr>
          <w:i/>
          <w:iCs/>
        </w:rPr>
        <w:t xml:space="preserve">image </w:t>
      </w:r>
      <w:r w:rsidRPr="00305172">
        <w:t>positif terhadap kualitas atau reputasi barang dan jasa dengan merek tertentu, Sebuah merek dapat menjadi kekayaan yang sangat berharga secara komersial.</w:t>
      </w:r>
      <w:r w:rsidRPr="00305172">
        <w:rPr>
          <w:lang w:val="id-ID"/>
        </w:rPr>
        <w:t xml:space="preserve"> </w:t>
      </w:r>
      <w:r w:rsidRPr="00305172">
        <w:t xml:space="preserve">Pemboncengan reputasi melindungi pemilik reputasi merek dari pihak-pihak yang akan membonceng keberhasilan mereka, sehingga para pembonceng tidak dapat lagi menggunakan merek, kemasan, atau indikasi lain yang bisa mendorong konsumen yakin bahwa produk yang di jual mereka dibuat oleh orang lain. Secara harfiah pemboncengan </w:t>
      </w:r>
      <w:r w:rsidRPr="00305172">
        <w:lastRenderedPageBreak/>
        <w:t>reputasi berarti menipu, menghilang sehingga pemboncengan reputasi berarti penipuan, penghilangan</w:t>
      </w:r>
      <w:r w:rsidRPr="00305172">
        <w:rPr>
          <w:lang w:val="id-ID"/>
        </w:rPr>
        <w:t xml:space="preserve">. </w:t>
      </w:r>
      <w:r w:rsidRPr="00305172">
        <w:t>Berkaitan</w:t>
      </w:r>
      <w:r w:rsidRPr="00305172">
        <w:rPr>
          <w:lang w:val="id-ID"/>
        </w:rPr>
        <w:t xml:space="preserve"> </w:t>
      </w:r>
      <w:r w:rsidRPr="00305172">
        <w:t>dengan merek, pemboncengan reputasi</w:t>
      </w:r>
      <w:r w:rsidRPr="00305172">
        <w:rPr>
          <w:i/>
          <w:iCs/>
        </w:rPr>
        <w:t xml:space="preserve"> </w:t>
      </w:r>
      <w:r w:rsidRPr="00305172">
        <w:t xml:space="preserve">sebagai pranata yang dikenal dalam negara-negara </w:t>
      </w:r>
      <w:r w:rsidRPr="00305172">
        <w:rPr>
          <w:i/>
          <w:iCs/>
        </w:rPr>
        <w:t xml:space="preserve">civil law </w:t>
      </w:r>
      <w:r w:rsidRPr="00305172">
        <w:t>sering diartikan sebagai tindakan pemboncengan reputasi suatu merek untuk mendapatkan keuntungan yang sebesar-besarnya bagi pihak yang melakukan perbuatan tersebut.</w:t>
      </w:r>
      <w:r w:rsidRPr="00305172">
        <w:rPr>
          <w:lang w:val="id-ID"/>
        </w:rPr>
        <w:t xml:space="preserve"> </w:t>
      </w:r>
    </w:p>
    <w:p w:rsidR="00EE038C" w:rsidRPr="00305172" w:rsidRDefault="00EE038C" w:rsidP="00EE038C">
      <w:pPr>
        <w:autoSpaceDE w:val="0"/>
        <w:autoSpaceDN w:val="0"/>
        <w:adjustRightInd w:val="0"/>
        <w:spacing w:line="480" w:lineRule="auto"/>
        <w:ind w:firstLine="709"/>
        <w:jc w:val="both"/>
        <w:rPr>
          <w:lang w:val="id-ID"/>
        </w:rPr>
      </w:pPr>
      <w:r w:rsidRPr="00305172">
        <w:t>Pelanggaran terhadap merek dilakukan dengan memasang merek, logo, dan bahan persis menyerupai dengan merek asli yang sudah dikenal oleh masyarakat terlebih dahulu. Penggunaan merek yang mirip dengan merek lain yang sudah terdaftar serta penggunaan merek yang sama dan atau mirip dengan merek lain yang sudah lebih dulu dikenal di masyarakat, sehingga menimbulkan kesalahan persepsi di benak masyarakat sudah merupakan salah satu kriteria hukum perbuatan pemboncengan reputasi.</w:t>
      </w:r>
    </w:p>
    <w:p w:rsidR="00EE038C" w:rsidRPr="00305172" w:rsidRDefault="00EE038C" w:rsidP="00EE038C">
      <w:pPr>
        <w:autoSpaceDE w:val="0"/>
        <w:autoSpaceDN w:val="0"/>
        <w:adjustRightInd w:val="0"/>
        <w:spacing w:line="480" w:lineRule="auto"/>
        <w:ind w:firstLine="709"/>
        <w:jc w:val="both"/>
      </w:pPr>
      <w:r w:rsidRPr="00305172">
        <w:t xml:space="preserve">Salah satu contoh kasus pemboncengan reputasi adalah kasus merek </w:t>
      </w:r>
      <w:r w:rsidRPr="00305172">
        <w:rPr>
          <w:lang w:val="id-ID"/>
        </w:rPr>
        <w:t>Stabilizer</w:t>
      </w:r>
      <w:r w:rsidRPr="00305172">
        <w:t xml:space="preserve"> milik </w:t>
      </w:r>
      <w:r w:rsidRPr="00305172">
        <w:rPr>
          <w:lang w:val="id-ID"/>
        </w:rPr>
        <w:t>Penggugat</w:t>
      </w:r>
      <w:r w:rsidRPr="00305172">
        <w:t xml:space="preserve"> </w:t>
      </w:r>
      <w:r w:rsidRPr="00305172">
        <w:rPr>
          <w:lang w:val="id-ID"/>
        </w:rPr>
        <w:t>(</w:t>
      </w:r>
      <w:r w:rsidRPr="00305172">
        <w:rPr>
          <w:i/>
          <w:lang w:val="id-ID"/>
        </w:rPr>
        <w:t>Matsunaga Manufacturing</w:t>
      </w:r>
      <w:r w:rsidRPr="00305172">
        <w:rPr>
          <w:lang w:val="id-ID"/>
        </w:rPr>
        <w:t xml:space="preserve"> CO., LTD.,</w:t>
      </w:r>
      <w:r w:rsidRPr="00305172">
        <w:rPr>
          <w:bCs/>
        </w:rPr>
        <w:t>)</w:t>
      </w:r>
      <w:r w:rsidRPr="00305172">
        <w:t xml:space="preserve"> ternyata serupa dengan </w:t>
      </w:r>
      <w:r w:rsidRPr="00305172">
        <w:rPr>
          <w:lang w:val="id-ID"/>
        </w:rPr>
        <w:t>merek Stabilizer milik</w:t>
      </w:r>
      <w:r w:rsidRPr="00305172">
        <w:t xml:space="preserve"> </w:t>
      </w:r>
      <w:r w:rsidRPr="00305172">
        <w:rPr>
          <w:lang w:val="id-ID"/>
        </w:rPr>
        <w:t>tergugat</w:t>
      </w:r>
      <w:r w:rsidRPr="00305172">
        <w:t xml:space="preserve"> (</w:t>
      </w:r>
      <w:r w:rsidRPr="00305172">
        <w:rPr>
          <w:bCs/>
          <w:lang w:val="id-ID"/>
        </w:rPr>
        <w:t>Lie Senihian</w:t>
      </w:r>
      <w:r w:rsidRPr="00305172">
        <w:rPr>
          <w:bCs/>
        </w:rPr>
        <w:t>)</w:t>
      </w:r>
      <w:r w:rsidRPr="00305172">
        <w:t>.</w:t>
      </w:r>
      <w:r w:rsidRPr="00305172">
        <w:rPr>
          <w:lang w:val="id-ID"/>
        </w:rPr>
        <w:t xml:space="preserve"> </w:t>
      </w:r>
      <w:r w:rsidRPr="00305172">
        <w:rPr>
          <w:i/>
          <w:lang w:val="id-ID"/>
        </w:rPr>
        <w:t>Matsunaga Manufacturing</w:t>
      </w:r>
      <w:r w:rsidRPr="00305172">
        <w:rPr>
          <w:lang w:val="id-ID"/>
        </w:rPr>
        <w:t xml:space="preserve"> CO., LTD.,</w:t>
      </w:r>
      <w:r w:rsidRPr="00305172">
        <w:rPr>
          <w:bCs/>
          <w:lang w:val="id-ID"/>
        </w:rPr>
        <w:t xml:space="preserve"> </w:t>
      </w:r>
      <w:r w:rsidRPr="00305172">
        <w:t>merasa pesaingnya melakukan tindakan mendompleng reputasinya dengan cara membuat mereknya mirip/menyerupai merek milik penggugat. Inilah tujuan dari para pelaku pemboncengan reputasi yaitu menyesatkan konsumen/masyarakat pengguna merek yang sudah terkenal tersebut sehingga membeli produk</w:t>
      </w:r>
      <w:r w:rsidRPr="00305172">
        <w:rPr>
          <w:lang w:val="id-ID"/>
        </w:rPr>
        <w:t xml:space="preserve"> </w:t>
      </w:r>
      <w:r w:rsidRPr="00305172">
        <w:t>dengan merek yang diproduksi oleh pelaku pemboncengan reputasi</w:t>
      </w:r>
      <w:r w:rsidRPr="00305172">
        <w:rPr>
          <w:i/>
          <w:iCs/>
        </w:rPr>
        <w:t xml:space="preserve"> </w:t>
      </w:r>
      <w:r w:rsidRPr="00305172">
        <w:t>tersebut.</w:t>
      </w:r>
    </w:p>
    <w:p w:rsidR="00EE038C" w:rsidRPr="00305172" w:rsidRDefault="00EE038C" w:rsidP="00EE038C">
      <w:pPr>
        <w:autoSpaceDE w:val="0"/>
        <w:autoSpaceDN w:val="0"/>
        <w:adjustRightInd w:val="0"/>
        <w:spacing w:line="480" w:lineRule="auto"/>
        <w:ind w:firstLine="709"/>
        <w:jc w:val="both"/>
      </w:pPr>
      <w:r w:rsidRPr="00305172">
        <w:t xml:space="preserve">Apabila unsur yang diperlukan dalam melakukan aksi gugatan telah adanya pemboncengan reputasi yaitu bahwa pemilik telah mempunyai reputasi </w:t>
      </w:r>
      <w:r w:rsidRPr="00305172">
        <w:lastRenderedPageBreak/>
        <w:t>atas hal yang dibonceng oleh pihak lain dan pelaksanaan usaha tersebut telah lama berjalan, maka posisi pemilik merek terkenal memang baik, yaitu bahwa merek terkenal tersebut telah diakui kualitasnya dengan baik oleh masyarakat penggunanya, bahkan masyarakat telah secara luas menyebut merek tersebut sebagai nama umum untuk suatu produk tertentu, meskipun banyak merek lain yang memproduksi produk yang sama dengan dengan produk dari merek yang sudah dikenal luas di masyarakat tersebut.</w:t>
      </w:r>
      <w:r w:rsidRPr="00305172">
        <w:rPr>
          <w:rStyle w:val="FootnoteReference"/>
        </w:rPr>
        <w:footnoteReference w:id="4"/>
      </w:r>
    </w:p>
    <w:p w:rsidR="00EE038C" w:rsidRPr="00305172" w:rsidRDefault="00EE038C" w:rsidP="00EE038C">
      <w:pPr>
        <w:autoSpaceDE w:val="0"/>
        <w:autoSpaceDN w:val="0"/>
        <w:adjustRightInd w:val="0"/>
        <w:spacing w:line="480" w:lineRule="auto"/>
        <w:ind w:firstLine="709"/>
        <w:jc w:val="both"/>
      </w:pPr>
      <w:r w:rsidRPr="00305172">
        <w:t>Merek terkenal merupakan obyek dari pemboncengan reputasi baik yang sudah terdaftar maupun yang tidak terdaftar, karena adanya reputasi atau nama baik di dalam suatu merek terkenal dan reputasi memiliki kualitas yang tinggi dan nilai ekonomis. Karena itu merek terkenal yang harus diberikan perlindungan hukum dari perbuatan produsen pemakai merek yang tidak jujur, curang dengan membonceng reputasi merek terkenal, menampilkan seakan-akan produknya adalah produk dari merek terkenal yang diboncengnya.</w:t>
      </w:r>
    </w:p>
    <w:p w:rsidR="00EE038C" w:rsidRPr="00305172" w:rsidRDefault="00EE038C" w:rsidP="00EE038C">
      <w:pPr>
        <w:autoSpaceDE w:val="0"/>
        <w:autoSpaceDN w:val="0"/>
        <w:adjustRightInd w:val="0"/>
        <w:spacing w:line="480" w:lineRule="auto"/>
        <w:ind w:firstLine="709"/>
        <w:jc w:val="both"/>
      </w:pPr>
      <w:r w:rsidRPr="00305172">
        <w:t>Menurut Insan Budi Maulana bahwa unsur pemboncengan reputasi adalah:</w:t>
      </w:r>
    </w:p>
    <w:p w:rsidR="00EE038C" w:rsidRPr="00305172" w:rsidRDefault="00EE038C" w:rsidP="0020090D">
      <w:pPr>
        <w:numPr>
          <w:ilvl w:val="0"/>
          <w:numId w:val="10"/>
        </w:numPr>
        <w:tabs>
          <w:tab w:val="left" w:pos="1134"/>
        </w:tabs>
        <w:autoSpaceDE w:val="0"/>
        <w:autoSpaceDN w:val="0"/>
        <w:adjustRightInd w:val="0"/>
        <w:ind w:left="1134" w:hanging="426"/>
        <w:jc w:val="both"/>
      </w:pPr>
      <w:r w:rsidRPr="00305172">
        <w:t>Pemboncengan reputasi</w:t>
      </w:r>
      <w:r w:rsidRPr="00305172">
        <w:rPr>
          <w:i/>
          <w:iCs/>
        </w:rPr>
        <w:t xml:space="preserve"> </w:t>
      </w:r>
      <w:r w:rsidRPr="00305172">
        <w:t xml:space="preserve">merupakan </w:t>
      </w:r>
      <w:r w:rsidRPr="00305172">
        <w:rPr>
          <w:i/>
          <w:iCs/>
        </w:rPr>
        <w:t xml:space="preserve">tort </w:t>
      </w:r>
      <w:r w:rsidRPr="00305172">
        <w:t>(yang sering kali disandingkan dengan perbuatan melawan hukum pada Pasal 1365 KUHPerdata).</w:t>
      </w:r>
    </w:p>
    <w:p w:rsidR="00EE038C" w:rsidRPr="00305172" w:rsidRDefault="00EE038C" w:rsidP="0020090D">
      <w:pPr>
        <w:numPr>
          <w:ilvl w:val="0"/>
          <w:numId w:val="10"/>
        </w:numPr>
        <w:tabs>
          <w:tab w:val="left" w:pos="1134"/>
        </w:tabs>
        <w:autoSpaceDE w:val="0"/>
        <w:autoSpaceDN w:val="0"/>
        <w:adjustRightInd w:val="0"/>
        <w:ind w:left="1134" w:hanging="426"/>
        <w:jc w:val="both"/>
      </w:pPr>
      <w:r w:rsidRPr="00305172">
        <w:t>Pemboncengan reputasi merupakan perbuatan melawsn hukum yang dilakukan pemilik merek yang belum terkenal untuk mengelabui masyarakat pengguna merek dengan tujuan mengambil keuntungan yang sebesar-besarnya dengan merugikan kepentingan ekonomi pemegang merek yang sudah terkenal tersebut.</w:t>
      </w:r>
      <w:r w:rsidRPr="00305172">
        <w:rPr>
          <w:rStyle w:val="FootnoteReference"/>
        </w:rPr>
        <w:footnoteReference w:id="5"/>
      </w:r>
    </w:p>
    <w:p w:rsidR="00EE038C" w:rsidRPr="00305172" w:rsidRDefault="00EE038C" w:rsidP="00EE038C">
      <w:pPr>
        <w:tabs>
          <w:tab w:val="left" w:pos="1134"/>
        </w:tabs>
        <w:autoSpaceDE w:val="0"/>
        <w:autoSpaceDN w:val="0"/>
        <w:adjustRightInd w:val="0"/>
        <w:ind w:left="1134"/>
        <w:jc w:val="both"/>
      </w:pPr>
    </w:p>
    <w:p w:rsidR="00EE038C" w:rsidRPr="00305172" w:rsidRDefault="00EE038C" w:rsidP="00EE038C">
      <w:pPr>
        <w:autoSpaceDE w:val="0"/>
        <w:autoSpaceDN w:val="0"/>
        <w:adjustRightInd w:val="0"/>
        <w:spacing w:line="480" w:lineRule="auto"/>
        <w:ind w:firstLine="709"/>
        <w:jc w:val="both"/>
      </w:pPr>
      <w:r w:rsidRPr="00305172">
        <w:t>Unsur yang diperlukan agar pemboncengan reputasi dapat digunakan adalah:</w:t>
      </w:r>
    </w:p>
    <w:p w:rsidR="00EE038C" w:rsidRPr="00305172" w:rsidRDefault="00EE038C" w:rsidP="0020090D">
      <w:pPr>
        <w:numPr>
          <w:ilvl w:val="0"/>
          <w:numId w:val="11"/>
        </w:numPr>
        <w:tabs>
          <w:tab w:val="left" w:pos="993"/>
        </w:tabs>
        <w:autoSpaceDE w:val="0"/>
        <w:autoSpaceDN w:val="0"/>
        <w:adjustRightInd w:val="0"/>
        <w:ind w:left="993"/>
        <w:jc w:val="both"/>
      </w:pPr>
      <w:r w:rsidRPr="00305172">
        <w:lastRenderedPageBreak/>
        <w:t>Reputasi yaitu apabila seorang pelaku usaha selaku penggugat memiliki reputasi terhadap merek produknya yang sangat baik di mata publik atau sudah dikenal publik.</w:t>
      </w:r>
    </w:p>
    <w:p w:rsidR="00EE038C" w:rsidRPr="00305172" w:rsidRDefault="00EE038C" w:rsidP="0020090D">
      <w:pPr>
        <w:numPr>
          <w:ilvl w:val="0"/>
          <w:numId w:val="11"/>
        </w:numPr>
        <w:tabs>
          <w:tab w:val="left" w:pos="993"/>
        </w:tabs>
        <w:autoSpaceDE w:val="0"/>
        <w:autoSpaceDN w:val="0"/>
        <w:adjustRightInd w:val="0"/>
        <w:ind w:left="993"/>
        <w:jc w:val="both"/>
      </w:pPr>
      <w:r w:rsidRPr="00305172">
        <w:rPr>
          <w:i/>
        </w:rPr>
        <w:t>Misrepresentasi</w:t>
      </w:r>
      <w:r w:rsidRPr="00305172">
        <w:t xml:space="preserve"> yaitu dengan terkenalnya merek yang digunakan oleh pelaku usaha tersebut, maka apabila ada pelaku usaha lain mendompleng merek yang sama, maka publik yang berkepentingan dengan merek terkenal tersebut dapat terkecoh/ tertipu atau jadi salah dalam membeli merek produk yang diinginkannya.</w:t>
      </w:r>
    </w:p>
    <w:p w:rsidR="00EE038C" w:rsidRPr="00305172" w:rsidRDefault="00EE038C" w:rsidP="0020090D">
      <w:pPr>
        <w:numPr>
          <w:ilvl w:val="0"/>
          <w:numId w:val="11"/>
        </w:numPr>
        <w:tabs>
          <w:tab w:val="left" w:pos="993"/>
        </w:tabs>
        <w:autoSpaceDE w:val="0"/>
        <w:autoSpaceDN w:val="0"/>
        <w:adjustRightInd w:val="0"/>
        <w:ind w:left="993"/>
        <w:jc w:val="both"/>
      </w:pPr>
      <w:r w:rsidRPr="00305172">
        <w:t>Kerugian: elemen kerugian jelas dapat ditimbulkan oleh merek pendompleng terhadap reputasi yang telah dibangun oleh merek yang didompleng.</w:t>
      </w:r>
      <w:r w:rsidRPr="00305172">
        <w:rPr>
          <w:rStyle w:val="FootnoteReference"/>
        </w:rPr>
        <w:t xml:space="preserve"> </w:t>
      </w:r>
      <w:r w:rsidRPr="00305172">
        <w:rPr>
          <w:rStyle w:val="FootnoteReference"/>
        </w:rPr>
        <w:footnoteReference w:id="6"/>
      </w:r>
    </w:p>
    <w:p w:rsidR="00EE038C" w:rsidRPr="00305172" w:rsidRDefault="00EE038C" w:rsidP="00EE038C">
      <w:pPr>
        <w:autoSpaceDE w:val="0"/>
        <w:autoSpaceDN w:val="0"/>
        <w:adjustRightInd w:val="0"/>
        <w:ind w:left="426"/>
        <w:jc w:val="both"/>
      </w:pPr>
    </w:p>
    <w:p w:rsidR="00EE038C" w:rsidRPr="00305172" w:rsidRDefault="00EE038C" w:rsidP="00EE038C">
      <w:pPr>
        <w:autoSpaceDE w:val="0"/>
        <w:autoSpaceDN w:val="0"/>
        <w:adjustRightInd w:val="0"/>
        <w:spacing w:line="480" w:lineRule="auto"/>
        <w:ind w:firstLine="709"/>
        <w:jc w:val="both"/>
      </w:pPr>
      <w:r w:rsidRPr="00305172">
        <w:t xml:space="preserve">Kasus pemboncengan reputasi yang terjadi di Indonesia dibilang cukup banyak tetapi karena tidak ada </w:t>
      </w:r>
      <w:r w:rsidRPr="00305172">
        <w:rPr>
          <w:lang w:val="id-ID"/>
        </w:rPr>
        <w:t>U</w:t>
      </w:r>
      <w:r w:rsidRPr="00305172">
        <w:t>ndang-</w:t>
      </w:r>
      <w:r w:rsidRPr="00305172">
        <w:rPr>
          <w:lang w:val="id-ID"/>
        </w:rPr>
        <w:t>U</w:t>
      </w:r>
      <w:r w:rsidRPr="00305172">
        <w:t>ndang yang khusus mengenai persaingan curang, maka Dirjen HKI hanya menangani kasus pemboncengan reputasi</w:t>
      </w:r>
      <w:r w:rsidRPr="00305172">
        <w:rPr>
          <w:i/>
          <w:iCs/>
        </w:rPr>
        <w:t xml:space="preserve"> </w:t>
      </w:r>
      <w:r w:rsidRPr="00305172">
        <w:t>yang juga terindikasi pelanggaran merek. Istilah pemboncengan reputasi sendiri memang tidak dikenal di Indonesia, tetapi bukan berarti perbuatan seperti itu tidak diatur dalam peraturan yang ada di Indonesia.</w:t>
      </w:r>
    </w:p>
    <w:p w:rsidR="00EE038C" w:rsidRPr="00305172" w:rsidRDefault="00EE038C" w:rsidP="00EE038C">
      <w:pPr>
        <w:autoSpaceDE w:val="0"/>
        <w:autoSpaceDN w:val="0"/>
        <w:adjustRightInd w:val="0"/>
        <w:spacing w:line="480" w:lineRule="auto"/>
        <w:ind w:firstLine="709"/>
        <w:jc w:val="both"/>
      </w:pPr>
      <w:r w:rsidRPr="00305172">
        <w:rPr>
          <w:bCs/>
        </w:rPr>
        <w:t>UU Merek dan Indikasi Geografis</w:t>
      </w:r>
      <w:r w:rsidRPr="00305172">
        <w:t xml:space="preserve"> menganut system konstitutif, artinya menurut sistem konstitutif (aktif) dengan doktrinnya </w:t>
      </w:r>
      <w:r w:rsidRPr="00305172">
        <w:rPr>
          <w:i/>
          <w:iCs/>
        </w:rPr>
        <w:t xml:space="preserve">prior in filing </w:t>
      </w:r>
      <w:r w:rsidRPr="00305172">
        <w:t xml:space="preserve">bahwa yang berhak atas suatu merek adalah pihak yang telah mendaftarkan mereknya dikenal pula dengan asas </w:t>
      </w:r>
      <w:r w:rsidRPr="00305172">
        <w:rPr>
          <w:i/>
          <w:iCs/>
        </w:rPr>
        <w:t>presumption of ownership</w:t>
      </w:r>
      <w:r w:rsidRPr="00305172">
        <w:t xml:space="preserve">. Jadi system konstitutif mempunyai kelebihan dalam soal kepastian hukumnya. Doktrin </w:t>
      </w:r>
      <w:r w:rsidRPr="00305172">
        <w:rPr>
          <w:i/>
          <w:iCs/>
        </w:rPr>
        <w:t xml:space="preserve">prior in filing” </w:t>
      </w:r>
      <w:r w:rsidRPr="00305172">
        <w:t>cukup jelas, bahwa seorang pengguna merek hanya terlindungi mereknya, apabila yang bersangkutan telah mendapatkan hak atas merek tersebut dari Negara dengan cara mendaftarkan mereknya ke Dirjen HKI di Indonesia tidak ada merek yang terlindungi apabila belum terdaftar di Dirjen HKI c.q. Direktorat Merek.</w:t>
      </w:r>
      <w:r w:rsidRPr="00305172">
        <w:rPr>
          <w:rStyle w:val="FootnoteReference"/>
        </w:rPr>
        <w:footnoteReference w:id="7"/>
      </w:r>
    </w:p>
    <w:p w:rsidR="00EE038C" w:rsidRPr="00305172" w:rsidRDefault="00EE038C" w:rsidP="00EE038C">
      <w:pPr>
        <w:autoSpaceDE w:val="0"/>
        <w:autoSpaceDN w:val="0"/>
        <w:adjustRightInd w:val="0"/>
        <w:spacing w:line="480" w:lineRule="auto"/>
        <w:ind w:firstLine="709"/>
        <w:jc w:val="both"/>
      </w:pPr>
      <w:r w:rsidRPr="00305172">
        <w:lastRenderedPageBreak/>
        <w:t>Apabila ada perbuatan pemboncengan reputasi terhadap merek terkenal yang sudah terdaftar di Indonesia, yang merugikan pihak lain, dalam hal ini adalah merek yang merupakan merek yang sudah cukup dikenal di masya</w:t>
      </w:r>
      <w:r w:rsidRPr="00305172">
        <w:rPr>
          <w:lang w:val="id-ID"/>
        </w:rPr>
        <w:t>ra</w:t>
      </w:r>
      <w:r w:rsidRPr="00305172">
        <w:t xml:space="preserve">kat, maka </w:t>
      </w:r>
      <w:r w:rsidRPr="00305172">
        <w:rPr>
          <w:lang w:val="id-ID"/>
        </w:rPr>
        <w:t>UU Merek</w:t>
      </w:r>
      <w:r w:rsidRPr="00305172">
        <w:t xml:space="preserve"> </w:t>
      </w:r>
      <w:r w:rsidRPr="00305172">
        <w:rPr>
          <w:lang w:val="id-ID"/>
        </w:rPr>
        <w:t xml:space="preserve">dan Indikasi Geografis </w:t>
      </w:r>
      <w:r w:rsidRPr="00305172">
        <w:t xml:space="preserve">mempunyai aturan tentang gugatan pembatalan terhadap merek terdaftar yang didaftarkan dengan itikad tidak baik dan mengandung unsur persamaan pada pokoknya atau persamaan secara keseluruhan dengan merek terkenal milik orang lain baik untuk barang/jasa sejenis maupun tidak sejenis sebagaimana dinyatakan dalam Pasal 68 ayat (1) UU </w:t>
      </w:r>
      <w:r w:rsidRPr="00305172">
        <w:rPr>
          <w:bCs/>
        </w:rPr>
        <w:t>Merek dan Indikasi Geografis</w:t>
      </w:r>
      <w:r w:rsidRPr="00305172">
        <w:t xml:space="preserve"> yang berbunyi “Gugatan pembatalan pendaftaran merek dapat diajukan oleh pihak yang berkepentingan.” Gugatan tersebut dapat diajukan baik oleh pemilik merek terkenal yang sudah terdaftar di Indonesia, maupun tidak terdaftar (setelah mengajukan permohonan kepada Dirjen HKI) kepada Pengadilan Niaga dan terhadap putusan Pengadilan Niaga hanya dapat diajukan kasasi.</w:t>
      </w:r>
    </w:p>
    <w:p w:rsidR="00EE038C" w:rsidRPr="00305172" w:rsidRDefault="00EE038C" w:rsidP="00EE038C">
      <w:pPr>
        <w:autoSpaceDE w:val="0"/>
        <w:autoSpaceDN w:val="0"/>
        <w:adjustRightInd w:val="0"/>
        <w:spacing w:line="480" w:lineRule="auto"/>
        <w:ind w:firstLine="709"/>
        <w:jc w:val="both"/>
        <w:rPr>
          <w:lang w:val="id-ID"/>
        </w:rPr>
      </w:pPr>
      <w:r w:rsidRPr="00305172">
        <w:t xml:space="preserve">Berdasarkan uraian di atas dapat dikatakan bahwa kriteria hukum perbuatan pemboncengan reputasi dalam sistem hukum merek Indonesia adalah sama dengan melakukan perbuatan mendaftarkan merek yang mengandung unsur persamaan pada pokoknya dan persamaan secara keseluruhan dengan itikad tidak baik yang bertujuan menyesatkan masyarakat pengguna merek agar membeli merek produknya </w:t>
      </w:r>
      <w:r w:rsidRPr="00305172">
        <w:rPr>
          <w:lang w:val="id-ID"/>
        </w:rPr>
        <w:t xml:space="preserve">agar dapat </w:t>
      </w:r>
      <w:r w:rsidRPr="00305172">
        <w:t xml:space="preserve">memperoleh keuntungan </w:t>
      </w:r>
      <w:r w:rsidRPr="00305172">
        <w:rPr>
          <w:lang w:val="id-ID"/>
        </w:rPr>
        <w:t>untuk diri sendiri</w:t>
      </w:r>
      <w:r w:rsidRPr="00305172">
        <w:t xml:space="preserve"> yang sebesar-besarnya dengan merugikan kepentingan ekonomi pemegang merek terdaftar yang sudah dikenal reputasinya di masyarakat terlebih dahulu. Merek yang memiliki persamaan pada pokoknya pada jenis barang yang sama dan jenis </w:t>
      </w:r>
      <w:r w:rsidRPr="00305172">
        <w:lastRenderedPageBreak/>
        <w:t>barang yang berbeda apabila merek tersebut sudah terkenal sesuai</w:t>
      </w:r>
      <w:r w:rsidRPr="00305172">
        <w:rPr>
          <w:lang w:val="id-ID"/>
        </w:rPr>
        <w:t xml:space="preserve"> </w:t>
      </w:r>
      <w:r w:rsidRPr="00305172">
        <w:t xml:space="preserve">ketentuan Pasal 21 </w:t>
      </w:r>
      <w:r w:rsidRPr="00305172">
        <w:rPr>
          <w:bCs/>
        </w:rPr>
        <w:t>UU Merek dan Indikasi Geografis</w:t>
      </w:r>
      <w:r w:rsidRPr="00305172">
        <w:t>.</w:t>
      </w:r>
    </w:p>
    <w:p w:rsidR="00EE038C" w:rsidRPr="00305172" w:rsidRDefault="00EE038C" w:rsidP="00EE038C">
      <w:pPr>
        <w:autoSpaceDE w:val="0"/>
        <w:autoSpaceDN w:val="0"/>
        <w:adjustRightInd w:val="0"/>
        <w:jc w:val="both"/>
        <w:rPr>
          <w:lang w:val="id-ID"/>
        </w:rPr>
      </w:pPr>
    </w:p>
    <w:p w:rsidR="00EE038C" w:rsidRPr="00305172" w:rsidRDefault="00EE038C" w:rsidP="0020090D">
      <w:pPr>
        <w:numPr>
          <w:ilvl w:val="0"/>
          <w:numId w:val="6"/>
        </w:numPr>
        <w:spacing w:line="480" w:lineRule="auto"/>
        <w:ind w:left="360"/>
        <w:jc w:val="both"/>
      </w:pPr>
      <w:r w:rsidRPr="00305172">
        <w:rPr>
          <w:b/>
        </w:rPr>
        <w:t xml:space="preserve">Perlindungan Hukum Terhadap Pemilik Merek atas Tindakan Pemboncengan Reputasi Terhadap Merek </w:t>
      </w:r>
      <w:r w:rsidRPr="00305172">
        <w:t xml:space="preserve"> </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UU Merek dan Indikasi Geografis bertujuan untuk lebih memberikan perlindungan hukum bagi pemegang hak atas merek dagang. Pasal 20 UU Merek dan Indikasi Geografis menentukan merek tidak dapat didaftar apabila merek tersebut mengandung salah satu unsur di bawah ini :</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Bertentangan dengan ideologi negara,</w:t>
      </w:r>
      <w:r w:rsidRPr="00305172">
        <w:rPr>
          <w:lang w:val="id-ID"/>
        </w:rPr>
        <w:t xml:space="preserve"> </w:t>
      </w:r>
      <w:r w:rsidRPr="00305172">
        <w:t>peraturan perundang-undangan, moralitas, agama, kesusilaan, atau ketertiban umum</w:t>
      </w:r>
      <w:r w:rsidRPr="00305172">
        <w:rPr>
          <w:lang w:val="id-ID"/>
        </w:rPr>
        <w:t>;</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Sama dengan, berkaitan dengan, atau hanya menyebut barang dan/atau jasa yang dimohonkan pendaftarannya</w:t>
      </w:r>
      <w:r w:rsidRPr="00305172">
        <w:rPr>
          <w:lang w:val="id-ID"/>
        </w:rPr>
        <w:t>;</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Memuat unsur yang dapat menyesatkan masyarakat tentang asal, kualitas, jenis, ukuran, macam, tujuan penggunaan barang dan/atau jasa yang dimohonkan pendaftarannya atau merupakan nama varietas tanaman yang dilindungi untuk barang dan/atau jasa yang sejenis;</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Memuat keterangan yang tidak sesuai dengan kualitas, manfaat, atau khasiat dari barang dan/atau jasa yang diproduksi;</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 xml:space="preserve">Tidak memiliki daya pembeda; </w:t>
      </w:r>
    </w:p>
    <w:p w:rsidR="00EE038C" w:rsidRPr="00305172" w:rsidRDefault="00EE038C" w:rsidP="0020090D">
      <w:pPr>
        <w:pStyle w:val="DefaultParagraphFont"/>
        <w:widowControl w:val="0"/>
        <w:numPr>
          <w:ilvl w:val="3"/>
          <w:numId w:val="5"/>
        </w:numPr>
        <w:tabs>
          <w:tab w:val="left" w:pos="993"/>
        </w:tabs>
        <w:overflowPunct w:val="0"/>
        <w:autoSpaceDE w:val="0"/>
        <w:autoSpaceDN w:val="0"/>
        <w:adjustRightInd w:val="0"/>
        <w:ind w:left="993" w:hanging="283"/>
        <w:jc w:val="both"/>
      </w:pPr>
      <w:r w:rsidRPr="00305172">
        <w:t>Merupakan nama umum dan/atau lambang milik umum.</w:t>
      </w:r>
      <w:r w:rsidRPr="00305172">
        <w:rPr>
          <w:rStyle w:val="FootnoteReference"/>
        </w:rPr>
        <w:footnoteReference w:id="8"/>
      </w:r>
    </w:p>
    <w:p w:rsidR="00EE038C" w:rsidRPr="00305172" w:rsidRDefault="00EE038C" w:rsidP="00EE038C">
      <w:pPr>
        <w:pStyle w:val="DefaultParagraphFont"/>
        <w:widowControl w:val="0"/>
        <w:overflowPunct w:val="0"/>
        <w:autoSpaceDE w:val="0"/>
        <w:autoSpaceDN w:val="0"/>
        <w:adjustRightInd w:val="0"/>
        <w:ind w:left="709"/>
        <w:jc w:val="both"/>
      </w:pPr>
    </w:p>
    <w:p w:rsidR="00EE038C" w:rsidRPr="00305172" w:rsidRDefault="00EE038C" w:rsidP="00EE038C">
      <w:pPr>
        <w:pStyle w:val="DefaultParagraphFont"/>
        <w:widowControl w:val="0"/>
        <w:overflowPunct w:val="0"/>
        <w:autoSpaceDE w:val="0"/>
        <w:autoSpaceDN w:val="0"/>
        <w:adjustRightInd w:val="0"/>
        <w:spacing w:line="456" w:lineRule="auto"/>
        <w:ind w:firstLine="709"/>
        <w:jc w:val="both"/>
      </w:pPr>
      <w:r w:rsidRPr="00305172">
        <w:t>Pasal 21 UU Merek dan Indikasi Geografis menambahkan, bahwa permohonan harus ditolak apabila merek tersebut mempunyai persamaan pada pokoknya atau keseluruhannya dengan merek yang sudah terkenal</w:t>
      </w:r>
      <w:r w:rsidRPr="00305172">
        <w:rPr>
          <w:lang w:val="id-ID"/>
        </w:rPr>
        <w:t xml:space="preserve"> </w:t>
      </w:r>
      <w:r w:rsidRPr="00305172">
        <w:t>milik pihak lain untuk barang dan/atau jasa sejenis.</w:t>
      </w:r>
      <w:r w:rsidRPr="00305172">
        <w:rPr>
          <w:lang w:val="id-ID"/>
        </w:rPr>
        <w:t xml:space="preserve"> </w:t>
      </w:r>
      <w:r w:rsidRPr="00305172">
        <w:t xml:space="preserve">Ketentuan tersebut juga dapat diberlakukan untuk barang dan/atau jasa yang tidak sejenis. Persamaan pada keseluruhannya adalah persamaan keseluruhan elemen. </w:t>
      </w:r>
    </w:p>
    <w:p w:rsidR="00EE038C" w:rsidRPr="00305172" w:rsidRDefault="00EE038C" w:rsidP="00EE038C">
      <w:pPr>
        <w:pStyle w:val="DefaultParagraphFont"/>
        <w:widowControl w:val="0"/>
        <w:overflowPunct w:val="0"/>
        <w:autoSpaceDE w:val="0"/>
        <w:autoSpaceDN w:val="0"/>
        <w:adjustRightInd w:val="0"/>
        <w:spacing w:line="456" w:lineRule="auto"/>
        <w:ind w:firstLine="709"/>
        <w:jc w:val="both"/>
      </w:pPr>
      <w:r w:rsidRPr="00305172">
        <w:t xml:space="preserve">Persamaan yang demikian sesuai dengan ajaran doktrin </w:t>
      </w:r>
      <w:r w:rsidRPr="00305172">
        <w:rPr>
          <w:i/>
          <w:iCs/>
        </w:rPr>
        <w:t xml:space="preserve">entires similar </w:t>
      </w:r>
      <w:r w:rsidRPr="00305172">
        <w:t xml:space="preserve">atau sama keseluruhan elemen. Dengan perkataan lain merek yang dimintakan </w:t>
      </w:r>
      <w:r w:rsidRPr="00305172">
        <w:lastRenderedPageBreak/>
        <w:t xml:space="preserve">pendaftarannya merupakan </w:t>
      </w:r>
      <w:r w:rsidRPr="00305172">
        <w:rPr>
          <w:i/>
        </w:rPr>
        <w:t>copy</w:t>
      </w:r>
      <w:r w:rsidRPr="00305172">
        <w:t xml:space="preserve"> atau reproduksi merek orang lain. upaya suatu merek dapat disebut sebagai </w:t>
      </w:r>
      <w:r w:rsidRPr="00305172">
        <w:rPr>
          <w:i/>
        </w:rPr>
        <w:t xml:space="preserve">copy </w:t>
      </w:r>
      <w:r w:rsidRPr="00305172">
        <w:t>atau reproduksi merek orang lain, sehingga dikualifikasi mengandung persamaan secara keseluruhan, paling tidak harus dipenuhi syarat-syarat sebagai berikut :</w:t>
      </w:r>
    </w:p>
    <w:p w:rsidR="00EE038C" w:rsidRPr="00305172" w:rsidRDefault="00EE038C" w:rsidP="0020090D">
      <w:pPr>
        <w:pStyle w:val="DefaultParagraphFont"/>
        <w:widowControl w:val="0"/>
        <w:numPr>
          <w:ilvl w:val="3"/>
          <w:numId w:val="4"/>
        </w:numPr>
        <w:tabs>
          <w:tab w:val="left" w:pos="1134"/>
        </w:tabs>
        <w:overflowPunct w:val="0"/>
        <w:autoSpaceDE w:val="0"/>
        <w:autoSpaceDN w:val="0"/>
        <w:adjustRightInd w:val="0"/>
        <w:ind w:left="1134"/>
        <w:jc w:val="both"/>
      </w:pPr>
      <w:r w:rsidRPr="00305172">
        <w:t>Terdapat persamaan elemen secara keseluruhan;</w:t>
      </w:r>
    </w:p>
    <w:p w:rsidR="00EE038C" w:rsidRPr="00305172" w:rsidRDefault="00EE038C" w:rsidP="0020090D">
      <w:pPr>
        <w:pStyle w:val="DefaultParagraphFont"/>
        <w:widowControl w:val="0"/>
        <w:numPr>
          <w:ilvl w:val="3"/>
          <w:numId w:val="4"/>
        </w:numPr>
        <w:tabs>
          <w:tab w:val="left" w:pos="1134"/>
        </w:tabs>
        <w:overflowPunct w:val="0"/>
        <w:autoSpaceDE w:val="0"/>
        <w:autoSpaceDN w:val="0"/>
        <w:adjustRightInd w:val="0"/>
        <w:ind w:left="1134"/>
        <w:jc w:val="both"/>
      </w:pPr>
      <w:r w:rsidRPr="00305172">
        <w:t>Persamaan jenis atau produksi kelas barang atau jasa;</w:t>
      </w:r>
    </w:p>
    <w:p w:rsidR="00EE038C" w:rsidRPr="00305172" w:rsidRDefault="00EE038C" w:rsidP="0020090D">
      <w:pPr>
        <w:pStyle w:val="DefaultParagraphFont"/>
        <w:widowControl w:val="0"/>
        <w:numPr>
          <w:ilvl w:val="3"/>
          <w:numId w:val="4"/>
        </w:numPr>
        <w:tabs>
          <w:tab w:val="left" w:pos="1134"/>
        </w:tabs>
        <w:overflowPunct w:val="0"/>
        <w:autoSpaceDE w:val="0"/>
        <w:autoSpaceDN w:val="0"/>
        <w:adjustRightInd w:val="0"/>
        <w:ind w:left="1134"/>
        <w:jc w:val="both"/>
      </w:pPr>
      <w:r w:rsidRPr="00305172">
        <w:t>Persamaan wilayah dan segmen pasar;</w:t>
      </w:r>
    </w:p>
    <w:p w:rsidR="00EE038C" w:rsidRPr="00305172" w:rsidRDefault="00EE038C" w:rsidP="0020090D">
      <w:pPr>
        <w:pStyle w:val="DefaultParagraphFont"/>
        <w:widowControl w:val="0"/>
        <w:numPr>
          <w:ilvl w:val="3"/>
          <w:numId w:val="4"/>
        </w:numPr>
        <w:tabs>
          <w:tab w:val="left" w:pos="1134"/>
        </w:tabs>
        <w:overflowPunct w:val="0"/>
        <w:autoSpaceDE w:val="0"/>
        <w:autoSpaceDN w:val="0"/>
        <w:adjustRightInd w:val="0"/>
        <w:ind w:left="1134"/>
        <w:jc w:val="both"/>
      </w:pPr>
      <w:r w:rsidRPr="00305172">
        <w:t>Persamaan cara dan perilaku pemakaian;</w:t>
      </w:r>
    </w:p>
    <w:p w:rsidR="00EE038C" w:rsidRPr="00305172" w:rsidRDefault="00EE038C" w:rsidP="0020090D">
      <w:pPr>
        <w:pStyle w:val="DefaultParagraphFont"/>
        <w:widowControl w:val="0"/>
        <w:numPr>
          <w:ilvl w:val="3"/>
          <w:numId w:val="4"/>
        </w:numPr>
        <w:tabs>
          <w:tab w:val="left" w:pos="1134"/>
        </w:tabs>
        <w:overflowPunct w:val="0"/>
        <w:autoSpaceDE w:val="0"/>
        <w:autoSpaceDN w:val="0"/>
        <w:adjustRightInd w:val="0"/>
        <w:ind w:left="1134"/>
        <w:jc w:val="both"/>
      </w:pPr>
      <w:r w:rsidRPr="00305172">
        <w:t>Persamaan cara pemeliharaan.</w:t>
      </w:r>
      <w:r w:rsidRPr="00305172">
        <w:rPr>
          <w:rStyle w:val="FootnoteReference"/>
        </w:rPr>
        <w:footnoteReference w:id="9"/>
      </w:r>
    </w:p>
    <w:p w:rsidR="00EE038C" w:rsidRPr="00305172" w:rsidRDefault="00EE038C" w:rsidP="00EE038C">
      <w:pPr>
        <w:pStyle w:val="DefaultParagraphFont"/>
        <w:widowControl w:val="0"/>
        <w:overflowPunct w:val="0"/>
        <w:autoSpaceDE w:val="0"/>
        <w:autoSpaceDN w:val="0"/>
        <w:adjustRightInd w:val="0"/>
        <w:ind w:left="426"/>
        <w:jc w:val="both"/>
      </w:pP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Merek dianggap mempunyai persamaan pada pokoknya dengan merek orang lain ditentukan berdasarkan patokan yang lebih lentur dibanding dengan doktrin </w:t>
      </w:r>
      <w:r w:rsidRPr="00305172">
        <w:rPr>
          <w:i/>
          <w:iCs/>
        </w:rPr>
        <w:t>entires similar</w:t>
      </w:r>
      <w:r w:rsidRPr="00305172">
        <w:t>. Persamaan pada pokoknya dianggap terwujud apabila merek tersebut memiliki kemiripan (</w:t>
      </w:r>
      <w:r w:rsidRPr="00305172">
        <w:rPr>
          <w:i/>
          <w:iCs/>
        </w:rPr>
        <w:t>identical</w:t>
      </w:r>
      <w:r w:rsidRPr="00305172">
        <w:t>) hampir mirip (</w:t>
      </w:r>
      <w:r w:rsidRPr="00305172">
        <w:rPr>
          <w:i/>
          <w:iCs/>
        </w:rPr>
        <w:t>nearly resembles</w:t>
      </w:r>
      <w:r w:rsidRPr="00305172">
        <w:t>) dengan merek orang lain. Kemiripan tersebut dapat didasarkan pada :</w:t>
      </w:r>
    </w:p>
    <w:p w:rsidR="00EE038C" w:rsidRPr="00305172" w:rsidRDefault="00EE038C" w:rsidP="0020090D">
      <w:pPr>
        <w:pStyle w:val="DefaultParagraphFont"/>
        <w:widowControl w:val="0"/>
        <w:numPr>
          <w:ilvl w:val="3"/>
          <w:numId w:val="3"/>
        </w:numPr>
        <w:tabs>
          <w:tab w:val="clear" w:pos="2880"/>
          <w:tab w:val="left" w:pos="993"/>
        </w:tabs>
        <w:overflowPunct w:val="0"/>
        <w:autoSpaceDE w:val="0"/>
        <w:autoSpaceDN w:val="0"/>
        <w:adjustRightInd w:val="0"/>
        <w:spacing w:line="216" w:lineRule="auto"/>
        <w:ind w:left="993"/>
        <w:jc w:val="both"/>
      </w:pPr>
      <w:r w:rsidRPr="00305172">
        <w:t>Kemiripan persamaan gambar;</w:t>
      </w:r>
    </w:p>
    <w:p w:rsidR="00EE038C" w:rsidRPr="00305172" w:rsidRDefault="00EE038C" w:rsidP="0020090D">
      <w:pPr>
        <w:pStyle w:val="DefaultParagraphFont"/>
        <w:widowControl w:val="0"/>
        <w:numPr>
          <w:ilvl w:val="3"/>
          <w:numId w:val="3"/>
        </w:numPr>
        <w:tabs>
          <w:tab w:val="clear" w:pos="2880"/>
          <w:tab w:val="left" w:pos="993"/>
        </w:tabs>
        <w:overflowPunct w:val="0"/>
        <w:autoSpaceDE w:val="0"/>
        <w:autoSpaceDN w:val="0"/>
        <w:adjustRightInd w:val="0"/>
        <w:spacing w:line="216" w:lineRule="auto"/>
        <w:ind w:left="993"/>
        <w:jc w:val="both"/>
      </w:pPr>
      <w:r w:rsidRPr="00305172">
        <w:t>Hampir mirip atau hampir sama susunan kata, warna, atau bunyi;</w:t>
      </w:r>
    </w:p>
    <w:p w:rsidR="00EE038C" w:rsidRPr="00305172" w:rsidRDefault="00EE038C" w:rsidP="0020090D">
      <w:pPr>
        <w:pStyle w:val="DefaultParagraphFont"/>
        <w:widowControl w:val="0"/>
        <w:numPr>
          <w:ilvl w:val="3"/>
          <w:numId w:val="3"/>
        </w:numPr>
        <w:tabs>
          <w:tab w:val="clear" w:pos="2880"/>
          <w:tab w:val="left" w:pos="993"/>
        </w:tabs>
        <w:overflowPunct w:val="0"/>
        <w:autoSpaceDE w:val="0"/>
        <w:autoSpaceDN w:val="0"/>
        <w:adjustRightInd w:val="0"/>
        <w:ind w:left="993"/>
        <w:jc w:val="both"/>
      </w:pPr>
      <w:r w:rsidRPr="00305172">
        <w:t>Faktor yang paling penting dalam doktrin ini, pemakaian merek menimbulkan kebingungan (</w:t>
      </w:r>
      <w:r w:rsidRPr="00305172">
        <w:rPr>
          <w:i/>
          <w:iCs/>
        </w:rPr>
        <w:t>actual confusion</w:t>
      </w:r>
      <w:r w:rsidRPr="00305172">
        <w:t>) atau menyesatkan (</w:t>
      </w:r>
      <w:r w:rsidRPr="00305172">
        <w:rPr>
          <w:i/>
          <w:iCs/>
        </w:rPr>
        <w:t>decive</w:t>
      </w:r>
      <w:r w:rsidRPr="00305172">
        <w:t>) masyarakat konsumen. Seolah-olah merek tersebut dianggap sama sumber produksi dan sumber asal geografis dengan barang milik orang lain (</w:t>
      </w:r>
      <w:r w:rsidRPr="00305172">
        <w:rPr>
          <w:i/>
          <w:iCs/>
        </w:rPr>
        <w:t>likelihood confusion</w:t>
      </w:r>
      <w:r w:rsidRPr="00305172">
        <w:t>).</w:t>
      </w:r>
      <w:r w:rsidRPr="00305172">
        <w:rPr>
          <w:rStyle w:val="FootnoteReference"/>
        </w:rPr>
        <w:footnoteReference w:id="10"/>
      </w:r>
    </w:p>
    <w:p w:rsidR="00EE038C" w:rsidRPr="00305172" w:rsidRDefault="00EE038C" w:rsidP="00EE038C">
      <w:pPr>
        <w:pStyle w:val="DefaultParagraphFont"/>
        <w:widowControl w:val="0"/>
        <w:overflowPunct w:val="0"/>
        <w:autoSpaceDE w:val="0"/>
        <w:autoSpaceDN w:val="0"/>
        <w:adjustRightInd w:val="0"/>
        <w:ind w:left="786"/>
        <w:jc w:val="both"/>
      </w:pPr>
    </w:p>
    <w:p w:rsidR="00EE038C" w:rsidRPr="00305172" w:rsidRDefault="00EE038C" w:rsidP="00EE038C">
      <w:pPr>
        <w:autoSpaceDE w:val="0"/>
        <w:autoSpaceDN w:val="0"/>
        <w:adjustRightInd w:val="0"/>
        <w:spacing w:line="456" w:lineRule="auto"/>
        <w:ind w:firstLine="709"/>
        <w:jc w:val="both"/>
      </w:pPr>
      <w:r w:rsidRPr="00305172">
        <w:t>Permohonan merek juga harus ditolak apabila merek tersebut mempunyai persamaan pada pokoknya atau keseluruhannya dengan merek pihak lain yang sudah terdaftar terlebih dahulu untuk barang atau jasa yang sejenis, mempunyai persamaan pada pokoknya atau keseluruhannya dengan indikasi geografis yang sudah dikenal Berdasarkan ketentuan persyaratan merek agar dapat didaftarkan, sesuatu dapat dikategorikan dan diakui sebagai merek, apabila:</w:t>
      </w:r>
    </w:p>
    <w:p w:rsidR="00EE038C" w:rsidRPr="00305172" w:rsidRDefault="00EE038C" w:rsidP="0020090D">
      <w:pPr>
        <w:numPr>
          <w:ilvl w:val="1"/>
          <w:numId w:val="7"/>
        </w:numPr>
        <w:tabs>
          <w:tab w:val="left" w:pos="993"/>
        </w:tabs>
        <w:autoSpaceDE w:val="0"/>
        <w:autoSpaceDN w:val="0"/>
        <w:adjustRightInd w:val="0"/>
        <w:ind w:left="993" w:hanging="283"/>
      </w:pPr>
      <w:r w:rsidRPr="00305172">
        <w:lastRenderedPageBreak/>
        <w:t>Mempunyai fungsi pembeda;</w:t>
      </w:r>
    </w:p>
    <w:p w:rsidR="00EE038C" w:rsidRPr="00305172" w:rsidRDefault="00EE038C" w:rsidP="0020090D">
      <w:pPr>
        <w:numPr>
          <w:ilvl w:val="1"/>
          <w:numId w:val="7"/>
        </w:numPr>
        <w:tabs>
          <w:tab w:val="left" w:pos="993"/>
        </w:tabs>
        <w:autoSpaceDE w:val="0"/>
        <w:autoSpaceDN w:val="0"/>
        <w:adjustRightInd w:val="0"/>
        <w:ind w:left="993" w:hanging="283"/>
        <w:jc w:val="both"/>
      </w:pPr>
      <w:r w:rsidRPr="00305172">
        <w:t>Merupakan tanda pada barang atau jasa (unsur-unsur gambar, nama, kata, huruf, angka, susunan warna atau kombinasi dari unsur-unsur tersebut);</w:t>
      </w:r>
    </w:p>
    <w:p w:rsidR="00EE038C" w:rsidRPr="00305172" w:rsidRDefault="00EE038C" w:rsidP="0020090D">
      <w:pPr>
        <w:numPr>
          <w:ilvl w:val="1"/>
          <w:numId w:val="7"/>
        </w:numPr>
        <w:tabs>
          <w:tab w:val="left" w:pos="993"/>
        </w:tabs>
        <w:autoSpaceDE w:val="0"/>
        <w:autoSpaceDN w:val="0"/>
        <w:adjustRightInd w:val="0"/>
        <w:ind w:left="993" w:hanging="283"/>
        <w:jc w:val="both"/>
      </w:pPr>
      <w:r w:rsidRPr="00305172">
        <w:t>Tidak memenuhi unsur-unsur yang bertentangan dengan kesusilaan dan ketertiban umum;</w:t>
      </w:r>
    </w:p>
    <w:p w:rsidR="00EE038C" w:rsidRPr="00305172" w:rsidRDefault="00EE038C" w:rsidP="0020090D">
      <w:pPr>
        <w:numPr>
          <w:ilvl w:val="1"/>
          <w:numId w:val="7"/>
        </w:numPr>
        <w:tabs>
          <w:tab w:val="left" w:pos="993"/>
        </w:tabs>
        <w:autoSpaceDE w:val="0"/>
        <w:autoSpaceDN w:val="0"/>
        <w:adjustRightInd w:val="0"/>
        <w:ind w:left="993" w:hanging="283"/>
        <w:jc w:val="both"/>
      </w:pPr>
      <w:r w:rsidRPr="00305172">
        <w:t>Bukan menjadi milik umum;</w:t>
      </w:r>
    </w:p>
    <w:p w:rsidR="00EE038C" w:rsidRPr="00305172" w:rsidRDefault="00EE038C" w:rsidP="0020090D">
      <w:pPr>
        <w:numPr>
          <w:ilvl w:val="1"/>
          <w:numId w:val="7"/>
        </w:numPr>
        <w:tabs>
          <w:tab w:val="left" w:pos="993"/>
        </w:tabs>
        <w:autoSpaceDE w:val="0"/>
        <w:autoSpaceDN w:val="0"/>
        <w:adjustRightInd w:val="0"/>
        <w:ind w:left="993" w:hanging="283"/>
        <w:jc w:val="both"/>
      </w:pPr>
      <w:r w:rsidRPr="00305172">
        <w:t>Tidak merupakan keterangan, atau berkaitan dengan barang atau jasa yang dimintakan pendaftaran.</w:t>
      </w:r>
      <w:r w:rsidRPr="00305172">
        <w:rPr>
          <w:rStyle w:val="FootnoteReference"/>
        </w:rPr>
        <w:footnoteReference w:id="11"/>
      </w:r>
    </w:p>
    <w:p w:rsidR="00EE038C" w:rsidRPr="00305172" w:rsidRDefault="00EE038C" w:rsidP="00EE038C">
      <w:pPr>
        <w:pStyle w:val="DefaultParagraphFont"/>
        <w:widowControl w:val="0"/>
        <w:overflowPunct w:val="0"/>
        <w:autoSpaceDE w:val="0"/>
        <w:autoSpaceDN w:val="0"/>
        <w:adjustRightInd w:val="0"/>
        <w:ind w:left="426"/>
        <w:jc w:val="both"/>
      </w:pP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UU Merek dan Indikasi Geografis dalam penjelasannya melengkapi ketentuan pada Pasal 6 ayat (1) huruf b bahwa penolakan permohonan yang mempunyai persamaan pada pokoknya atau keseluruhan dengan merek terkenal untuk barang dan/atau jasa yang sejenis dilakukan dengan memperhatikan pengetahuan umum masyarakat mengenai merek tersebut di bidang usaha yang bersangkutan. Di samping itu, diperhatikan pula reputasi merek terkenal yang diperoleh karena promosi yang gencar dan besar</w:t>
      </w:r>
      <w:r w:rsidRPr="00305172">
        <w:rPr>
          <w:lang w:val="id-ID"/>
        </w:rPr>
        <w:t>-</w:t>
      </w:r>
      <w:r w:rsidRPr="00305172">
        <w:t>besaran, investasi di beberapa negara di dunia yang dilakukan oleh pemiliknya, dan disertai bukti pendaftaran merek tersebut di beberapa negara. Apabila hal-hal di atas belum dianggap cukup, Pengadilan Niaga dapat memerintahkan lembaga yang bersifat mandiri untuk melakukan survei guna memperoleh kesimpulan mengenai terkenal atau tidaknya merek yang menjadi dasar penolakan.</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Terkait pelaksanaan Pasal 4, dan Pasal 6 ayat (1) huruf b UU Merek dan Indikasi Geografis oleh Ditjen HKI, bagi pemilik merek terkenal yang dapat menunjukkan bukti</w:t>
      </w:r>
      <w:r w:rsidRPr="00305172">
        <w:rPr>
          <w:lang w:val="id-ID"/>
        </w:rPr>
        <w:t>-</w:t>
      </w:r>
      <w:r w:rsidRPr="00305172">
        <w:t xml:space="preserve">bukti keterkenalan mereknya, </w:t>
      </w:r>
      <w:r w:rsidRPr="00305172">
        <w:rPr>
          <w:lang w:val="id-ID"/>
        </w:rPr>
        <w:t>UU Merek dan Indikasi Geografis</w:t>
      </w:r>
      <w:r w:rsidRPr="00305172">
        <w:t xml:space="preserve"> menyediakan mekanisme pembatalan pendaftaran merek melalui pengadilan niaga dan oposisi (pengajuan keberatan), apabila merek terkenal </w:t>
      </w:r>
      <w:r w:rsidRPr="00305172">
        <w:lastRenderedPageBreak/>
        <w:t>mereka terlanjur didaftarkan atau diajukan permohonan pendaftarannya di Indonesia oleh pihak lain yang beriktikad buruk.</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UU Merek dan Indikasi Geografis memungkinkan pemilik merek terkenal yang asli untuk mengajukan gugatan pembatalan pendaftaran merek melalui Pengadilan Niaga, berdasarkan Pasal 4 dan Pasal 6 ayat (1) huruf b UU Merek dan Indikasi Geografis, walaupun ia tidak memiliki pendaftaran merek. Bagi pemilik merek terkenal yang belum memiliki pendaftaran merek, dapat mengajukan gugatan pembatalan pendaftaran setelah mengajukan permohonan pendaftaran mereknya kepada Ditjen HKI (Pasal 68 ayat (2) U UU Merek dan Indikasi Geografis). Dengan pengajuan permohonan, pemilik merek terkenal dianggap memiliki iktikad baik untuk mengikuti peraturan yang berlaku dengan mendaftarkan dan memakai mereknya di Indonesia.</w:t>
      </w:r>
      <w:r w:rsidRPr="00305172">
        <w:rPr>
          <w:rStyle w:val="FootnoteReference"/>
        </w:rPr>
        <w:footnoteReference w:id="12"/>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UU Merek dan Indikasi Geografis yang berlaku di Indonesia disamakan dengan melakukan perbuatan pendaftaran merek yang mengandung unsur p</w:t>
      </w:r>
      <w:r w:rsidRPr="00305172">
        <w:rPr>
          <w:lang w:val="id-ID"/>
        </w:rPr>
        <w:t>e</w:t>
      </w:r>
      <w:r w:rsidRPr="00305172">
        <w:t xml:space="preserve">rsamaan secara keseluruhan (persamaan identik) dan pendaftaran merek yang mengandung unsur persamaan pada pokoknya. Doktrin pendaftaran merek yang mengandung unsur persamaan secara keseluruhan (persamaan identik), persamaan merek ditegakkan di atas prinsip </w:t>
      </w:r>
      <w:r w:rsidRPr="00305172">
        <w:rPr>
          <w:i/>
        </w:rPr>
        <w:t>entireties similar</w:t>
      </w:r>
      <w:r w:rsidRPr="00305172">
        <w:t xml:space="preserve"> yang berarti antara merek yang</w:t>
      </w:r>
      <w:r w:rsidRPr="00305172">
        <w:rPr>
          <w:lang w:val="id-ID"/>
        </w:rPr>
        <w:t xml:space="preserve"> </w:t>
      </w:r>
      <w:r w:rsidRPr="00305172">
        <w:t>satu dengan yang lain mempunyai persamaan yang menyeluruh meliputi semua faktor yang relevan secara optimal yang menimbulkan persamaan.</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Doktrin persamaan identik mempunyai pengertian lebih luas dan fleksibel, bahwa untuk menentukan ada persamaan merek tidak perlu semua unsur secara </w:t>
      </w:r>
      <w:r w:rsidRPr="00305172">
        <w:lastRenderedPageBreak/>
        <w:t xml:space="preserve">komulatif sama, tetapi cukup beberapa unsur atau faktor yang relevan saja yang sama sehingga terlihat antara dua merek yang diperbandingkan identik atau sangat mirip. Jadi menurut doktrin ini antara merek yang satu dengan yang lain tetap ada perbedaan tetapi perbedaan tersebut tidak menonjol dan tidak mempunyai kekuatan pembeda yang kuat sehingga satu dengan yang lain mirip </w:t>
      </w:r>
      <w:r w:rsidRPr="00305172">
        <w:rPr>
          <w:i/>
        </w:rPr>
        <w:t>(similar)</w:t>
      </w:r>
      <w:r w:rsidRPr="00305172">
        <w:t xml:space="preserve"> maka sudah dapat dikatakan identik.</w:t>
      </w:r>
      <w:r w:rsidRPr="00305172">
        <w:rPr>
          <w:rStyle w:val="FootnoteReference"/>
        </w:rPr>
        <w:t xml:space="preserve"> </w:t>
      </w:r>
      <w:r w:rsidRPr="00305172">
        <w:rPr>
          <w:rStyle w:val="FootnoteReference"/>
        </w:rPr>
        <w:footnoteReference w:id="13"/>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Doktrin persamaan yang dianut dalam UU Merek dapat dilihat dalam Pasal 6 ayat (1)  bahwa  permohonan harus ditolak oleh Direktorat Jenderal apabila merek tersebut :</w:t>
      </w:r>
    </w:p>
    <w:p w:rsidR="00EE038C" w:rsidRPr="00305172" w:rsidRDefault="00EE038C" w:rsidP="0020090D">
      <w:pPr>
        <w:pStyle w:val="DefaultParagraphFont"/>
        <w:widowControl w:val="0"/>
        <w:numPr>
          <w:ilvl w:val="4"/>
          <w:numId w:val="3"/>
        </w:numPr>
        <w:tabs>
          <w:tab w:val="clear" w:pos="3600"/>
        </w:tabs>
        <w:overflowPunct w:val="0"/>
        <w:autoSpaceDE w:val="0"/>
        <w:autoSpaceDN w:val="0"/>
        <w:adjustRightInd w:val="0"/>
        <w:spacing w:line="480" w:lineRule="auto"/>
        <w:ind w:left="426" w:hanging="426"/>
        <w:jc w:val="both"/>
      </w:pPr>
      <w:r w:rsidRPr="00305172">
        <w:t>Mempunyai persamaan pada pokoknya atau keseluruhannya dengan merek milik pihak lain yang sudah terdaftar lebih dahulu untuk barang/jasa sejenis;</w:t>
      </w:r>
    </w:p>
    <w:p w:rsidR="00EE038C" w:rsidRPr="00305172" w:rsidRDefault="00EE038C" w:rsidP="0020090D">
      <w:pPr>
        <w:pStyle w:val="DefaultParagraphFont"/>
        <w:widowControl w:val="0"/>
        <w:numPr>
          <w:ilvl w:val="4"/>
          <w:numId w:val="3"/>
        </w:numPr>
        <w:tabs>
          <w:tab w:val="clear" w:pos="3600"/>
        </w:tabs>
        <w:overflowPunct w:val="0"/>
        <w:autoSpaceDE w:val="0"/>
        <w:autoSpaceDN w:val="0"/>
        <w:adjustRightInd w:val="0"/>
        <w:spacing w:line="480" w:lineRule="auto"/>
        <w:ind w:left="426" w:hanging="426"/>
        <w:jc w:val="both"/>
      </w:pPr>
      <w:r w:rsidRPr="00305172">
        <w:t>Mempunyai persamaan pada pokoknya atau keseluruhannya dengan merek yang sudah terkenal milik pihak lain untuk barang dan/atau jasa sejenis;</w:t>
      </w:r>
    </w:p>
    <w:p w:rsidR="00EE038C" w:rsidRPr="00305172" w:rsidRDefault="00EE038C" w:rsidP="0020090D">
      <w:pPr>
        <w:pStyle w:val="DefaultParagraphFont"/>
        <w:widowControl w:val="0"/>
        <w:numPr>
          <w:ilvl w:val="4"/>
          <w:numId w:val="3"/>
        </w:numPr>
        <w:tabs>
          <w:tab w:val="clear" w:pos="3600"/>
        </w:tabs>
        <w:overflowPunct w:val="0"/>
        <w:autoSpaceDE w:val="0"/>
        <w:autoSpaceDN w:val="0"/>
        <w:adjustRightInd w:val="0"/>
        <w:spacing w:line="480" w:lineRule="auto"/>
        <w:ind w:left="426" w:hanging="426"/>
        <w:jc w:val="both"/>
      </w:pPr>
      <w:r w:rsidRPr="00305172">
        <w:t>Mempunyai persamaan pada pokoknya atau keseluruhannya dengan indikasi geografis yang sudah dikenal;</w:t>
      </w:r>
    </w:p>
    <w:p w:rsidR="00EE038C" w:rsidRPr="00305172" w:rsidRDefault="00EE038C" w:rsidP="00EE038C">
      <w:pPr>
        <w:pStyle w:val="DefaultParagraphFont"/>
        <w:widowControl w:val="0"/>
        <w:overflowPunct w:val="0"/>
        <w:autoSpaceDE w:val="0"/>
        <w:autoSpaceDN w:val="0"/>
        <w:adjustRightInd w:val="0"/>
        <w:spacing w:line="480" w:lineRule="auto"/>
        <w:jc w:val="both"/>
        <w:rPr>
          <w:lang w:val="id-ID"/>
        </w:rPr>
      </w:pPr>
      <w:r w:rsidRPr="00305172">
        <w:rPr>
          <w:lang w:val="id-ID"/>
        </w:rPr>
        <w:t xml:space="preserve">       </w:t>
      </w:r>
      <w:r w:rsidRPr="00305172">
        <w:t>Selanjutnya, Pasal 6 ayat (3) UU Merek dan Indikasi Geografis  menyatakan permohonan juga harus ditolak oleh Direktorat Jenderal apabila merek tersebut :</w:t>
      </w:r>
    </w:p>
    <w:p w:rsidR="00EE038C" w:rsidRPr="00305172" w:rsidRDefault="00EE038C" w:rsidP="0020090D">
      <w:pPr>
        <w:pStyle w:val="DefaultParagraphFont"/>
        <w:widowControl w:val="0"/>
        <w:numPr>
          <w:ilvl w:val="5"/>
          <w:numId w:val="3"/>
        </w:numPr>
        <w:tabs>
          <w:tab w:val="clear" w:pos="4320"/>
          <w:tab w:val="left" w:pos="993"/>
        </w:tabs>
        <w:overflowPunct w:val="0"/>
        <w:autoSpaceDE w:val="0"/>
        <w:autoSpaceDN w:val="0"/>
        <w:adjustRightInd w:val="0"/>
        <w:ind w:left="993" w:hanging="283"/>
        <w:jc w:val="both"/>
      </w:pPr>
      <w:r w:rsidRPr="00305172">
        <w:t>Merupakan atau menyerupai nama orang terkenal, foto, atau nama badan hukum yang dimiliki orang lain, kecuali atas persetujuan tertulis dari yang berhak;</w:t>
      </w:r>
    </w:p>
    <w:p w:rsidR="00EE038C" w:rsidRPr="00305172" w:rsidRDefault="00EE038C" w:rsidP="0020090D">
      <w:pPr>
        <w:pStyle w:val="DefaultParagraphFont"/>
        <w:widowControl w:val="0"/>
        <w:numPr>
          <w:ilvl w:val="5"/>
          <w:numId w:val="3"/>
        </w:numPr>
        <w:tabs>
          <w:tab w:val="clear" w:pos="4320"/>
          <w:tab w:val="left" w:pos="993"/>
        </w:tabs>
        <w:overflowPunct w:val="0"/>
        <w:autoSpaceDE w:val="0"/>
        <w:autoSpaceDN w:val="0"/>
        <w:adjustRightInd w:val="0"/>
        <w:ind w:left="993" w:hanging="283"/>
        <w:jc w:val="both"/>
      </w:pPr>
      <w:r w:rsidRPr="00305172">
        <w:t>Merupakan tiruan atau menyerupai nama atau singkatan nama, bendera, lamb</w:t>
      </w:r>
      <w:r w:rsidRPr="00305172">
        <w:rPr>
          <w:lang w:val="id-ID"/>
        </w:rPr>
        <w:t>a</w:t>
      </w:r>
      <w:r w:rsidRPr="00305172">
        <w:t>ng atau simbol atau emblem negara atau lembaga nasional maupun internasional, kecuali atas persetujuan tertulis dari pihak yang berwenang;</w:t>
      </w:r>
    </w:p>
    <w:p w:rsidR="00EE038C" w:rsidRPr="00305172" w:rsidRDefault="00EE038C" w:rsidP="0020090D">
      <w:pPr>
        <w:pStyle w:val="DefaultParagraphFont"/>
        <w:widowControl w:val="0"/>
        <w:numPr>
          <w:ilvl w:val="5"/>
          <w:numId w:val="3"/>
        </w:numPr>
        <w:tabs>
          <w:tab w:val="clear" w:pos="4320"/>
          <w:tab w:val="left" w:pos="993"/>
        </w:tabs>
        <w:overflowPunct w:val="0"/>
        <w:autoSpaceDE w:val="0"/>
        <w:autoSpaceDN w:val="0"/>
        <w:adjustRightInd w:val="0"/>
        <w:ind w:left="993" w:hanging="283"/>
        <w:jc w:val="both"/>
      </w:pPr>
      <w:r w:rsidRPr="00305172">
        <w:t xml:space="preserve">Merupakan tiruan atau menyerupai tanda atau cap atau stempel resmi yang digunakan oleh negara atau lembaga pemerintah, kecuali atas </w:t>
      </w:r>
      <w:r w:rsidRPr="00305172">
        <w:lastRenderedPageBreak/>
        <w:t>persetujuan tertulis pihak yang berwenang.</w:t>
      </w:r>
      <w:r w:rsidRPr="00305172">
        <w:rPr>
          <w:rStyle w:val="FootnoteReference"/>
        </w:rPr>
        <w:footnoteReference w:id="14"/>
      </w:r>
    </w:p>
    <w:p w:rsidR="00EE038C" w:rsidRPr="00305172" w:rsidRDefault="00EE038C" w:rsidP="00EE038C">
      <w:pPr>
        <w:pStyle w:val="DefaultParagraphFont"/>
        <w:widowControl w:val="0"/>
        <w:overflowPunct w:val="0"/>
        <w:autoSpaceDE w:val="0"/>
        <w:autoSpaceDN w:val="0"/>
        <w:adjustRightInd w:val="0"/>
        <w:ind w:left="709"/>
        <w:jc w:val="both"/>
      </w:pP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Ajaran persamaan dalam </w:t>
      </w:r>
      <w:r w:rsidRPr="00305172">
        <w:rPr>
          <w:lang w:val="id-ID"/>
        </w:rPr>
        <w:t>U</w:t>
      </w:r>
      <w:r w:rsidRPr="00305172">
        <w:t>ndang-</w:t>
      </w:r>
      <w:r w:rsidRPr="00305172">
        <w:rPr>
          <w:lang w:val="id-ID"/>
        </w:rPr>
        <w:t>U</w:t>
      </w:r>
      <w:r w:rsidRPr="00305172">
        <w:t>ndang seperti tersebut di atas dipresentasikan dalam kata atau kalimat persamaan pada pokoknya, persamaan pada keseluruhannya, merupakan, merupakan tiruan dan menyerupai. UU Merek dan Indikasi Geografis tidak memberikan arti dan pengertian untuk membedakan kata-kata tersebut, tetapi memberikan beberapa faktor sebagai unsur yang dapat menimbulkan kesan adanya persamaan sebagaimana diuraikan dalam penjelasan Pasal 6 UU Merek yaitu:</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bentuk;</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komposisi atau penempatan;</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penelitian;</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bunyi;</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ucapan;</w:t>
      </w:r>
    </w:p>
    <w:p w:rsidR="00EE038C" w:rsidRPr="00305172" w:rsidRDefault="00EE038C" w:rsidP="0020090D">
      <w:pPr>
        <w:numPr>
          <w:ilvl w:val="0"/>
          <w:numId w:val="12"/>
        </w:numPr>
        <w:autoSpaceDE w:val="0"/>
        <w:autoSpaceDN w:val="0"/>
        <w:adjustRightInd w:val="0"/>
        <w:spacing w:line="480" w:lineRule="auto"/>
        <w:ind w:left="284" w:hanging="284"/>
      </w:pPr>
      <w:r w:rsidRPr="00305172">
        <w:t>Persamaan kombinasi unsur-unsur</w:t>
      </w:r>
      <w:r w:rsidRPr="00305172">
        <w:rPr>
          <w:lang w:val="id-ID"/>
        </w:rPr>
        <w:t>.</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Pasal 3 UU Merek disebutkan, hak merek diberikan kepada pemilik merek terdaftar, dengan demikian jelas bahwa sistem merek yang dipakai di Indonesia adalah sistem konstitutif (aktif) sehingga pemilik merek terdaftar adalah sebagai pemegang hak merek. Pemilik merek terdaftar sebagai pemegang merek menggunakan merek itu sendiri atau memberi ijin pihak lain menggunakannya. Lebih lanjut dalam Pasal 40 UU Merek dan Indikasi Geografis  dinyatakan bahwa hak merek dapat dialihkan haknya menurut ketentuan </w:t>
      </w:r>
      <w:r w:rsidRPr="00305172">
        <w:rPr>
          <w:lang w:val="id-ID"/>
        </w:rPr>
        <w:t>U</w:t>
      </w:r>
      <w:r w:rsidRPr="00305172">
        <w:t>ndang-</w:t>
      </w:r>
      <w:r w:rsidRPr="00305172">
        <w:rPr>
          <w:lang w:val="id-ID"/>
        </w:rPr>
        <w:t>U</w:t>
      </w:r>
      <w:r w:rsidRPr="00305172">
        <w:t>ndang.</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Perlindungan hukum berdasarkan sistem </w:t>
      </w:r>
      <w:r w:rsidRPr="00305172">
        <w:rPr>
          <w:i/>
          <w:iCs/>
        </w:rPr>
        <w:t xml:space="preserve">first to file principle </w:t>
      </w:r>
      <w:r w:rsidRPr="00305172">
        <w:t xml:space="preserve">diberikan </w:t>
      </w:r>
      <w:r w:rsidRPr="00305172">
        <w:lastRenderedPageBreak/>
        <w:t>kepada pemegang hak merek terdaftar yang ‘beritikad baik’ bersifat preventif maupun represif. Perlindungan hukum preventif dilakukan melalui pendaftaran merek, dan perlindungan hukum represif diberikan jika terjadi pelanggaran merek melalui gugatan perdata maupun tuntutan pidana dengan mengurangi kemungkinan penyelesaian alternatif diluar Pengadilan.</w:t>
      </w:r>
      <w:r w:rsidRPr="00305172">
        <w:rPr>
          <w:rStyle w:val="FootnoteReference"/>
        </w:rPr>
        <w:footnoteReference w:id="15"/>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Pelaksanaan pendaftaran merek harus dilandasi dengan niat yang baik dan kejujuran dari pendaftar merek untuk melakukan pendaftaran mereknya tanpa ada maksud terselubung untuk mendompleng atau menjatuhkan merek orang lain untuk merah keuntungan yang sebesar-besarnya secara ekonomi.</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Itikad baik dalam pendaftaran merek meliputi pengertian di dalam arti subjektif dimana pendaftar merek harus memiliki niat di dalam hati yang baik dan jujur untuk melakukan pendaftaran mereknya semata-mata untuk melindungi merek tersebut dari tindakan curang yang dilakukan oleh pihak lain. Dengan demikian dapat dikatakan bahwa dalam hal pendaftaran merek oleh pendaftar merek maka itikad baik secara subjektif maupun objektif harus sesuai dengan ketentuan peraturan perundang-undangan yang berlaku di bidang merek, tanpa memiliki maksud dan tujuan terselubung untuk melakukan pemalsuan terhadap merek pihak lain atau memanfaatkan merek orang lain yang sama pada pokoknya atau sama secara keseluruhannya untuk meraih keuntungan yang sebesar-besarnya dari segi ekonomi dan merugikan merek terkenal yang telah terdaftar sebelumnya.</w:t>
      </w:r>
      <w:r w:rsidRPr="00305172">
        <w:rPr>
          <w:rStyle w:val="FootnoteReference"/>
        </w:rPr>
        <w:footnoteReference w:id="16"/>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Itikad tidak baik adalah suatu sikap bathin yang dengan sengaja melakukan </w:t>
      </w:r>
      <w:r w:rsidRPr="00305172">
        <w:lastRenderedPageBreak/>
        <w:t>peniruan terhadap merek pihak lain dengan cara melanggar ketentuan dalam UU Merek dan Indikasi Geografis yang seharusnya menjunjung tinggi prinsip itikad baik. Pasal 21 ayat (3) UU Merek dan Indikasi Geografis</w:t>
      </w:r>
      <w:r w:rsidRPr="00305172">
        <w:rPr>
          <w:lang w:val="id-ID"/>
        </w:rPr>
        <w:t xml:space="preserve"> </w:t>
      </w:r>
      <w:r w:rsidRPr="00305172">
        <w:t>yang menyebutkan bahwa merek tidak dapat didaftarkan atas dasar permohonan yang diajukan oleh pemohon yang beritikad tidak baik. Itikad tidak baik lawan dari itikad baik pada intinya adalah pemilik merek memiliki merek yang tidak mempunyai persamaan pada pokoknya atau pada keseluruhannya dengan merek orang lain.</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Ketentuan Pasal 21 ayat (3) UU Merek dan Indikasi Geografis meskipun menganut sistem konstitutif, tetapi tetap asasnya melindungi pemilik merek yang beritikad baik. Hanya permintaan yang diajukan oleh pemilik merek yang beritikad baik saja yang dapat diterima untuk didaftarkan. Dengan demikian aspek perlindungan hukum tetap diberikan kepada mereka yang beritikad baik dan terhadap pihak lain yang beritikad tidak baik yang sengaja meniru atau tidak jujur mendaftarkan mereknya, dapat dibatalkan oleh Direktorat Merek HKI. Pengertian itikad tidak baik dalam pendaftaran merek juga dapat diartikan suatu tindakan yang disengaja untuk meniru dengan sengaja sebagian atau seluruhnya merek yang telah terdaftar sebelumnya dengan tujuan agar merek yang didaftarkan tersebut dapat menyamai kepopuleran merek yang ditiru tersebut untuk keuntungan pribadi pendaftar merek yang tidak beritikad tidak baik tersebut.</w:t>
      </w:r>
      <w:r w:rsidRPr="00305172">
        <w:rPr>
          <w:rStyle w:val="FootnoteReference"/>
        </w:rPr>
        <w:footnoteReference w:id="17"/>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Itikad tidak baik dalam suatu pendaftaran merek harus ditolak karena merupakan suatu tindakan curang dari orang, beberapa orang secara bersama-sama atau badan hukum yang merugikan pemilik merek yang telah terdaftar </w:t>
      </w:r>
      <w:r w:rsidRPr="00305172">
        <w:lastRenderedPageBreak/>
        <w:t>sebelumnya. Tindakan curang yang dilakukan oleh pendaftar merek dengan itikad tidak baik tersebut tidak dibenarkan dalam prinsip dasar pendaftaran merek di Indonesia.</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Dengan demikian dapat dikatakan itikad tidak baik dalam suatu pendaftaran merek menurut Pasal 21 ayat (3) UU Merek dan Indikasi Geografis dapat diklasifikasikan sebagai :</w:t>
      </w:r>
    </w:p>
    <w:p w:rsidR="00EE038C" w:rsidRPr="00305172" w:rsidRDefault="00EE038C" w:rsidP="0020090D">
      <w:pPr>
        <w:numPr>
          <w:ilvl w:val="6"/>
          <w:numId w:val="3"/>
        </w:numPr>
        <w:tabs>
          <w:tab w:val="clear" w:pos="5040"/>
          <w:tab w:val="left" w:pos="993"/>
        </w:tabs>
        <w:autoSpaceDE w:val="0"/>
        <w:autoSpaceDN w:val="0"/>
        <w:adjustRightInd w:val="0"/>
        <w:ind w:left="993" w:hanging="283"/>
        <w:jc w:val="both"/>
      </w:pPr>
      <w:r w:rsidRPr="00305172">
        <w:t>Tindakan/perbuatan meniru merek yang telah terdaftar sebelumnya, dan pada umumnya adalah merek yang sudah terkenal dan memiliki nilai jual dipasaran.</w:t>
      </w:r>
    </w:p>
    <w:p w:rsidR="00EE038C" w:rsidRPr="00305172" w:rsidRDefault="00EE038C" w:rsidP="0020090D">
      <w:pPr>
        <w:numPr>
          <w:ilvl w:val="6"/>
          <w:numId w:val="3"/>
        </w:numPr>
        <w:tabs>
          <w:tab w:val="clear" w:pos="5040"/>
          <w:tab w:val="left" w:pos="993"/>
        </w:tabs>
        <w:autoSpaceDE w:val="0"/>
        <w:autoSpaceDN w:val="0"/>
        <w:adjustRightInd w:val="0"/>
        <w:ind w:left="993" w:hanging="283"/>
        <w:jc w:val="both"/>
      </w:pPr>
      <w:r w:rsidRPr="00305172">
        <w:t>Merupakan suat perbuatan yang dengan sengaja dilakukan untuk menyaingi merek yang sudah terdaftar dan memiliki nilai jual di pasaran tersebut dengan tujuan agar pendaftar merek dengan itikad tidak baik tersebut memperoleh keuntungan pribadi dengan tidak memperdulikan kerugian yang diderita oleh pemilik merek yang telah terdaftar sebelumnya tersebut yang ditirunya.</w:t>
      </w:r>
    </w:p>
    <w:p w:rsidR="00EE038C" w:rsidRPr="00305172" w:rsidRDefault="00EE038C" w:rsidP="0020090D">
      <w:pPr>
        <w:numPr>
          <w:ilvl w:val="6"/>
          <w:numId w:val="3"/>
        </w:numPr>
        <w:tabs>
          <w:tab w:val="clear" w:pos="5040"/>
          <w:tab w:val="left" w:pos="993"/>
        </w:tabs>
        <w:autoSpaceDE w:val="0"/>
        <w:autoSpaceDN w:val="0"/>
        <w:adjustRightInd w:val="0"/>
        <w:ind w:left="993" w:hanging="283"/>
        <w:jc w:val="both"/>
      </w:pPr>
      <w:r w:rsidRPr="00305172">
        <w:t>Tindakan pendaftaran merek dengan itikad tidak baik tersebut dengan sengaja telah melakukan perbuatan melawan hukum khususnya prinsip dasar pendaftaran merek dalam hal itikad baik dalam melakukan pendaftaran merek, sehingga konsekuensinya adalah merugikan merek yang telah terdaftar sebelumnya dan telah memiliki ketenaran serta nilai jual yang baik di pasaran.</w:t>
      </w:r>
      <w:r w:rsidRPr="00305172">
        <w:rPr>
          <w:rStyle w:val="FootnoteReference"/>
        </w:rPr>
        <w:footnoteReference w:id="18"/>
      </w:r>
    </w:p>
    <w:p w:rsidR="00EE038C" w:rsidRPr="00305172" w:rsidRDefault="00EE038C" w:rsidP="00EE038C">
      <w:pPr>
        <w:pStyle w:val="DefaultParagraphFont"/>
        <w:widowControl w:val="0"/>
        <w:overflowPunct w:val="0"/>
        <w:autoSpaceDE w:val="0"/>
        <w:autoSpaceDN w:val="0"/>
        <w:adjustRightInd w:val="0"/>
        <w:ind w:firstLine="720"/>
        <w:jc w:val="both"/>
      </w:pP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Dengan demikian dapat dikatakan itikad tidak baik dalam suatu pendaftaran merek dapat diklasifikasikan sebagai :</w:t>
      </w:r>
    </w:p>
    <w:p w:rsidR="00EE038C" w:rsidRPr="00305172" w:rsidRDefault="00EE038C" w:rsidP="0020090D">
      <w:pPr>
        <w:pStyle w:val="DefaultParagraphFont"/>
        <w:widowControl w:val="0"/>
        <w:numPr>
          <w:ilvl w:val="7"/>
          <w:numId w:val="3"/>
        </w:numPr>
        <w:tabs>
          <w:tab w:val="clear" w:pos="5760"/>
        </w:tabs>
        <w:overflowPunct w:val="0"/>
        <w:autoSpaceDE w:val="0"/>
        <w:autoSpaceDN w:val="0"/>
        <w:adjustRightInd w:val="0"/>
        <w:ind w:left="709" w:hanging="283"/>
        <w:jc w:val="both"/>
      </w:pPr>
      <w:r w:rsidRPr="00305172">
        <w:t>Tindakan/perbuatan meniru merek yang telah terdaftar sebelumnya, dan pada umumnya adalah merek yang sudah terkenal dan memiliki nilai jual dipasaran.</w:t>
      </w:r>
    </w:p>
    <w:p w:rsidR="00EE038C" w:rsidRPr="00305172" w:rsidRDefault="00EE038C" w:rsidP="0020090D">
      <w:pPr>
        <w:pStyle w:val="DefaultParagraphFont"/>
        <w:widowControl w:val="0"/>
        <w:numPr>
          <w:ilvl w:val="7"/>
          <w:numId w:val="3"/>
        </w:numPr>
        <w:tabs>
          <w:tab w:val="clear" w:pos="5760"/>
        </w:tabs>
        <w:overflowPunct w:val="0"/>
        <w:autoSpaceDE w:val="0"/>
        <w:autoSpaceDN w:val="0"/>
        <w:adjustRightInd w:val="0"/>
        <w:ind w:left="709" w:hanging="283"/>
        <w:jc w:val="both"/>
      </w:pPr>
      <w:r w:rsidRPr="00305172">
        <w:t>Merupakan suatu perbuatan yang dengan sengaja dilakukan untuk menyaingi merek yang sudah terdaftar dan memiliki nilai jual di pasaran tersebut dengan tujuan agar pendaftar merek dengan itikad tidak baik tersebut memperoleh keuntungan pribadi dengan tidak memperdulikan kerugian yang diderita oleh pemilik merek yang telah terdaftar sebelumnya tersebut yang ditirunya.</w:t>
      </w:r>
    </w:p>
    <w:p w:rsidR="00EE038C" w:rsidRPr="00305172" w:rsidRDefault="00EE038C" w:rsidP="0020090D">
      <w:pPr>
        <w:pStyle w:val="DefaultParagraphFont"/>
        <w:widowControl w:val="0"/>
        <w:numPr>
          <w:ilvl w:val="7"/>
          <w:numId w:val="3"/>
        </w:numPr>
        <w:tabs>
          <w:tab w:val="clear" w:pos="5760"/>
        </w:tabs>
        <w:overflowPunct w:val="0"/>
        <w:autoSpaceDE w:val="0"/>
        <w:autoSpaceDN w:val="0"/>
        <w:adjustRightInd w:val="0"/>
        <w:ind w:left="709" w:hanging="283"/>
        <w:jc w:val="both"/>
      </w:pPr>
      <w:r w:rsidRPr="00305172">
        <w:t xml:space="preserve">Tindakan pendaftaran merek dengan itikad tidak baik tersebut dengan sengaja telah melakukan perbuatan melawan hukum khususnya prinsip dasar pendaftaran merek dalam hal itikad baik dalam melakukan </w:t>
      </w:r>
      <w:r w:rsidRPr="00305172">
        <w:lastRenderedPageBreak/>
        <w:t>pendaftaran merek, sehingga konsekuensinya adalah merugikan merek yang telah terdaftar sebelumnya dan telah memiliki ketenaran serta nilai jual yang baik di pasaran.</w:t>
      </w:r>
      <w:r w:rsidRPr="00305172">
        <w:rPr>
          <w:rStyle w:val="FootnoteReference"/>
        </w:rPr>
        <w:footnoteReference w:id="19"/>
      </w:r>
    </w:p>
    <w:p w:rsidR="00EE038C" w:rsidRPr="00305172" w:rsidRDefault="00EE038C" w:rsidP="00EE038C">
      <w:pPr>
        <w:pStyle w:val="DefaultParagraphFont"/>
        <w:widowControl w:val="0"/>
        <w:overflowPunct w:val="0"/>
        <w:autoSpaceDE w:val="0"/>
        <w:autoSpaceDN w:val="0"/>
        <w:adjustRightInd w:val="0"/>
        <w:ind w:left="709"/>
        <w:jc w:val="both"/>
      </w:pP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t xml:space="preserve">Perbuatan pendaftaran merek dengan itikad tidak baik merupakan pelanggaran Pasal 20 UU Merek dan Indikasi Geografis, sebenarnya merupakan tindakan curang untuk membonceng merek yang sudah terkenal atau sesuatu yang sudah banyak dikenal masyarakat luas, sehingga dengan menggunakan merek yang demikian, suatu produk ikut menjadi dikenal di masyarakat. Perbuatan tersebut tidak sesuai dengan etika intelektual yang telah diatur dengan </w:t>
      </w:r>
      <w:r w:rsidRPr="00305172">
        <w:rPr>
          <w:lang w:val="id-ID"/>
        </w:rPr>
        <w:t>U</w:t>
      </w:r>
      <w:r w:rsidRPr="00305172">
        <w:t>ndang</w:t>
      </w:r>
      <w:r w:rsidRPr="00305172">
        <w:rPr>
          <w:lang w:val="id-ID"/>
        </w:rPr>
        <w:t>-U</w:t>
      </w:r>
      <w:r w:rsidRPr="00305172">
        <w:t>ndang. Suatu hasil karya orang lain tidak dapat ditiru begitu saja, tetapi terlebih dahulu harus dengan izin pemiliknya.</w:t>
      </w:r>
    </w:p>
    <w:p w:rsidR="00EE038C" w:rsidRPr="00305172" w:rsidRDefault="00EE038C" w:rsidP="00EE038C">
      <w:pPr>
        <w:pStyle w:val="DefaultParagraphFont"/>
        <w:widowControl w:val="0"/>
        <w:overflowPunct w:val="0"/>
        <w:autoSpaceDE w:val="0"/>
        <w:autoSpaceDN w:val="0"/>
        <w:adjustRightInd w:val="0"/>
        <w:spacing w:line="480" w:lineRule="auto"/>
        <w:ind w:firstLine="709"/>
        <w:jc w:val="both"/>
      </w:pPr>
      <w:r w:rsidRPr="00305172">
        <w:rPr>
          <w:lang w:val="id-ID"/>
        </w:rPr>
        <w:t xml:space="preserve"> </w:t>
      </w:r>
      <w:r w:rsidRPr="00305172">
        <w:t>Merek harus didaftarkan dengan itikad baik, artinya jika seseorang mencoba mendaftarkan merek yang disadarinya sebagai merek milik orang lain atau serupa dengan milik orang lain, maka merek tersebut tidak dapat didaftarkan. Persyaratan itikad baik juga berarti bahwa untuk dapat didaftarkan, sebuah merek harus digunakan atau dimaksudkan untuk digunakan dalam perdagangan barang dan/atau jasa sebagaimana diatur dalam Pasal 74 ayat (1) UU Merek dan Indikasi Geografis yang berbunyi “Merek tidak digunakan selama 3 (tiga) tahun berturut-turut dalam perdagangan barang dan/atau jasa sejak tanggal pendaftaran atau pemakaian terakhir, kecuali apabila ada alasan yang dapat diterima oleh Direktorat Jenderal” dan Pasal 21 ayat (3) UU Merek dan Indikasi Geografis yang berbunyi “Merek tidak dapat didaftar atas dasar permohonan yang diajukan oleh pemohon yang beritikad tidak baik.</w:t>
      </w:r>
    </w:p>
    <w:p w:rsidR="00EE038C" w:rsidRPr="00305172" w:rsidRDefault="00EE038C" w:rsidP="00EE038C">
      <w:pPr>
        <w:autoSpaceDE w:val="0"/>
        <w:autoSpaceDN w:val="0"/>
        <w:adjustRightInd w:val="0"/>
        <w:spacing w:line="480" w:lineRule="auto"/>
        <w:ind w:firstLine="709"/>
        <w:jc w:val="both"/>
      </w:pPr>
      <w:r w:rsidRPr="00305172">
        <w:lastRenderedPageBreak/>
        <w:t xml:space="preserve">Sebuah merek diajukan di Indonesia oleh seseorang yang tidak bermaksud memakai merek tersebut dan bertujuan untuk menghalangi pihak lain masuk ke pasar lokal, atau menghambat pesaing memperluas jaringan bisnisnya, merek tersebut tidak dapat didaftarkan di Indonesia. Pendaftaran merek harus </w:t>
      </w:r>
      <w:r w:rsidRPr="00305172">
        <w:rPr>
          <w:i/>
          <w:iCs/>
        </w:rPr>
        <w:t xml:space="preserve">bonafide </w:t>
      </w:r>
      <w:r w:rsidRPr="00305172">
        <w:t>atau dilakukan dengan itikad baik. Penggunaannya atau maksud untuk menggunakannya pun harus dengan itikad baik.</w:t>
      </w:r>
      <w:r w:rsidRPr="00305172">
        <w:rPr>
          <w:rStyle w:val="FootnoteReference"/>
        </w:rPr>
        <w:footnoteReference w:id="20"/>
      </w:r>
    </w:p>
    <w:p w:rsidR="00EE038C" w:rsidRPr="00305172" w:rsidRDefault="00EE038C" w:rsidP="00EE038C">
      <w:pPr>
        <w:autoSpaceDE w:val="0"/>
        <w:autoSpaceDN w:val="0"/>
        <w:adjustRightInd w:val="0"/>
        <w:spacing w:line="480" w:lineRule="auto"/>
        <w:ind w:firstLine="709"/>
        <w:jc w:val="both"/>
      </w:pPr>
      <w:r w:rsidRPr="00305172">
        <w:t>Itikad tidak baik dalam pendaftaran merek juga akan timbul jika seseorang telah memakai suatu merek dalam periode sebelumnya, tetapi memilih tidak mendaftarkan merek tersebut. Jika seseorang itu dapat membuktikan bahwa ia sudah menggunakan mereknya walaupun belum ia daftarkan maka usaha pendaftaran merek tersebut oleh orang lain dapat dicegah dengan menyebut usaha tadi sebagai itikad tidak baik.</w:t>
      </w:r>
    </w:p>
    <w:p w:rsidR="00EE038C" w:rsidRPr="00305172" w:rsidRDefault="00EE038C" w:rsidP="00EE038C">
      <w:pPr>
        <w:pStyle w:val="DefaultParagraphFont"/>
        <w:widowControl w:val="0"/>
        <w:overflowPunct w:val="0"/>
        <w:autoSpaceDE w:val="0"/>
        <w:autoSpaceDN w:val="0"/>
        <w:adjustRightInd w:val="0"/>
        <w:spacing w:line="456" w:lineRule="auto"/>
        <w:ind w:firstLine="709"/>
        <w:jc w:val="both"/>
      </w:pPr>
      <w:r w:rsidRPr="00305172">
        <w:t>Berdasarkan hal tersebut di atas, maka itikad tidak baik merupakan salah satu penyebab dibatalkan merek dagang sehingga penting adanya perlindungan hukum terhadap merek terkenal sudah didaftarkan. Kebutuhan akan adanya perlindungan hukum atas merek semakin berkembang pesat setelah banyak orang melakukan tindak kecurangan yakni pembajakan dan peniruan.</w:t>
      </w:r>
      <w:r w:rsidRPr="00305172">
        <w:rPr>
          <w:lang w:val="id-ID"/>
        </w:rPr>
        <w:t xml:space="preserve"> </w:t>
      </w:r>
      <w:r w:rsidRPr="00305172">
        <w:t>Terlebih setelah dunia perdagangan semakin maju berkembang serta alat transportasi yang semakin baik, juga dengan dilakukannya promosi maka wilayah pemasaran barang pun menjadi luas lagi.</w:t>
      </w:r>
      <w:r w:rsidRPr="00305172">
        <w:rPr>
          <w:rStyle w:val="FootnoteReference"/>
        </w:rPr>
        <w:footnoteReference w:id="21"/>
      </w:r>
    </w:p>
    <w:p w:rsidR="00EE038C" w:rsidRPr="00305172" w:rsidRDefault="00EE038C" w:rsidP="00EE038C">
      <w:pPr>
        <w:pStyle w:val="DefaultParagraphFont"/>
        <w:widowControl w:val="0"/>
        <w:overflowPunct w:val="0"/>
        <w:autoSpaceDE w:val="0"/>
        <w:autoSpaceDN w:val="0"/>
        <w:adjustRightInd w:val="0"/>
        <w:spacing w:line="456" w:lineRule="auto"/>
        <w:ind w:firstLine="709"/>
        <w:jc w:val="both"/>
      </w:pPr>
      <w:r w:rsidRPr="00305172">
        <w:rPr>
          <w:lang w:eastAsia="id-ID"/>
        </w:rPr>
        <w:t>P</w:t>
      </w:r>
      <w:r w:rsidRPr="00305172">
        <w:t xml:space="preserve">erlindungan hukum terhadap pemilik/pemegang merek terdaftar atas perbuatan pihak lain yang beritikad tidak baik dengan melakukan pemboncengan </w:t>
      </w:r>
      <w:r w:rsidRPr="00305172">
        <w:lastRenderedPageBreak/>
        <w:t>reputas</w:t>
      </w:r>
      <w:r w:rsidRPr="00305172">
        <w:rPr>
          <w:lang w:val="id-ID"/>
        </w:rPr>
        <w:t>i</w:t>
      </w:r>
      <w:r w:rsidRPr="00305172">
        <w:t xml:space="preserve"> terhadap merek terdaftar termuat di dalam ketentuan UU Merek dan Indikasi Geografis. Prinsipnya perlindungan hukum yang diberikan terhadap pemilik/pemegang merek terdaftar adalah perlindungan hukum dari pihak lain yang dengan sengaja membonceng ketenaran merek yang telah terdaftar terlebih dahulu tersebut dan sudah dikenal di masyarakat dengan tujuan untuk menguntungkan dirinya sendiri dengan cara mendaftarkan merek yang memiliki persamaan pada pokoknya atau persamaan secara keseluruhan terhadap merek yang sudah dikenal di masyarakat tersebut.</w:t>
      </w:r>
    </w:p>
    <w:p w:rsidR="00EE038C" w:rsidRPr="00305172" w:rsidRDefault="00EE038C" w:rsidP="00EE038C">
      <w:pPr>
        <w:pStyle w:val="BodyTextIndent"/>
        <w:spacing w:line="456" w:lineRule="auto"/>
        <w:ind w:firstLine="709"/>
        <w:rPr>
          <w:i/>
          <w:iCs/>
          <w:lang w:eastAsia="id-ID"/>
        </w:rPr>
      </w:pPr>
      <w:r w:rsidRPr="00305172">
        <w:rPr>
          <w:lang w:val="id-ID" w:eastAsia="id-ID"/>
        </w:rPr>
        <w:t>Sebagai salah satu Hak atas Kekayaan Intelektual (HKI) merek memiliki fungsi yang sangat penting dan strategis. Pentingnya hak merek tidak hanya pada pembedaan barang atau jasa sejenis saja, melainkan juga berfungsi sebagai asset perusahaan yang tidak ternilai harganya, khususnya untuk merek-merek yang berpredikat terkenal</w:t>
      </w:r>
      <w:r w:rsidRPr="00305172">
        <w:rPr>
          <w:i/>
          <w:iCs/>
          <w:lang w:val="id-ID" w:eastAsia="id-ID"/>
        </w:rPr>
        <w:t>.</w:t>
      </w:r>
    </w:p>
    <w:p w:rsidR="00EE038C" w:rsidRPr="00305172" w:rsidRDefault="00EE038C" w:rsidP="00EE038C">
      <w:pPr>
        <w:pStyle w:val="BodyTextIndent"/>
        <w:spacing w:line="456" w:lineRule="auto"/>
        <w:ind w:firstLine="709"/>
        <w:rPr>
          <w:lang w:eastAsia="id-ID"/>
        </w:rPr>
      </w:pPr>
      <w:r w:rsidRPr="00305172">
        <w:t xml:space="preserve">Akibat hukum terhadap pembonceng merek terkenal di Indonesia menurut UU Merek dan Indikasi Geografis maka merek tersebut akan dibatalkan. </w:t>
      </w:r>
      <w:r w:rsidRPr="00305172">
        <w:rPr>
          <w:lang w:val="id-ID" w:eastAsia="id-ID"/>
        </w:rPr>
        <w:t xml:space="preserve">Prakteknya, apabila terjadi </w:t>
      </w:r>
      <w:r w:rsidRPr="00305172">
        <w:t>pembonceng merek terkenal di Indonesia menurut UU Merek dan Indikasi Geografis</w:t>
      </w:r>
      <w:r w:rsidRPr="00305172">
        <w:rPr>
          <w:lang w:val="id-ID" w:eastAsia="id-ID"/>
        </w:rPr>
        <w:t xml:space="preserve">, pemilik merek yang dilanggar dapat mengajukan upaya gugatan pembatalan merek pada Pengadilan Niaga. </w:t>
      </w:r>
      <w:r w:rsidRPr="00305172">
        <w:rPr>
          <w:lang w:eastAsia="id-ID"/>
        </w:rPr>
        <w:t xml:space="preserve">Pasal 532 </w:t>
      </w:r>
      <w:r w:rsidRPr="00305172">
        <w:t>UU Merek dan Indikasi Geografis menyebutkan :</w:t>
      </w:r>
    </w:p>
    <w:p w:rsidR="00EE038C" w:rsidRPr="00305172" w:rsidRDefault="00EE038C" w:rsidP="0020090D">
      <w:pPr>
        <w:numPr>
          <w:ilvl w:val="0"/>
          <w:numId w:val="13"/>
        </w:numPr>
        <w:autoSpaceDE w:val="0"/>
        <w:autoSpaceDN w:val="0"/>
        <w:adjustRightInd w:val="0"/>
        <w:spacing w:line="480" w:lineRule="auto"/>
        <w:ind w:left="284" w:hanging="284"/>
        <w:jc w:val="both"/>
      </w:pPr>
      <w:r w:rsidRPr="00305172">
        <w:t>Gugatan pembatalan pendaftaran merek dapat diajukan oleh pihak yang berkepentingan berdasarkan alasan sebagaimana dimaksud dalam Pasal 20 dan Pasal 21.</w:t>
      </w:r>
    </w:p>
    <w:p w:rsidR="00EE038C" w:rsidRPr="00305172" w:rsidRDefault="00EE038C" w:rsidP="0020090D">
      <w:pPr>
        <w:numPr>
          <w:ilvl w:val="0"/>
          <w:numId w:val="13"/>
        </w:numPr>
        <w:autoSpaceDE w:val="0"/>
        <w:autoSpaceDN w:val="0"/>
        <w:adjustRightInd w:val="0"/>
        <w:spacing w:line="480" w:lineRule="auto"/>
        <w:ind w:left="284" w:hanging="284"/>
        <w:jc w:val="both"/>
      </w:pPr>
      <w:r w:rsidRPr="00305172">
        <w:lastRenderedPageBreak/>
        <w:t>Pemilik merek yang tidak terdaftar dapat mengajukan gugatan setelah mengajukan Permohonan kepada Direktorat Jenderal.</w:t>
      </w:r>
    </w:p>
    <w:p w:rsidR="00EE038C" w:rsidRPr="00305172" w:rsidRDefault="00EE038C" w:rsidP="0020090D">
      <w:pPr>
        <w:numPr>
          <w:ilvl w:val="0"/>
          <w:numId w:val="13"/>
        </w:numPr>
        <w:autoSpaceDE w:val="0"/>
        <w:autoSpaceDN w:val="0"/>
        <w:adjustRightInd w:val="0"/>
        <w:spacing w:line="480" w:lineRule="auto"/>
        <w:ind w:left="284" w:hanging="284"/>
        <w:jc w:val="both"/>
      </w:pPr>
      <w:r w:rsidRPr="00305172">
        <w:t>Gugatan pembatalan diajukan kepada Pengadilan Niaga.</w:t>
      </w:r>
    </w:p>
    <w:p w:rsidR="00EE038C" w:rsidRPr="00305172" w:rsidRDefault="00EE038C" w:rsidP="0020090D">
      <w:pPr>
        <w:numPr>
          <w:ilvl w:val="0"/>
          <w:numId w:val="13"/>
        </w:numPr>
        <w:autoSpaceDE w:val="0"/>
        <w:autoSpaceDN w:val="0"/>
        <w:adjustRightInd w:val="0"/>
        <w:spacing w:line="480" w:lineRule="auto"/>
        <w:ind w:left="284" w:hanging="284"/>
        <w:jc w:val="both"/>
      </w:pPr>
      <w:r w:rsidRPr="00305172">
        <w:t>Dalam hal penggugat atau tergugat bertempat tinggal di luar wilayah Negara Republik Indonesia, gugatan diajukan kepada Menteri Hukum dan HAM RI.</w:t>
      </w:r>
    </w:p>
    <w:p w:rsidR="00EE038C" w:rsidRPr="00305172" w:rsidRDefault="00EE038C" w:rsidP="00EE038C">
      <w:pPr>
        <w:pStyle w:val="BodyTextIndent"/>
        <w:ind w:firstLine="709"/>
      </w:pPr>
      <w:r w:rsidRPr="00305172">
        <w:t>Menurut Pasal 78 UU Merek dan Indikasi Geografis, putusan Pengadilan Niaga yang memutuskan gugatan pembatalan hanya dapat diajukan kasasi. Isi putusan badan peradilan dimaksud segera disampaikan oleh panitera yang bersangkutan kepada Direktorat Jenderal H</w:t>
      </w:r>
      <w:r w:rsidRPr="00305172">
        <w:rPr>
          <w:lang w:val="id-ID"/>
        </w:rPr>
        <w:t>AKI</w:t>
      </w:r>
      <w:r w:rsidRPr="00305172">
        <w:t xml:space="preserve"> setelah tanggal putusan diucapkan. Direktorat Jenderal H</w:t>
      </w:r>
      <w:r w:rsidRPr="00305172">
        <w:rPr>
          <w:lang w:val="id-ID"/>
        </w:rPr>
        <w:t>A</w:t>
      </w:r>
      <w:r w:rsidRPr="00305172">
        <w:t>K</w:t>
      </w:r>
      <w:r w:rsidRPr="00305172">
        <w:rPr>
          <w:lang w:val="id-ID"/>
        </w:rPr>
        <w:t>I</w:t>
      </w:r>
      <w:r w:rsidRPr="00305172">
        <w:t xml:space="preserve"> hanya akan melaksanakan pembatalan merek terdaftar yang bersangkutan dari daftar umum merek dan mengumumkannya dalam berita resmi merek setelah putusan badan peradilannya diterima dan mempunyai kekuatan hukum tetap.</w:t>
      </w:r>
    </w:p>
    <w:p w:rsidR="00EE038C" w:rsidRPr="00305172" w:rsidRDefault="00EE038C" w:rsidP="00EE038C">
      <w:pPr>
        <w:pStyle w:val="BodyTextIndent"/>
        <w:spacing w:line="456" w:lineRule="auto"/>
        <w:ind w:firstLine="709"/>
      </w:pPr>
      <w:r w:rsidRPr="00305172">
        <w:t>Mengenai cara untuk melakukan pembatalan merek terdaftar, Pasal 79 UU Merek dan Indikasi Geografis menyatakan bahwa</w:t>
      </w:r>
      <w:r w:rsidRPr="00305172">
        <w:rPr>
          <w:lang w:val="id-ID"/>
        </w:rPr>
        <w:t xml:space="preserve"> </w:t>
      </w:r>
      <w:r w:rsidRPr="00305172">
        <w:t xml:space="preserve">Pembatalan dilakukan oleh Direktorat Jenderal HaKI dengan cara mencoret merek yang bersangkutan dari daftar umum merek dengan memberi catatan tentang alasan dan tanggal pembatalannya dan memberitahukannya secara tertulis kepada pemilik merek atau kuasanya. </w:t>
      </w:r>
    </w:p>
    <w:p w:rsidR="00EE038C" w:rsidRPr="00305172" w:rsidRDefault="00EE038C" w:rsidP="00EE038C">
      <w:pPr>
        <w:pStyle w:val="BodyTextIndent"/>
        <w:spacing w:line="456" w:lineRule="auto"/>
        <w:ind w:firstLine="709"/>
      </w:pPr>
      <w:r w:rsidRPr="00305172">
        <w:lastRenderedPageBreak/>
        <w:t>Surat pemberitahuan harus menyebutkan secara jelas alasan pembatalannya dan menegaskan bahwa sejak tanggal pencoretan dari daftar umum merek, sertifikat mereknya dinyatakan tidak berlaku. Pencoretan dimaksud harus diumumkan dalam berita resmi merek. Dengan adanya pembatalan dan pencoretan merek terdaftar dari daftar umum merek, membawa konsekwensi hukum menjadi berakhirnya perlindungan hukum atas merek yang bersangkutan.</w:t>
      </w:r>
      <w:r w:rsidRPr="00305172">
        <w:rPr>
          <w:rStyle w:val="FootnoteReference"/>
        </w:rPr>
        <w:footnoteReference w:id="22"/>
      </w:r>
    </w:p>
    <w:p w:rsidR="00EE038C" w:rsidRPr="00305172" w:rsidRDefault="00EE038C" w:rsidP="00EE038C">
      <w:pPr>
        <w:autoSpaceDE w:val="0"/>
        <w:autoSpaceDN w:val="0"/>
        <w:adjustRightInd w:val="0"/>
        <w:spacing w:line="480" w:lineRule="auto"/>
        <w:ind w:firstLine="709"/>
        <w:jc w:val="both"/>
      </w:pPr>
      <w:r w:rsidRPr="00305172">
        <w:t xml:space="preserve">Pasal 77 UU Merek dan Indikasi Geografis dinyatakan, bahwa selain alasan di atas, terhadap merek kolektif dapat pula dimohonkan pembatalannya kepada Pengadilan Niaga apabila penggunaan merek kolektif bertentangan dengan ketentuan Pasal 68 UU Merek dan Indikasi Geografis, yaitu persyaratan permohonan pendaftaran merek kolektif. </w:t>
      </w:r>
    </w:p>
    <w:p w:rsidR="00EE038C" w:rsidRPr="00305172" w:rsidRDefault="00EE038C" w:rsidP="00EE038C">
      <w:pPr>
        <w:autoSpaceDE w:val="0"/>
        <w:autoSpaceDN w:val="0"/>
        <w:adjustRightInd w:val="0"/>
        <w:spacing w:line="480" w:lineRule="auto"/>
        <w:ind w:firstLine="709"/>
        <w:jc w:val="both"/>
      </w:pPr>
      <w:r w:rsidRPr="00305172">
        <w:t xml:space="preserve">Gugatan pembatalan dapat diajukan dengan memperhatikan jangka waktu apabila merek yang bersangkutan bertentangan dengan moralitas agama, kesusilaan dan ketertiban umum. Gugatan pembatalan pendaftaran merek hanya dapat diajukan di Pengadilan Niaga pada Pengadilan Negeri tempat dimana merek tersebut didaftarkan dalam jangka waktu 5 (lima) tahun sejak tanggal pendaftaran merek tersebut sesuai ketentuan Pasal 77 ayat (1) UU Merek dan Indikasi Geografis. Kemudian pada Pasal 77 ayat (2) UU Merek dan Indikasi Geografis disebutkan bahwa gugatan pembatalan terhadap merek yang telah terdaftar dapat diajukan tanpa batas waktu jika terdapat unsur itikad tidak baik dan /atau merek </w:t>
      </w:r>
      <w:r w:rsidRPr="00305172">
        <w:lastRenderedPageBreak/>
        <w:t>yang bersangkutan bertentangan dengan idiologi negara, peraturan perundang-undangan, moralitas, agama, kesusilaan, atau ketertiban umum.</w:t>
      </w:r>
    </w:p>
    <w:p w:rsidR="00EE038C" w:rsidRPr="00305172" w:rsidRDefault="00EE038C" w:rsidP="00EE038C">
      <w:pPr>
        <w:autoSpaceDE w:val="0"/>
        <w:autoSpaceDN w:val="0"/>
        <w:adjustRightInd w:val="0"/>
        <w:spacing w:line="456" w:lineRule="auto"/>
        <w:ind w:firstLine="709"/>
        <w:jc w:val="both"/>
      </w:pPr>
      <w:r w:rsidRPr="00305172">
        <w:t>Konsek</w:t>
      </w:r>
      <w:r w:rsidRPr="00305172">
        <w:rPr>
          <w:lang w:val="id-ID"/>
        </w:rPr>
        <w:t>u</w:t>
      </w:r>
      <w:r w:rsidRPr="00305172">
        <w:t>ensi adanya perlindungan hukum hak atas merek, pemilik merek terdaftar mempunyai hak untuk mengajukan gugatan perdata berupa ganti rugi jika mereknya dipergunakan pihak lain tanpa hak atau izin darinya. Pasal 83 ayat (1) dan (2) UU Merek dan Indikasi Geografis  dinyatakan bahwa Pemilik merek terdaftar dapat mengajukan gugatan terhadap pihak lain yang secara tanpa hak menggunakan merek yang mempunyai persamaan pada pokoknya atau keseluruhannya untuk barang atau jasa yang sejenis berupa</w:t>
      </w:r>
      <w:r w:rsidRPr="00305172">
        <w:rPr>
          <w:lang w:val="id-ID"/>
        </w:rPr>
        <w:t xml:space="preserve"> </w:t>
      </w:r>
      <w:r w:rsidRPr="00305172">
        <w:t>:</w:t>
      </w:r>
    </w:p>
    <w:p w:rsidR="00EE038C" w:rsidRPr="00305172" w:rsidRDefault="00EE038C" w:rsidP="0020090D">
      <w:pPr>
        <w:numPr>
          <w:ilvl w:val="2"/>
          <w:numId w:val="8"/>
        </w:numPr>
        <w:autoSpaceDE w:val="0"/>
        <w:autoSpaceDN w:val="0"/>
        <w:adjustRightInd w:val="0"/>
        <w:spacing w:line="456" w:lineRule="auto"/>
        <w:ind w:left="360"/>
        <w:jc w:val="both"/>
      </w:pPr>
      <w:r w:rsidRPr="00305172">
        <w:t>Gugatan ganti rugi, dan/atau</w:t>
      </w:r>
      <w:r w:rsidRPr="00305172">
        <w:rPr>
          <w:lang w:val="id-ID"/>
        </w:rPr>
        <w:t>,</w:t>
      </w:r>
    </w:p>
    <w:p w:rsidR="00EE038C" w:rsidRPr="00305172" w:rsidRDefault="00EE038C" w:rsidP="0020090D">
      <w:pPr>
        <w:numPr>
          <w:ilvl w:val="2"/>
          <w:numId w:val="8"/>
        </w:numPr>
        <w:autoSpaceDE w:val="0"/>
        <w:autoSpaceDN w:val="0"/>
        <w:adjustRightInd w:val="0"/>
        <w:spacing w:line="456" w:lineRule="auto"/>
        <w:ind w:left="360"/>
        <w:jc w:val="both"/>
      </w:pPr>
      <w:r w:rsidRPr="00305172">
        <w:t>Penghentian semua perbuatan yang berkaitan dengan penggunaan merek tersebut</w:t>
      </w:r>
      <w:r w:rsidRPr="00305172">
        <w:rPr>
          <w:lang w:val="id-ID"/>
        </w:rPr>
        <w:t>.</w:t>
      </w:r>
    </w:p>
    <w:p w:rsidR="00EE038C" w:rsidRPr="00305172" w:rsidRDefault="00EE038C" w:rsidP="00EE038C">
      <w:pPr>
        <w:autoSpaceDE w:val="0"/>
        <w:autoSpaceDN w:val="0"/>
        <w:adjustRightInd w:val="0"/>
        <w:spacing w:line="456" w:lineRule="auto"/>
        <w:ind w:firstLine="709"/>
        <w:jc w:val="both"/>
      </w:pPr>
      <w:r w:rsidRPr="00305172">
        <w:rPr>
          <w:lang w:eastAsia="id-ID"/>
        </w:rPr>
        <w:t xml:space="preserve">Berdasarkan </w:t>
      </w:r>
      <w:r w:rsidRPr="00305172">
        <w:t xml:space="preserve">Pasal 83 ayat (1) dan (2) UU Merek dan Indikasi Geografis dapat diketahui ada jenis bentuk tuntutan gugatan atas pelanggaran merek terdaftar, yaitu gugatan ganti rugi atau penghentian penggunaan merek yang dilanggarnya. Ganti rugi disini dapat pula berupa ganti rugi materiil dan ganti rugi immateriil. Ganti rugi materiil berupa kerugian yang nyata dan dapat dinilai dengan uang. Misalnya akibat pemakaian merek oleh pihak yang tidak berhak tersebut menyebabkan produk barangnya menjadi sedikit terjual oleh karena konsumen membeli produk barang yang menggunakan merek palsu yang diproduksi oleh pihak yang tidak berhak tersebut. Jadi secara kuantitas barang-barang dengan merek yang sama menjadi banyak beredar di pasaran. Sedangkan ganti rugi immateriil berupa tuntutan ganti rugi yang disebabkan oleh penggunaan merek dengan tanpa hak, sehingga pihak yang berhak menderita kerugian secara </w:t>
      </w:r>
      <w:r w:rsidRPr="00305172">
        <w:lastRenderedPageBreak/>
        <w:t>moral. Misalnya pihak yang tidak berhak atas merek tersebut memproduksi barang dengan kualitas (mutu) yang rendah, untuk kemudian berakibat kepada konsumen sehingga ia tidak mengkonsumsi produk yang dikeluarkan oleh pemilik merek yang bersangkutan.</w:t>
      </w:r>
      <w:r w:rsidRPr="00305172">
        <w:rPr>
          <w:rStyle w:val="FootnoteReference"/>
        </w:rPr>
        <w:footnoteReference w:id="23"/>
      </w:r>
    </w:p>
    <w:p w:rsidR="00EE038C" w:rsidRPr="00305172" w:rsidRDefault="00EE038C" w:rsidP="00EE038C">
      <w:pPr>
        <w:autoSpaceDE w:val="0"/>
        <w:autoSpaceDN w:val="0"/>
        <w:adjustRightInd w:val="0"/>
        <w:spacing w:line="456" w:lineRule="auto"/>
        <w:ind w:firstLine="709"/>
        <w:jc w:val="both"/>
      </w:pPr>
      <w:r w:rsidRPr="00305172">
        <w:rPr>
          <w:lang w:val="id-ID"/>
        </w:rPr>
        <w:t>S</w:t>
      </w:r>
      <w:r w:rsidRPr="00305172">
        <w:t>eorang pemegang merek atau pemegang lisensi menemukan bahwa merek yang dimiliki digunakan oleh orang lain maka pemegang merek atau pemegang lisensi berhak mengajukan gugatan ke Pengadilan.</w:t>
      </w:r>
      <w:r w:rsidRPr="00305172">
        <w:rPr>
          <w:lang w:val="id-ID"/>
        </w:rPr>
        <w:t xml:space="preserve"> G</w:t>
      </w:r>
      <w:r w:rsidRPr="00305172">
        <w:t>ugatan yang dimaksud mengenai merek, baik mengenai siapa yang lebih berhak mengajukan permintaan merek ataupun mengenai status sebagai penemu merek yang pertama kali ataupun mengenai sah atau tidaknya penyerahan hak merek kepada orang lain melalui pewarisan, hibah, wasiat, atau perjanjian yang disebut oleh mereka, maka orang tersebut dapat mengajukan tuntutannya untuk menggugat orang lain di Pengadilan Niaga.</w:t>
      </w:r>
    </w:p>
    <w:p w:rsidR="00EE038C" w:rsidRPr="00305172" w:rsidRDefault="00EE038C" w:rsidP="00EE038C">
      <w:pPr>
        <w:spacing w:line="480" w:lineRule="auto"/>
        <w:ind w:firstLine="709"/>
        <w:jc w:val="both"/>
      </w:pPr>
      <w:r w:rsidRPr="00305172">
        <w:rPr>
          <w:lang w:val="id-ID"/>
        </w:rPr>
        <w:t>G</w:t>
      </w:r>
      <w:r w:rsidRPr="00305172">
        <w:t>anti rugi itu dapat pula berupa ganti rugi materil dan ganti rugi immaterial. Ganti rugi materil yaitu berupa kerugian yang nyata dan dapat dinilai dengan uang.</w:t>
      </w:r>
      <w:r w:rsidRPr="00305172">
        <w:rPr>
          <w:lang w:val="id-ID"/>
        </w:rPr>
        <w:t xml:space="preserve"> M</w:t>
      </w:r>
      <w:r w:rsidRPr="00305172">
        <w:t>isalnya akibat pemak</w:t>
      </w:r>
      <w:r w:rsidRPr="00305172">
        <w:rPr>
          <w:lang w:val="id-ID"/>
        </w:rPr>
        <w:t>a</w:t>
      </w:r>
      <w:r w:rsidRPr="00305172">
        <w:t>ian merek oleh pihak yang tidak berhak tersebut menyebabkan produk barangnya menjadi sedikit terjual oleh konsumen membeli produk barang yang menggunakan merek palsu yang diproduksi oleh pihak yang tidak berhak tersebut. Jadi secara kuantitas barang-barang dengan merek yang sama menjadi banyak beredar di pasaran.</w:t>
      </w:r>
    </w:p>
    <w:p w:rsidR="00EE038C" w:rsidRPr="00305172" w:rsidRDefault="00EE038C" w:rsidP="00EE038C">
      <w:pPr>
        <w:spacing w:line="480" w:lineRule="auto"/>
        <w:ind w:firstLine="709"/>
        <w:jc w:val="both"/>
      </w:pPr>
      <w:r w:rsidRPr="00305172">
        <w:rPr>
          <w:lang w:val="id-ID"/>
        </w:rPr>
        <w:t>G</w:t>
      </w:r>
      <w:r w:rsidRPr="00305172">
        <w:t xml:space="preserve">anti rugi immaterial yaitu berupa tuntutan ganti rugi yang disebabkan oleh pemakaian merek dengan tanpa </w:t>
      </w:r>
      <w:r w:rsidRPr="00305172">
        <w:rPr>
          <w:lang w:val="id-ID"/>
        </w:rPr>
        <w:t xml:space="preserve">hak </w:t>
      </w:r>
      <w:r w:rsidRPr="00305172">
        <w:t xml:space="preserve">sehingga pihak yang berhak menderita kerugian secara moril. Misalnya pihak yang tidak berhak atas merek tersebut </w:t>
      </w:r>
      <w:r w:rsidRPr="00305172">
        <w:lastRenderedPageBreak/>
        <w:t>memproduksi barang dengan kualitas (mutu) yang rendah, untuk kemudian berakibat kepada konsumen sehingga ia tidak mengkonsumsi produk yang dikeluarkan oleh pemilik merek yang bersangkutan.</w:t>
      </w:r>
    </w:p>
    <w:p w:rsidR="00EE038C" w:rsidRPr="00305172" w:rsidRDefault="00EE038C" w:rsidP="00EE038C">
      <w:pPr>
        <w:spacing w:line="480" w:lineRule="auto"/>
        <w:ind w:firstLine="709"/>
        <w:jc w:val="both"/>
        <w:rPr>
          <w:lang w:val="id-ID"/>
        </w:rPr>
      </w:pPr>
      <w:r w:rsidRPr="00305172">
        <w:rPr>
          <w:lang w:val="id-ID"/>
        </w:rPr>
        <w:t>D</w:t>
      </w:r>
      <w:r w:rsidRPr="00305172">
        <w:t xml:space="preserve">itentukannya Pengadilan Niaga sebagai lembaga peradilan formal untuk gugatan yang bersifat keperdataan, maka terbuka kesempatan luas kepada pemegang merek untuk mempertahankan haknya, tanpa pembatalan lembaga peradilan seperti pada </w:t>
      </w:r>
      <w:r w:rsidRPr="00305172">
        <w:rPr>
          <w:lang w:val="id-ID"/>
        </w:rPr>
        <w:t>Undang-Undang</w:t>
      </w:r>
      <w:r w:rsidRPr="00305172">
        <w:t xml:space="preserve"> yang lama. Apalagi setelah jelas bahwa hak tuntutan dalam hukum benda lainnya. Peristiwanya juga adalah peristiwa perdata yaitu berkisar tentang </w:t>
      </w:r>
      <w:r w:rsidRPr="00305172">
        <w:rPr>
          <w:i/>
        </w:rPr>
        <w:t xml:space="preserve">onrechtsmatigedaad </w:t>
      </w:r>
      <w:r w:rsidRPr="00305172">
        <w:t>atau wanprestasi</w:t>
      </w:r>
      <w:r w:rsidRPr="00305172">
        <w:rPr>
          <w:lang w:val="id-ID"/>
        </w:rPr>
        <w:t>.</w:t>
      </w:r>
      <w:r w:rsidRPr="00305172">
        <w:rPr>
          <w:rStyle w:val="FootnoteReference"/>
          <w:i/>
          <w:lang w:val="id-ID"/>
        </w:rPr>
        <w:footnoteReference w:id="24"/>
      </w:r>
    </w:p>
    <w:p w:rsidR="00EE038C" w:rsidRPr="00305172" w:rsidRDefault="00EE038C" w:rsidP="00EE038C">
      <w:pPr>
        <w:spacing w:line="480" w:lineRule="auto"/>
        <w:ind w:firstLine="709"/>
        <w:jc w:val="both"/>
      </w:pPr>
      <w:r w:rsidRPr="00305172">
        <w:rPr>
          <w:lang w:val="id-ID"/>
        </w:rPr>
        <w:t>Berdasarkan hal tersebut di atas, maka h</w:t>
      </w:r>
      <w:r w:rsidRPr="00305172">
        <w:t>ak atas merek diberikan bagi pemohon yang beritikad baik yang mendaftarkan mereknya secara layak dan jujur tanpa ada niat apapun untuk meniru atau menjiplak ketenaran merek pihak lain demi kepentingan usahanya yang berakibat kerugian pada pihak lain itu atau menimbulkan kondisi persaingan curang, mengecoh atau menyesatkan konsumen. Misalnya merek dagang A yang sudah dikenal masyarakat secara umum sejak bertahun-tahun ditiru sedemikian rupa sehingga memiliki persamaan pada pokoknya atau keseluruhannya dengan merek dagang A tersebut. Dalam</w:t>
      </w:r>
      <w:r w:rsidRPr="00305172">
        <w:rPr>
          <w:lang w:val="id-ID"/>
        </w:rPr>
        <w:t xml:space="preserve"> </w:t>
      </w:r>
      <w:r w:rsidRPr="00305172">
        <w:t>contoh tersebut itu sudah terjadi itikad tidak baik dari peniru karena setidak-tidaknya patut diketahui unsur kesengajaannya dalam meniru merek dagang yang sudah dikenal tersebut.</w:t>
      </w:r>
    </w:p>
    <w:p w:rsidR="00EE038C" w:rsidRPr="00305172" w:rsidRDefault="00EE038C" w:rsidP="00EE038C">
      <w:pPr>
        <w:spacing w:line="480" w:lineRule="auto"/>
        <w:ind w:firstLine="709"/>
        <w:jc w:val="both"/>
      </w:pPr>
      <w:r w:rsidRPr="00305172">
        <w:t xml:space="preserve">Konsekuensi yang harus ditanggung terhadap pelanggaran merek  yang berkaitan dengan prinsip itikad baik </w:t>
      </w:r>
      <w:r w:rsidRPr="00305172">
        <w:rPr>
          <w:i/>
          <w:iCs/>
        </w:rPr>
        <w:t>(good faith)</w:t>
      </w:r>
      <w:r w:rsidRPr="00305172">
        <w:t xml:space="preserve">. Pelanggaran yang berkaitan </w:t>
      </w:r>
      <w:r w:rsidRPr="00305172">
        <w:lastRenderedPageBreak/>
        <w:t>dengan itikad baik tidak dapat lepas dari pelanggaran yang memuat persamaan pada pokoknya serta keseluruhan dan merek terkenal. Adapun konsekuensi tersebut adalah :</w:t>
      </w:r>
    </w:p>
    <w:p w:rsidR="00EE038C" w:rsidRPr="00305172" w:rsidRDefault="00EE038C" w:rsidP="0020090D">
      <w:pPr>
        <w:numPr>
          <w:ilvl w:val="0"/>
          <w:numId w:val="9"/>
        </w:numPr>
        <w:autoSpaceDE w:val="0"/>
        <w:autoSpaceDN w:val="0"/>
        <w:adjustRightInd w:val="0"/>
        <w:spacing w:line="480" w:lineRule="auto"/>
        <w:ind w:left="360"/>
        <w:jc w:val="both"/>
        <w:rPr>
          <w:lang w:val="id-ID" w:eastAsia="id-ID"/>
        </w:rPr>
      </w:pPr>
      <w:r w:rsidRPr="00305172">
        <w:rPr>
          <w:lang w:val="id-ID" w:eastAsia="id-ID"/>
        </w:rPr>
        <w:t>Penolakan pendaftaran oleh kantor merek</w:t>
      </w:r>
    </w:p>
    <w:p w:rsidR="00EE038C" w:rsidRPr="00305172" w:rsidRDefault="00EE038C" w:rsidP="00EE038C">
      <w:pPr>
        <w:autoSpaceDE w:val="0"/>
        <w:autoSpaceDN w:val="0"/>
        <w:adjustRightInd w:val="0"/>
        <w:spacing w:line="480" w:lineRule="auto"/>
        <w:ind w:firstLine="709"/>
        <w:jc w:val="both"/>
        <w:rPr>
          <w:lang w:val="id-ID" w:eastAsia="id-ID"/>
        </w:rPr>
      </w:pPr>
      <w:r w:rsidRPr="00305172">
        <w:rPr>
          <w:lang w:val="id-ID" w:eastAsia="id-ID"/>
        </w:rPr>
        <w:t>Mekanisme perlindungan hukum terhadap merek terkenal selain melalui inisiatif pemilik merek tersebut untuk mendaftarkan mereknya, dapat pula ditempuh melalui penolakan oleh Kantor Merek terhadap permintaan pendaftaran merek yang sama pada pokoknya atau keseluruhannya dengan merek terkenal.</w:t>
      </w:r>
      <w:r w:rsidRPr="00305172">
        <w:rPr>
          <w:lang w:eastAsia="id-ID"/>
        </w:rPr>
        <w:t xml:space="preserve"> </w:t>
      </w:r>
      <w:r w:rsidRPr="00305172">
        <w:rPr>
          <w:lang w:val="id-ID" w:eastAsia="id-ID"/>
        </w:rPr>
        <w:t>Peniruan tersebut dapat berupa peniruan pada pokoknya atau peniruan pada keseluruhannya. Peniruan pada pokoknya berarti hampir sama, sedangkan peniruan pada keseluruhannya berarti sama persis dengan merek yang sudah terdaftar. Oleh karena itu jika ada orang mendaftarkan merek yang memiliki persamaan pada pokoknya dengan merek yang telah ada, maka harus ditolak oleh kantor merek.</w:t>
      </w:r>
      <w:r w:rsidRPr="00305172">
        <w:rPr>
          <w:rStyle w:val="FootnoteReference"/>
          <w:lang w:val="id-ID" w:eastAsia="id-ID"/>
        </w:rPr>
        <w:footnoteReference w:id="25"/>
      </w:r>
    </w:p>
    <w:p w:rsidR="00EE038C" w:rsidRPr="00305172" w:rsidRDefault="00EE038C" w:rsidP="0020090D">
      <w:pPr>
        <w:numPr>
          <w:ilvl w:val="0"/>
          <w:numId w:val="9"/>
        </w:numPr>
        <w:autoSpaceDE w:val="0"/>
        <w:autoSpaceDN w:val="0"/>
        <w:adjustRightInd w:val="0"/>
        <w:spacing w:line="480" w:lineRule="auto"/>
        <w:ind w:left="360"/>
        <w:jc w:val="both"/>
        <w:rPr>
          <w:lang w:val="id-ID" w:eastAsia="id-ID"/>
        </w:rPr>
      </w:pPr>
      <w:r w:rsidRPr="00305172">
        <w:rPr>
          <w:lang w:val="id-ID" w:eastAsia="id-ID"/>
        </w:rPr>
        <w:t>Pembatalan merek terdaftar</w:t>
      </w:r>
    </w:p>
    <w:p w:rsidR="00EE038C" w:rsidRPr="00305172" w:rsidRDefault="00EE038C" w:rsidP="00EE038C">
      <w:pPr>
        <w:autoSpaceDE w:val="0"/>
        <w:autoSpaceDN w:val="0"/>
        <w:adjustRightInd w:val="0"/>
        <w:spacing w:line="480" w:lineRule="auto"/>
        <w:ind w:firstLine="709"/>
        <w:jc w:val="both"/>
        <w:rPr>
          <w:lang w:val="id-ID" w:eastAsia="id-ID"/>
        </w:rPr>
      </w:pPr>
      <w:r w:rsidRPr="00305172">
        <w:rPr>
          <w:lang w:val="id-ID" w:eastAsia="id-ID"/>
        </w:rPr>
        <w:t>Melindungi pemilik merek yang sah, maka dapat dilakukan dengan jalan pembatalan merek terdaftar yang melanggar hak merek orang lain. Akibat kesalahan pendaftaran yang dilakukan oleh petugas Kantor Merek, suatu merek yang seharusnya tidak dapat didaftar tetapi akhirnya didaftar dalam daftar umum merek yang mengesahkan merek tersebut. Padahal merek tersebut jelas-jelas melanggar merek orang lain, karena berbagai hal, antara lain mirip atau sama dengan merek orang lain yang terdaftar sebelumnya.</w:t>
      </w:r>
    </w:p>
    <w:p w:rsidR="00EE038C" w:rsidRPr="00305172" w:rsidRDefault="00EE038C" w:rsidP="00EE038C">
      <w:pPr>
        <w:autoSpaceDE w:val="0"/>
        <w:autoSpaceDN w:val="0"/>
        <w:adjustRightInd w:val="0"/>
        <w:spacing w:line="480" w:lineRule="auto"/>
        <w:ind w:firstLine="709"/>
        <w:jc w:val="both"/>
      </w:pPr>
      <w:r w:rsidRPr="00305172">
        <w:rPr>
          <w:lang w:val="id-ID"/>
        </w:rPr>
        <w:lastRenderedPageBreak/>
        <w:t>P</w:t>
      </w:r>
      <w:r w:rsidRPr="00305172">
        <w:t>erlindungan terhadap H</w:t>
      </w:r>
      <w:r w:rsidRPr="00305172">
        <w:rPr>
          <w:lang w:val="id-ID"/>
        </w:rPr>
        <w:t>A</w:t>
      </w:r>
      <w:r w:rsidRPr="00305172">
        <w:t xml:space="preserve">KI </w:t>
      </w:r>
      <w:r w:rsidRPr="00305172">
        <w:rPr>
          <w:lang w:val="id-ID"/>
        </w:rPr>
        <w:t xml:space="preserve">pada awalnya </w:t>
      </w:r>
      <w:r w:rsidRPr="00305172">
        <w:t>merupakan bentuk perlindungan yang diberikan oleh negara atas ide atau hasil karya warganegaranya. Oleh sebab itu, maka H</w:t>
      </w:r>
      <w:r w:rsidRPr="00305172">
        <w:rPr>
          <w:lang w:val="id-ID"/>
        </w:rPr>
        <w:t>A</w:t>
      </w:r>
      <w:r w:rsidRPr="00305172">
        <w:t>KI ini pada pokoknya bersifat teritorial kenegaraan.</w:t>
      </w:r>
      <w:r w:rsidRPr="00305172">
        <w:rPr>
          <w:lang w:val="id-ID"/>
        </w:rPr>
        <w:t xml:space="preserve"> P</w:t>
      </w:r>
      <w:r w:rsidRPr="00305172">
        <w:t>engakuan terhadap perlindungan</w:t>
      </w:r>
      <w:r w:rsidRPr="00305172">
        <w:rPr>
          <w:lang w:val="id-ID"/>
        </w:rPr>
        <w:t xml:space="preserve"> </w:t>
      </w:r>
      <w:r w:rsidRPr="00305172">
        <w:t>H</w:t>
      </w:r>
      <w:r w:rsidRPr="00305172">
        <w:rPr>
          <w:lang w:val="id-ID"/>
        </w:rPr>
        <w:t>AK</w:t>
      </w:r>
      <w:r w:rsidRPr="00305172">
        <w:t>I pada suatu negara bukanlah berarti bahwa negara lainnya juga mengakui perlindungan H</w:t>
      </w:r>
      <w:r w:rsidRPr="00305172">
        <w:rPr>
          <w:lang w:val="id-ID"/>
        </w:rPr>
        <w:t>AKI</w:t>
      </w:r>
      <w:r w:rsidRPr="00305172">
        <w:t xml:space="preserve"> tersebut. Hal tersebut membuat sebagian besar pengusaha dari negara-negara maju merasakan kekhawatiran akan timbulnya kerugian saat melakukan hubungan bisnis dengan pengusaha dari negara-negara berkembang, tanpa adanya perlindungan terhadap Hak atas Kekayaan Intelektual, masyarakat usaha negara-negara maju tersebut merasa tidak aman dalam menjalankan kegiatan usahanya jika berhadapan dengan masyarakat usaha negara-negara berkembang. Rasa tidak aman ini kemudian ditekankan pada pemerintah negara mereka, yang pada akhirnya melahirkan upaya untuk memaksakan berlakunya perlindungan yang seragam, sebagaimana diatur pada negara-negara maju tersebut.</w:t>
      </w:r>
    </w:p>
    <w:p w:rsidR="00EE038C" w:rsidRPr="00305172" w:rsidRDefault="00EE038C" w:rsidP="0020090D">
      <w:pPr>
        <w:numPr>
          <w:ilvl w:val="0"/>
          <w:numId w:val="6"/>
        </w:numPr>
        <w:spacing w:line="480" w:lineRule="auto"/>
        <w:ind w:left="360"/>
        <w:jc w:val="both"/>
        <w:rPr>
          <w:b/>
        </w:rPr>
      </w:pPr>
      <w:r w:rsidRPr="00305172">
        <w:rPr>
          <w:b/>
        </w:rPr>
        <w:t xml:space="preserve">Pertimbangan </w:t>
      </w:r>
      <w:bookmarkStart w:id="0" w:name="_Hlk172305675"/>
      <w:r w:rsidRPr="00305172">
        <w:rPr>
          <w:b/>
        </w:rPr>
        <w:t>Hukum  Hakim dalam Putusan Mahkamah Agung RI  Nomor 532 K/Pdt.Sus-Hki/2024</w:t>
      </w:r>
      <w:bookmarkEnd w:id="0"/>
    </w:p>
    <w:p w:rsidR="00EE038C" w:rsidRPr="00305172" w:rsidRDefault="00EE038C" w:rsidP="0020090D">
      <w:pPr>
        <w:numPr>
          <w:ilvl w:val="1"/>
          <w:numId w:val="16"/>
        </w:numPr>
        <w:autoSpaceDE w:val="0"/>
        <w:autoSpaceDN w:val="0"/>
        <w:adjustRightInd w:val="0"/>
        <w:ind w:left="720"/>
        <w:jc w:val="both"/>
        <w:rPr>
          <w:b/>
        </w:rPr>
      </w:pPr>
      <w:r w:rsidRPr="00305172">
        <w:rPr>
          <w:b/>
        </w:rPr>
        <w:t>Duduk Perkara</w:t>
      </w:r>
    </w:p>
    <w:p w:rsidR="00EE038C" w:rsidRPr="00305172" w:rsidRDefault="00EE038C" w:rsidP="00EE038C">
      <w:pPr>
        <w:autoSpaceDE w:val="0"/>
        <w:autoSpaceDN w:val="0"/>
        <w:adjustRightInd w:val="0"/>
        <w:ind w:left="360"/>
        <w:jc w:val="both"/>
      </w:pPr>
    </w:p>
    <w:p w:rsidR="00EE038C" w:rsidRPr="00305172" w:rsidRDefault="00EE038C" w:rsidP="00EE038C">
      <w:pPr>
        <w:widowControl w:val="0"/>
        <w:overflowPunct w:val="0"/>
        <w:autoSpaceDE w:val="0"/>
        <w:autoSpaceDN w:val="0"/>
        <w:adjustRightInd w:val="0"/>
        <w:spacing w:line="480" w:lineRule="auto"/>
        <w:ind w:firstLine="720"/>
        <w:jc w:val="both"/>
      </w:pPr>
      <w:r w:rsidRPr="00305172">
        <w:t>Penggugat (</w:t>
      </w:r>
      <w:r w:rsidRPr="00305172">
        <w:rPr>
          <w:bCs/>
        </w:rPr>
        <w:t>Wahl Clipper Corporation)</w:t>
      </w:r>
      <w:r w:rsidRPr="00305172">
        <w:rPr>
          <w:b/>
          <w:bCs/>
        </w:rPr>
        <w:t xml:space="preserve"> </w:t>
      </w:r>
      <w:r w:rsidRPr="00305172">
        <w:t>dengan Surat Gugatan tanggal 4 Juli 2023 yang diterima dan didaftarkan di Kepaniteraan Pengadilan Niaga pada Pengadilan Negeri pada tanggal 4 Juli 2023 dalam Register Nomor 69/Pdt.Sus-HKI/Merek/2023/PN Niaga Jkt.Pst, telah mengajukan gugatan kepada tergugat (</w:t>
      </w:r>
      <w:r w:rsidRPr="00305172">
        <w:rPr>
          <w:bCs/>
        </w:rPr>
        <w:t>Sandi Hakim</w:t>
      </w:r>
      <w:r w:rsidRPr="00305172">
        <w:t xml:space="preserve">) dan  </w:t>
      </w:r>
      <w:r w:rsidRPr="00305172">
        <w:rPr>
          <w:bCs/>
        </w:rPr>
        <w:t xml:space="preserve">Pemerintah Republik Indonesia c.q. Kementerian Hukum dan Hak Asasi Manusia c.q. Direktorat Jenderal Kekayaan Intelektual c.q. Direktorat </w:t>
      </w:r>
      <w:r w:rsidRPr="00305172">
        <w:rPr>
          <w:bCs/>
        </w:rPr>
        <w:lastRenderedPageBreak/>
        <w:t>Merek dan Indikasi Geografis</w:t>
      </w:r>
      <w:r w:rsidRPr="00305172">
        <w:t xml:space="preserve"> sebagai turut tergugat.</w:t>
      </w:r>
    </w:p>
    <w:p w:rsidR="00EE038C" w:rsidRPr="00305172" w:rsidRDefault="00EE038C" w:rsidP="00EE038C">
      <w:pPr>
        <w:widowControl w:val="0"/>
        <w:overflowPunct w:val="0"/>
        <w:autoSpaceDE w:val="0"/>
        <w:autoSpaceDN w:val="0"/>
        <w:adjustRightInd w:val="0"/>
        <w:spacing w:line="480" w:lineRule="auto"/>
        <w:ind w:firstLine="720"/>
        <w:jc w:val="both"/>
      </w:pPr>
      <w:r w:rsidRPr="00305172">
        <w:t>Penggugat merupakan perusahaan di Amerika Serikat yang bergerak di bidang pembuatan dan penjualan mesin alat cukur yang telah terkenal di dunia dengan merek  antara lain “WAHL”, “SENIOR”, “LEGEND”, “MAGIC CLIP” dan lain-lain. Kegiatan usaha Penggugat tersebut dimulai sejak tahun 1911, dimana LEO J. WAHL, selaku pendiri perusahaan Penggugat, menemukan teknologi motor elektromagnetik yang kemudian menjadi pemicu/titik awal membuat mesin cukur elektrik. Kemudian, pada tahun 1919, LEO J. WAHL membuka pabrik mesin cukur dan pada akhirnya pada tanggal 2 Februari 1924 badan usaha Penggugat berdiri.</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Seiring dengan pertumbuhan bisnis yang baik, Penggugat terus melakukan inovasi dengan menciptakan mesin cukur-mesin cukur yang baru, serta menambah variasi produk di bidang </w:t>
      </w:r>
      <w:r w:rsidRPr="00305172">
        <w:rPr>
          <w:i/>
          <w:iCs/>
        </w:rPr>
        <w:t xml:space="preserve">grooming </w:t>
      </w:r>
      <w:r w:rsidRPr="00305172">
        <w:t>seperti pengering rambut (</w:t>
      </w:r>
      <w:r w:rsidRPr="00305172">
        <w:rPr>
          <w:i/>
          <w:iCs/>
        </w:rPr>
        <w:t>hair dryer</w:t>
      </w:r>
      <w:r w:rsidRPr="00305172">
        <w:t xml:space="preserve">), pengasah pisau, gunting, sisir, dan lain-lain, yang lantas tidak hanya dijual kepada banyak </w:t>
      </w:r>
      <w:r w:rsidRPr="00305172">
        <w:rPr>
          <w:i/>
          <w:iCs/>
        </w:rPr>
        <w:t>barber/</w:t>
      </w:r>
      <w:r w:rsidRPr="00305172">
        <w:t>tukang cukur di Amerika Serikat, namun juga di negara – negara lainnya di seluruh dunia.</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Perkembangan bisnis juga membuat Penggugat terus melakukan pengembangan yang tidak hanya terpaku pada 1 (satu) merek “WAHL” saja, yaitu antara lain, Pada tahun 2014 Penggugat merilis mesin cukur dengan merek “LEGEND”. Sejak saat itu untuk pertama kalinya Penggugat menggunakan dan/atau memperkenalkan merek “LEGEND” dalam dunia perdagangan di dunia. Sejak diperkenalkan sampai dengan saat ini, Penggugat selalu konsisten menggunakan merek “LEGEND” pada produknya, baik dilekatkan bersama </w:t>
      </w:r>
      <w:r w:rsidRPr="00305172">
        <w:lastRenderedPageBreak/>
        <w:t>dengan merek WAHL maupun sebagai merek yang berdiri sendiri.</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Produk mesin cukur Penggugat dengan merek “LEGEND” merupakan salah satu produk yang sangat laku di pasar dan digemari di kalangan </w:t>
      </w:r>
      <w:r w:rsidRPr="00305172">
        <w:rPr>
          <w:i/>
          <w:iCs/>
        </w:rPr>
        <w:t>barber/</w:t>
      </w:r>
      <w:r w:rsidRPr="00305172">
        <w:t>tukang cukur, bahkan dikarenakan produk yang sangat bagus serta penjualan yang sangat besar, sehingga sejak pertama kali diproduksi pada tahun 2014 hingga saat ini Penggugat masih memproduksi dan menjual produk mesin cukur dengan merek “LEGEND” di seluruh dunia.</w:t>
      </w:r>
    </w:p>
    <w:p w:rsidR="00EE038C" w:rsidRPr="00305172" w:rsidRDefault="00EE038C" w:rsidP="00EE038C">
      <w:pPr>
        <w:widowControl w:val="0"/>
        <w:overflowPunct w:val="0"/>
        <w:autoSpaceDE w:val="0"/>
        <w:autoSpaceDN w:val="0"/>
        <w:adjustRightInd w:val="0"/>
        <w:spacing w:line="480" w:lineRule="auto"/>
        <w:ind w:firstLine="720"/>
        <w:jc w:val="both"/>
      </w:pPr>
      <w:r w:rsidRPr="00305172">
        <w:t>Pengugat sebagai pihak yang menggunakan pertama kali merek “LEGEND” pada produk mesin cukur di dunia sejak tahun 2014, Penggugat juga telah secara sah mendaftarkan merek “LEGEND” di negara Amerika Serikat dan untuk memperluas pelindungan mereknya di berbagai negara, Penggugat juga tengah mengajukan permohonan pendaftaran Merek “LEGEND” di beberapa negara serta untuk melindungi serta mendapatkan hak eksklusif atas merek “LEGEND” di Indonesia, maka Penggugat pun mengajukan permohonan pendaftaran merek “LEGEND” kepada Turut Tergugat di Indonesia, untuk melindungi jenis barang di kelas 8 untuk produk/jenis barang alat cukur listrik, gunting rambut, pemotong-pemotong rambut listrik dan pemangkas-pemangkas rambut listrik, pisau-pisau cukur listrik dan gunting-gunting rambut listrik.</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Penggunaan Merek “LEGEND” dan pendaftarannya pertama kali tahun 2014 di Amerika Serikat, sudah jelas memperlihatkan fakta yang terang benderang jika Penggugat adalah pihak yang pertama kali menggunakan dan/atau memiliki hak atas Merek “LEGEND” di dunia pada produk mesin cukur. Fakta tersebut maka telah menjadikan Penggugat memiliki hak eksklusif Merek </w:t>
      </w:r>
      <w:r w:rsidRPr="00305172">
        <w:lastRenderedPageBreak/>
        <w:t>“LEGEND” yang patut diberikan pelindungan hukum dan tentunya mempunyai kepentingan untuk melindungi keberadaan/eksistensi Merek “LEGEND” yang dimilikinya, dalam hal ini antara lain, melarang pihak ketiga lain untuk menggunakan dan/atau mendaftarkan Merek “LEGEND” di seluruh dunia tanpa izin, termasuk untuk mengajukan gugatan pembatalan merek terdaftar sebagaimana diatur dalam Pasal 532 ayat (1) dan ayat (2) UU Merek dan Indikasi Geografis.</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Penggugat adalah pihak yang pertama kali memiliki hak eksklusif atas Merek “LEGEND” di dunia, khususnya sejak 2014 di negara Amerika Serikat yang memberikan pelindungan hukum sistem </w:t>
      </w:r>
      <w:r w:rsidRPr="00305172">
        <w:rPr>
          <w:i/>
          <w:iCs/>
        </w:rPr>
        <w:t>first to use</w:t>
      </w:r>
      <w:r w:rsidRPr="00305172">
        <w:rPr>
          <w:iCs/>
        </w:rPr>
        <w:t xml:space="preserve"> sehingga </w:t>
      </w:r>
      <w:r w:rsidRPr="00305172">
        <w:t>dapat dipahami jika Merek “LEGEND” milik Penggugat telah diberikan pelindungan hak eksklusif sejak tahun 2014 karena penggunaan pertama di Amerika Serikat oleh Penggugat. Dengan demikian, meskipun pengguna merek tersebut belum mengajukan permohonan pendaftaran dalam menggunakan merek tersebut secara komersial, Merek “LEGEND” telah diberikan pelindungan hukum.</w:t>
      </w:r>
    </w:p>
    <w:p w:rsidR="00EE038C" w:rsidRPr="00305172" w:rsidRDefault="00EE038C" w:rsidP="00EE038C">
      <w:pPr>
        <w:widowControl w:val="0"/>
        <w:overflowPunct w:val="0"/>
        <w:autoSpaceDE w:val="0"/>
        <w:autoSpaceDN w:val="0"/>
        <w:adjustRightInd w:val="0"/>
        <w:spacing w:line="480" w:lineRule="auto"/>
        <w:ind w:firstLine="720"/>
        <w:jc w:val="both"/>
      </w:pPr>
      <w:r w:rsidRPr="00305172">
        <w:t xml:space="preserve">Berdasarkan hal tersebut di atas, maka sudah sepatutnya turut tergugat yaitu </w:t>
      </w:r>
      <w:r w:rsidRPr="00305172">
        <w:rPr>
          <w:bCs/>
        </w:rPr>
        <w:t>Pemerintah Republik Indonesia c.q. Kementerian Hukum dan Hak Asasi Manusia c.q. Direktorat Jenderal Kekayaan Intelektual c.q. Direktorat Merek dan Indikasi Geografis</w:t>
      </w:r>
      <w:r w:rsidRPr="00305172">
        <w:t xml:space="preserve"> wajib menolak permohonan pendaftaran Merek yang diajukan oleh Tergugat atas objek gugatan, dikarenakan antara objek gugatan dengan merek “legend” milik penggugat memiliki persamaan pada pokoknya.</w:t>
      </w:r>
    </w:p>
    <w:p w:rsidR="00EE038C" w:rsidRPr="00305172" w:rsidRDefault="00EE038C" w:rsidP="00EE038C">
      <w:pPr>
        <w:widowControl w:val="0"/>
        <w:overflowPunct w:val="0"/>
        <w:autoSpaceDE w:val="0"/>
        <w:autoSpaceDN w:val="0"/>
        <w:adjustRightInd w:val="0"/>
        <w:spacing w:line="480" w:lineRule="auto"/>
        <w:ind w:firstLine="720"/>
        <w:jc w:val="both"/>
      </w:pPr>
      <w:r w:rsidRPr="00305172">
        <w:t>Merek LEGEND milik Tergugat (</w:t>
      </w:r>
      <w:r w:rsidRPr="00305172">
        <w:rPr>
          <w:i/>
          <w:iCs/>
        </w:rPr>
        <w:t xml:space="preserve">in casu </w:t>
      </w:r>
      <w:r w:rsidRPr="00305172">
        <w:t xml:space="preserve">Objek Gugatan) terdapat adanya kesamaan dengan Merek “LEGEND” milik Penggugat, khususnya persamaan </w:t>
      </w:r>
      <w:r w:rsidRPr="00305172">
        <w:lastRenderedPageBreak/>
        <w:t>pada tampilan, susunan huruf, ucapan, maupun bunyi yang muncul, bahkan juga didaftarkan pada kelas dan jenis barang yang sama. 26. Bahwa dengan demikian sudah menjadi fakta yang terang benderang dan tidak terbantahkan jika merek LEGEND milik Tergugat jelas memiliki persamaan pada pokoknya maupun keseluruhannya dengan Merek “LEGEND” milik Penggugat sehingga sudah sepatutnya pendaftaran merek “LEGEND” dengan No. Pendaftaran IDM000964031 atas nama Tergugat dibatalkan menurut hukum.</w:t>
      </w:r>
    </w:p>
    <w:p w:rsidR="00EE038C" w:rsidRPr="00305172" w:rsidRDefault="00EE038C" w:rsidP="00EE038C">
      <w:pPr>
        <w:widowControl w:val="0"/>
        <w:overflowPunct w:val="0"/>
        <w:autoSpaceDE w:val="0"/>
        <w:autoSpaceDN w:val="0"/>
        <w:adjustRightInd w:val="0"/>
        <w:spacing w:line="480" w:lineRule="auto"/>
        <w:ind w:firstLine="720"/>
        <w:jc w:val="both"/>
      </w:pPr>
      <w:r w:rsidRPr="00305172">
        <w:t>Tindakan Tergugat yang baru mendaftarkan objek gugatan tersebut belakangan, tentunya dapat sangat berpotensi mengecoh atau menimbulkan kebingungan pada konsumen. Konsumen akan mengira bahwa produk-produk tergugat yang menggunakan objek gugatan adalah sama atau setidaknya memiliki keterkaitan dengan produk Penggugat. Bahkan lebih jauh lagi, dapat menimbulkan kesan pada konsumen bahwa merek tergugat adalah merupakan/berasal dari penggugat (mengasosiasikan dengan penggugat) padahal tidak. Hal tersebut tentunya akan berkaitan dengan kualitas produk yang didapat konsumen tidak sesuai dengan produk dengan merek Penggugat. Di samping dapat merugikan konsumen itu sendiri, bahkan lebih jauh dapat berpotensi menimbulkan kerugian bagi merek yang didompleng atau dijiplak tersebut (dalam hal ini kerugian pada Merek “LEGEND” milik penggugat)</w:t>
      </w:r>
    </w:p>
    <w:p w:rsidR="00EE038C" w:rsidRPr="00305172" w:rsidRDefault="00EE038C" w:rsidP="00EE038C">
      <w:pPr>
        <w:autoSpaceDE w:val="0"/>
        <w:autoSpaceDN w:val="0"/>
        <w:adjustRightInd w:val="0"/>
        <w:spacing w:line="480" w:lineRule="auto"/>
        <w:ind w:firstLine="720"/>
        <w:jc w:val="both"/>
      </w:pPr>
      <w:r w:rsidRPr="00305172">
        <w:t>Berdasarkan hal-hal tersebut di atas, maka Penggugat mohon kepada Ketua Pengadilan Niaga Pada Pengadilan Negeri Jakarta Pusat melalui Majelis Hakim yang memeriksa perkara ini, berkenan memeriksa gugatan ini.dan memberikan putusan yang amarnya berbunyi :</w:t>
      </w:r>
    </w:p>
    <w:p w:rsidR="00EE038C" w:rsidRPr="00305172" w:rsidRDefault="00EE038C" w:rsidP="0020090D">
      <w:pPr>
        <w:numPr>
          <w:ilvl w:val="1"/>
          <w:numId w:val="15"/>
        </w:numPr>
        <w:tabs>
          <w:tab w:val="left" w:pos="1134"/>
        </w:tabs>
        <w:autoSpaceDE w:val="0"/>
        <w:autoSpaceDN w:val="0"/>
        <w:adjustRightInd w:val="0"/>
        <w:ind w:left="1134"/>
        <w:jc w:val="both"/>
      </w:pPr>
      <w:r w:rsidRPr="00305172">
        <w:lastRenderedPageBreak/>
        <w:t xml:space="preserve">Mengabulkan gugatan Penggugat untuk seluruhnya  </w:t>
      </w:r>
    </w:p>
    <w:p w:rsidR="00EE038C" w:rsidRPr="00305172" w:rsidRDefault="00EE038C" w:rsidP="0020090D">
      <w:pPr>
        <w:numPr>
          <w:ilvl w:val="1"/>
          <w:numId w:val="15"/>
        </w:numPr>
        <w:tabs>
          <w:tab w:val="left" w:pos="1134"/>
        </w:tabs>
        <w:autoSpaceDE w:val="0"/>
        <w:autoSpaceDN w:val="0"/>
        <w:adjustRightInd w:val="0"/>
        <w:ind w:left="1134"/>
        <w:jc w:val="both"/>
      </w:pPr>
      <w:r w:rsidRPr="00305172">
        <w:t>Menyatakan merek LEGEND baik kata, logo, dan kombinasi keduanya yang terdaftar atas nama Penggugat adalah merek terkenal;</w:t>
      </w:r>
    </w:p>
    <w:p w:rsidR="00EE038C" w:rsidRPr="00305172" w:rsidRDefault="00EE038C" w:rsidP="0020090D">
      <w:pPr>
        <w:numPr>
          <w:ilvl w:val="1"/>
          <w:numId w:val="15"/>
        </w:numPr>
        <w:tabs>
          <w:tab w:val="left" w:pos="1134"/>
        </w:tabs>
        <w:autoSpaceDE w:val="0"/>
        <w:autoSpaceDN w:val="0"/>
        <w:adjustRightInd w:val="0"/>
        <w:ind w:left="1134"/>
        <w:jc w:val="both"/>
      </w:pPr>
      <w:r w:rsidRPr="00305172">
        <w:t>Menyatakan Penggugat sebagai satu-satunya pemilik sah dan pemegang hak atas merek terkenal LEGEND baik kata, logo, dan kombinasi keduanya di kelas 8;</w:t>
      </w:r>
    </w:p>
    <w:p w:rsidR="00EE038C" w:rsidRPr="00305172" w:rsidRDefault="00EE038C" w:rsidP="0020090D">
      <w:pPr>
        <w:numPr>
          <w:ilvl w:val="1"/>
          <w:numId w:val="15"/>
        </w:numPr>
        <w:tabs>
          <w:tab w:val="left" w:pos="1134"/>
        </w:tabs>
        <w:autoSpaceDE w:val="0"/>
        <w:autoSpaceDN w:val="0"/>
        <w:adjustRightInd w:val="0"/>
        <w:ind w:left="1134"/>
        <w:jc w:val="both"/>
      </w:pPr>
      <w:r w:rsidRPr="00305172">
        <w:t>Menyatakan pendaftaran merek LEGEND nomor IDM000964031 atas nama Tergugat yang melindungi jenis barang/jasa di kelas 8 tertanggal (pendaftaran) 13 Mei 2022 (</w:t>
      </w:r>
      <w:r w:rsidRPr="00305172">
        <w:rPr>
          <w:i/>
          <w:iCs/>
        </w:rPr>
        <w:t xml:space="preserve">in casu </w:t>
      </w:r>
      <w:r w:rsidRPr="00305172">
        <w:t>Objek Gugatan) mempunyai persamaan pada pokoknya maupun keseluruhannya dengan merek terkenal “LEGEND” milik Penggugat pada barang/jasa sejenis;</w:t>
      </w:r>
    </w:p>
    <w:p w:rsidR="00EE038C" w:rsidRPr="00305172" w:rsidRDefault="00EE038C" w:rsidP="0020090D">
      <w:pPr>
        <w:numPr>
          <w:ilvl w:val="1"/>
          <w:numId w:val="15"/>
        </w:numPr>
        <w:tabs>
          <w:tab w:val="left" w:pos="1134"/>
        </w:tabs>
        <w:autoSpaceDE w:val="0"/>
        <w:autoSpaceDN w:val="0"/>
        <w:adjustRightInd w:val="0"/>
        <w:ind w:left="1134"/>
        <w:jc w:val="both"/>
      </w:pPr>
      <w:r w:rsidRPr="00305172">
        <w:t>Menyatakan pendaftaran merek LEGEND nomor IDM000964031 atas nama Tergugat yang melindungi jenis barang/jasa di kelas 8 tertanggal (pendaftaran) 13 Mei 2022 (</w:t>
      </w:r>
      <w:r w:rsidRPr="00305172">
        <w:rPr>
          <w:i/>
          <w:iCs/>
        </w:rPr>
        <w:t xml:space="preserve">in casu </w:t>
      </w:r>
      <w:r w:rsidRPr="00305172">
        <w:t>Objek Gugatan) telah dilakukan/diajukan atas dasar itikad tidak baik;</w:t>
      </w:r>
    </w:p>
    <w:p w:rsidR="00EE038C" w:rsidRPr="00305172" w:rsidRDefault="00EE038C" w:rsidP="0020090D">
      <w:pPr>
        <w:numPr>
          <w:ilvl w:val="1"/>
          <w:numId w:val="15"/>
        </w:numPr>
        <w:tabs>
          <w:tab w:val="left" w:pos="1134"/>
        </w:tabs>
        <w:autoSpaceDE w:val="0"/>
        <w:autoSpaceDN w:val="0"/>
        <w:adjustRightInd w:val="0"/>
        <w:ind w:left="1134"/>
        <w:jc w:val="both"/>
      </w:pPr>
      <w:r w:rsidRPr="00305172">
        <w:t>Membatalkan atau menyatakan batal demi hukum pendaftaran merek LEGEND nomor IDM000964031 atas nama Tergugat yang melindungi jenis barang/jasa di kelas 8 tertanggal (pendaftaran) 13 Mei 2022 (objek gugatan);</w:t>
      </w:r>
    </w:p>
    <w:p w:rsidR="00EE038C" w:rsidRPr="00305172" w:rsidRDefault="00EE038C" w:rsidP="0020090D">
      <w:pPr>
        <w:numPr>
          <w:ilvl w:val="1"/>
          <w:numId w:val="15"/>
        </w:numPr>
        <w:tabs>
          <w:tab w:val="left" w:pos="1134"/>
        </w:tabs>
        <w:autoSpaceDE w:val="0"/>
        <w:autoSpaceDN w:val="0"/>
        <w:adjustRightInd w:val="0"/>
        <w:ind w:left="1134"/>
        <w:jc w:val="both"/>
      </w:pPr>
      <w:r w:rsidRPr="00305172">
        <w:t>Memerintahkan Turut Tergugat untuk segera mencoret merek LEGEND nomor IDM000964031 atas nama Tergugat yang melindungi jenis barang/jasa di kelas 8 tertanggal (pendaftaran) 13 Mei 2022 (objek gugatan) dari Berita Resmi Merek;</w:t>
      </w:r>
    </w:p>
    <w:p w:rsidR="00EE038C" w:rsidRPr="00305172" w:rsidRDefault="00EE038C" w:rsidP="0020090D">
      <w:pPr>
        <w:numPr>
          <w:ilvl w:val="1"/>
          <w:numId w:val="15"/>
        </w:numPr>
        <w:tabs>
          <w:tab w:val="left" w:pos="1134"/>
        </w:tabs>
        <w:autoSpaceDE w:val="0"/>
        <w:autoSpaceDN w:val="0"/>
        <w:adjustRightInd w:val="0"/>
        <w:ind w:left="1134"/>
        <w:jc w:val="both"/>
      </w:pPr>
      <w:r w:rsidRPr="00305172">
        <w:t>Memerintahkan Turut Tergugat untuk mengumumkan pencoretan/pembatalan merek LEGEND nomor IDM000964031 atas nama Tergugat yang melindungi jenis barang/jasa di kelas 8 tertanggal (pendaftaran) 13 Mei 2022 (objek gugatan) dalam Berita Resmi Merek;</w:t>
      </w:r>
    </w:p>
    <w:p w:rsidR="00EE038C" w:rsidRPr="00305172" w:rsidRDefault="00EE038C" w:rsidP="0020090D">
      <w:pPr>
        <w:numPr>
          <w:ilvl w:val="1"/>
          <w:numId w:val="15"/>
        </w:numPr>
        <w:tabs>
          <w:tab w:val="left" w:pos="1134"/>
        </w:tabs>
        <w:autoSpaceDE w:val="0"/>
        <w:autoSpaceDN w:val="0"/>
        <w:adjustRightInd w:val="0"/>
        <w:ind w:left="1134"/>
        <w:jc w:val="both"/>
      </w:pPr>
      <w:r w:rsidRPr="00305172">
        <w:t>Memerintahkan Turut Tergugat untuk tunduk dan patuh pada putusan ini;</w:t>
      </w:r>
    </w:p>
    <w:p w:rsidR="00EE038C" w:rsidRPr="00305172" w:rsidRDefault="00EE038C" w:rsidP="0020090D">
      <w:pPr>
        <w:numPr>
          <w:ilvl w:val="1"/>
          <w:numId w:val="15"/>
        </w:numPr>
        <w:tabs>
          <w:tab w:val="left" w:pos="1134"/>
        </w:tabs>
        <w:autoSpaceDE w:val="0"/>
        <w:autoSpaceDN w:val="0"/>
        <w:adjustRightInd w:val="0"/>
        <w:ind w:left="1134"/>
        <w:jc w:val="both"/>
      </w:pPr>
      <w:r w:rsidRPr="00305172">
        <w:t xml:space="preserve"> Menghukum Tergugat untuk membayar biaya perkara yang timbul. </w:t>
      </w:r>
    </w:p>
    <w:p w:rsidR="00EE038C" w:rsidRPr="00305172" w:rsidRDefault="00EE038C" w:rsidP="00EE038C">
      <w:pPr>
        <w:pStyle w:val="Title"/>
        <w:spacing w:line="240" w:lineRule="auto"/>
        <w:ind w:left="360"/>
        <w:jc w:val="both"/>
        <w:rPr>
          <w:bCs w:val="0"/>
        </w:rPr>
      </w:pPr>
    </w:p>
    <w:p w:rsidR="00EE038C" w:rsidRPr="00305172" w:rsidRDefault="00EE038C" w:rsidP="0020090D">
      <w:pPr>
        <w:pStyle w:val="Title"/>
        <w:numPr>
          <w:ilvl w:val="1"/>
          <w:numId w:val="16"/>
        </w:numPr>
        <w:spacing w:line="456" w:lineRule="auto"/>
        <w:ind w:left="360"/>
        <w:jc w:val="both"/>
        <w:rPr>
          <w:bCs w:val="0"/>
        </w:rPr>
      </w:pPr>
      <w:r w:rsidRPr="00305172">
        <w:rPr>
          <w:bCs w:val="0"/>
        </w:rPr>
        <w:t>Putusan</w:t>
      </w:r>
    </w:p>
    <w:p w:rsidR="00EE038C" w:rsidRPr="00305172" w:rsidRDefault="00EE038C" w:rsidP="00EE038C">
      <w:pPr>
        <w:autoSpaceDE w:val="0"/>
        <w:autoSpaceDN w:val="0"/>
        <w:adjustRightInd w:val="0"/>
        <w:spacing w:line="480" w:lineRule="auto"/>
        <w:ind w:firstLine="720"/>
        <w:jc w:val="both"/>
        <w:rPr>
          <w:color w:val="000000"/>
        </w:rPr>
      </w:pPr>
      <w:r w:rsidRPr="00305172">
        <w:rPr>
          <w:color w:val="000000"/>
        </w:rPr>
        <w:t xml:space="preserve">Menurut Sudikno Mertokusumo, putusan hakim adalah suatu pernyataan yang oleh hakim sebagai pejabat negara yang diberi wewenang untuk itu, diucapkan di persidangan dan bertujuan untuk mengakhiri atau menyelesaikan suatu perkara atau masalah antar pihak. Bukan hanya yang diucapkan saja yang disebut putusan, melainkan juga pernyataan yang dituangkan dalam bentuk tertulis dan kemudian diucapkan oleh Hakim di persidangan. Sebuah konsep </w:t>
      </w:r>
      <w:r w:rsidRPr="00305172">
        <w:rPr>
          <w:color w:val="000000"/>
        </w:rPr>
        <w:lastRenderedPageBreak/>
        <w:t>putusan (tertulis) tidak mempunyai kekuatan sebagai putusan sebelum diucapkan di persidangan oleh hakim.</w:t>
      </w:r>
      <w:r w:rsidRPr="00305172">
        <w:rPr>
          <w:rStyle w:val="FootnoteReference"/>
          <w:color w:val="000000"/>
        </w:rPr>
        <w:footnoteReference w:id="26"/>
      </w:r>
    </w:p>
    <w:p w:rsidR="00EE038C" w:rsidRPr="00305172" w:rsidRDefault="00EE038C" w:rsidP="00EE038C">
      <w:pPr>
        <w:autoSpaceDE w:val="0"/>
        <w:autoSpaceDN w:val="0"/>
        <w:adjustRightInd w:val="0"/>
        <w:spacing w:line="480" w:lineRule="auto"/>
        <w:ind w:firstLine="720"/>
        <w:jc w:val="both"/>
        <w:rPr>
          <w:color w:val="000000"/>
        </w:rPr>
      </w:pPr>
      <w:r w:rsidRPr="00305172">
        <w:rPr>
          <w:color w:val="000000"/>
        </w:rPr>
        <w:t xml:space="preserve"> Putusan akhir dalam suatu sengketa yang diputuskan oleh hakim yang memeriksa dalam persidangan umumnya mengandung sangsi berupa hukuman terhadap pihak yang dikalahkan dalam suatu persidangan di pengadilan. Sanksi hukuman ini baik dalam Hukum Acara Perdata maupun Hukum Acara Pidana pelaksanaannya dapat dipaksakan kepada para pelanggar hak tanpa pandang bulu, hanya saja bedanya dalam Hukum Acara Perdata hukumannya berupa pemenuhan prestasi dan atau pemberian ganti rugi kepada pihak yang telah dirugikan atau yang dimenangkan dalam persidangan pengadilan dalam suatu sengketa.</w:t>
      </w:r>
      <w:r w:rsidRPr="00305172">
        <w:rPr>
          <w:rStyle w:val="FootnoteReference"/>
          <w:color w:val="000000"/>
        </w:rPr>
        <w:footnoteReference w:id="27"/>
      </w:r>
    </w:p>
    <w:p w:rsidR="00EE038C" w:rsidRPr="00305172" w:rsidRDefault="00EE038C" w:rsidP="00EE038C">
      <w:pPr>
        <w:autoSpaceDE w:val="0"/>
        <w:autoSpaceDN w:val="0"/>
        <w:adjustRightInd w:val="0"/>
        <w:spacing w:line="480" w:lineRule="auto"/>
        <w:ind w:firstLine="720"/>
        <w:jc w:val="both"/>
      </w:pPr>
      <w:r w:rsidRPr="00305172">
        <w:t>Adapun putusan hakim dalam kasus sengketa merek antara  penggugat (</w:t>
      </w:r>
      <w:r w:rsidRPr="00305172">
        <w:rPr>
          <w:bCs/>
        </w:rPr>
        <w:t>Wahl Clipper Corporation)</w:t>
      </w:r>
      <w:r w:rsidRPr="00305172">
        <w:rPr>
          <w:b/>
          <w:bCs/>
        </w:rPr>
        <w:t xml:space="preserve"> </w:t>
      </w:r>
      <w:r w:rsidRPr="00305172">
        <w:t>dengan tergugat (</w:t>
      </w:r>
      <w:r w:rsidRPr="00305172">
        <w:rPr>
          <w:bCs/>
        </w:rPr>
        <w:t>Sandi Hakim</w:t>
      </w:r>
      <w:r w:rsidRPr="00305172">
        <w:t xml:space="preserve">) dan  </w:t>
      </w:r>
      <w:r w:rsidRPr="00305172">
        <w:rPr>
          <w:bCs/>
        </w:rPr>
        <w:t>Pemerintah Republik Indonesia c.q. Kementerian Hukum dan Hak Asasi Manusia c.q. Direktorat Jenderal Kekayaan Intelektual c.q. Direktorat Merek dan Indikasi Geografis</w:t>
      </w:r>
      <w:r w:rsidRPr="00305172">
        <w:t xml:space="preserve"> sebagai turut tergugat adalah sebagai berikut :</w:t>
      </w:r>
    </w:p>
    <w:p w:rsidR="00EE038C" w:rsidRPr="00305172" w:rsidRDefault="00EE038C" w:rsidP="0020090D">
      <w:pPr>
        <w:numPr>
          <w:ilvl w:val="7"/>
          <w:numId w:val="17"/>
        </w:numPr>
        <w:autoSpaceDE w:val="0"/>
        <w:autoSpaceDN w:val="0"/>
        <w:adjustRightInd w:val="0"/>
        <w:spacing w:line="480" w:lineRule="auto"/>
        <w:ind w:left="360"/>
        <w:jc w:val="both"/>
        <w:rPr>
          <w:b/>
        </w:rPr>
      </w:pPr>
      <w:r w:rsidRPr="00305172">
        <w:rPr>
          <w:b/>
        </w:rPr>
        <w:t>Putusan Pengadilan Niaga pada Pengadilan Negeri Jakarta Pusat  Nomor 69/Pdt.Sus-HKI/Merek/2023/PN Niaga Jkt.Pst</w:t>
      </w:r>
    </w:p>
    <w:p w:rsidR="00EE038C" w:rsidRPr="00305172" w:rsidRDefault="00EE038C" w:rsidP="00EE038C">
      <w:pPr>
        <w:autoSpaceDE w:val="0"/>
        <w:autoSpaceDN w:val="0"/>
        <w:adjustRightInd w:val="0"/>
        <w:spacing w:line="480" w:lineRule="auto"/>
        <w:ind w:firstLine="720"/>
        <w:jc w:val="both"/>
      </w:pPr>
      <w:r w:rsidRPr="00305172">
        <w:t>Pengadilan Niaga pada Pengadilan Negeri Jakarta Pusat telah memberikan Putusan Nomor 69/Pdt.Sus-HKI/Merek/2023/PN Niaga Jkt.Pst., tanggal 21 September 2023 yang amarnya sebagai berikut:</w:t>
      </w:r>
    </w:p>
    <w:p w:rsidR="00EE038C" w:rsidRPr="00305172" w:rsidRDefault="00EE038C" w:rsidP="0020090D">
      <w:pPr>
        <w:numPr>
          <w:ilvl w:val="4"/>
          <w:numId w:val="14"/>
        </w:numPr>
        <w:tabs>
          <w:tab w:val="left" w:pos="1134"/>
        </w:tabs>
        <w:autoSpaceDE w:val="0"/>
        <w:autoSpaceDN w:val="0"/>
        <w:adjustRightInd w:val="0"/>
        <w:ind w:left="1134" w:hanging="425"/>
      </w:pPr>
      <w:r w:rsidRPr="00305172">
        <w:t>Menyatakan gugatan Penggugat tidak dapat diterima;</w:t>
      </w:r>
    </w:p>
    <w:p w:rsidR="00EE038C" w:rsidRPr="00305172" w:rsidRDefault="00EE038C" w:rsidP="0020090D">
      <w:pPr>
        <w:numPr>
          <w:ilvl w:val="4"/>
          <w:numId w:val="14"/>
        </w:numPr>
        <w:tabs>
          <w:tab w:val="left" w:pos="1134"/>
        </w:tabs>
        <w:autoSpaceDE w:val="0"/>
        <w:autoSpaceDN w:val="0"/>
        <w:adjustRightInd w:val="0"/>
        <w:ind w:left="1134" w:hanging="425"/>
      </w:pPr>
      <w:r w:rsidRPr="00305172">
        <w:t>Menghukum Penggugat untuk membayar biaya perkara sebesar Rp1.480.000,00 (satu juta empat ratus delapan puluh ribu rupiah).</w:t>
      </w:r>
    </w:p>
    <w:p w:rsidR="00EE038C" w:rsidRPr="00305172" w:rsidRDefault="00EE038C" w:rsidP="00EE038C">
      <w:pPr>
        <w:tabs>
          <w:tab w:val="left" w:pos="1134"/>
        </w:tabs>
        <w:autoSpaceDE w:val="0"/>
        <w:autoSpaceDN w:val="0"/>
        <w:adjustRightInd w:val="0"/>
        <w:ind w:left="1134"/>
      </w:pPr>
    </w:p>
    <w:p w:rsidR="00EE038C" w:rsidRPr="00305172" w:rsidRDefault="00EE038C" w:rsidP="0020090D">
      <w:pPr>
        <w:numPr>
          <w:ilvl w:val="0"/>
          <w:numId w:val="17"/>
        </w:numPr>
        <w:tabs>
          <w:tab w:val="clear" w:pos="720"/>
          <w:tab w:val="num" w:pos="360"/>
        </w:tabs>
        <w:autoSpaceDE w:val="0"/>
        <w:autoSpaceDN w:val="0"/>
        <w:adjustRightInd w:val="0"/>
        <w:spacing w:line="480" w:lineRule="auto"/>
        <w:ind w:left="360"/>
        <w:rPr>
          <w:b/>
        </w:rPr>
      </w:pPr>
      <w:r w:rsidRPr="00305172">
        <w:rPr>
          <w:b/>
        </w:rPr>
        <w:t>Putusan Mahkamah Agung RI Nomor 532 K/Pdt.Sus-HKI/2024</w:t>
      </w:r>
    </w:p>
    <w:p w:rsidR="00EE038C" w:rsidRPr="00305172" w:rsidRDefault="00EE038C" w:rsidP="00EE038C">
      <w:pPr>
        <w:autoSpaceDE w:val="0"/>
        <w:autoSpaceDN w:val="0"/>
        <w:adjustRightInd w:val="0"/>
        <w:spacing w:line="480" w:lineRule="auto"/>
        <w:ind w:firstLine="709"/>
        <w:jc w:val="both"/>
      </w:pPr>
      <w:r w:rsidRPr="00305172">
        <w:t xml:space="preserve">Mahkamah Agung mengabulkan permohonan kasasi dari Pemohon Kasasi </w:t>
      </w:r>
      <w:r w:rsidRPr="00305172">
        <w:rPr>
          <w:bCs/>
        </w:rPr>
        <w:t>Wahl Clipper Corporation  dan m</w:t>
      </w:r>
      <w:r w:rsidRPr="00305172">
        <w:t>embatalkan Putusan Pengadilan Niaga pada Pengadilan Negeri Jakarta Pusat Nomor 69/Pdt.Sus-HKI/Merek/2023/PN Niaga Jkt.Pst., tanggal 21 September 2023 serta mengadili sendiri sebagai berikut :</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Mengabulkan gugatan Penggugat untuk seluruhnya;</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Menyatakan merek LEGEND baik kata, logo, dan kombinasi keduanya yang terdaftar atas nama Penggugat adalah merek terkenal;</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Menyatakan Penggugat sebagai satu-satunya pemilik sah dan pemegang hak atas merek terkenal LEGEND baik kata, logo, dan kombinasi keduanya di kelas 8;</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Menyatakan pendaftaran merek LEGEND Nomor IDM000964031 atas nama Tergugat yang melindungi jenis barang/jasa di kelas 8 tertanggal (pendaftaran) 13 Mei 2022 (</w:t>
      </w:r>
      <w:r w:rsidRPr="00305172">
        <w:rPr>
          <w:i/>
          <w:iCs/>
        </w:rPr>
        <w:t xml:space="preserve">in casu </w:t>
      </w:r>
      <w:r w:rsidRPr="00305172">
        <w:t xml:space="preserve">Objek Gugatan) mempunyai persamaan pada pokoknya maupun keseluruhannya dengan merek terkenal “LEGEND” milik Penggugat pada barang/jasa sejenis; </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Menyatakan pendaftaran merek LEGEND Nomor IDM000964031 atas nama Tergugat yang melindungi jenis barang/jasa di kelas 8 tertanggal (pendaftaran) 13 Mei 2022 (</w:t>
      </w:r>
      <w:r w:rsidRPr="00305172">
        <w:rPr>
          <w:i/>
          <w:iCs/>
        </w:rPr>
        <w:t xml:space="preserve">in casu </w:t>
      </w:r>
      <w:r w:rsidRPr="00305172">
        <w:t>Objek Gugatan) telah dilakukan/ diajukan atas dasar iktikad tidak baik.</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Membatalkan pendaftaran merek LEGEND Nomor IDM000964031 atas nama Tergugat yang melindungi jenis barang/jasa di kelas 8 tertanggal (pendaftaran) 13 Mei 2022 (</w:t>
      </w:r>
      <w:r w:rsidRPr="00305172">
        <w:rPr>
          <w:i/>
          <w:iCs/>
        </w:rPr>
        <w:t xml:space="preserve">in casu </w:t>
      </w:r>
      <w:r w:rsidRPr="00305172">
        <w:t>Objek Gugatan);</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Memerintahkan Turut Tergugat untuk segera mencoret merek LEGEND Nomor IDM000964031 atas nama Tergugat yang melindungi jenis barang/jasa di kelas 8 tertanggal (pendaftaran) 13 Mei 2022 (</w:t>
      </w:r>
      <w:r w:rsidRPr="00305172">
        <w:rPr>
          <w:i/>
          <w:iCs/>
        </w:rPr>
        <w:t xml:space="preserve">in casu </w:t>
      </w:r>
      <w:r w:rsidRPr="00305172">
        <w:t>Objek Gugatan) dari Berita Resmi Merek;</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Memerintahkan Turut Tergugat untuk mengumumkan pencoretan/pembatalan merek LEGEND Nomor IDM000964031 atas nama Tergugat yang melindungi jenis barang/jasa di kelas 8 tertanggal (pendaftaran) 13 Mei 2022 (</w:t>
      </w:r>
      <w:r w:rsidRPr="00305172">
        <w:rPr>
          <w:i/>
          <w:iCs/>
        </w:rPr>
        <w:t xml:space="preserve">in casu </w:t>
      </w:r>
      <w:r w:rsidRPr="00305172">
        <w:t>Objek Gugatan) dalam Berita Resmi Merek;</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Memerintahkan Turut Tergugat untuk tunduk dan patuh pada putusan ini;</w:t>
      </w:r>
    </w:p>
    <w:p w:rsidR="00EE038C" w:rsidRPr="00305172" w:rsidRDefault="00EE038C" w:rsidP="0020090D">
      <w:pPr>
        <w:numPr>
          <w:ilvl w:val="5"/>
          <w:numId w:val="17"/>
        </w:numPr>
        <w:tabs>
          <w:tab w:val="left" w:pos="1134"/>
        </w:tabs>
        <w:autoSpaceDE w:val="0"/>
        <w:autoSpaceDN w:val="0"/>
        <w:adjustRightInd w:val="0"/>
        <w:ind w:left="1134" w:hanging="425"/>
        <w:jc w:val="both"/>
      </w:pPr>
      <w:r w:rsidRPr="00305172">
        <w:t>Menghukum Termohon Kasasi (Tergugat) untuk membayar biaya perkara dalam semua tingkat peradilan yang pada tingkat kasasi sebesar Rp5.000.000,00 (lima juta rupiah).</w:t>
      </w:r>
    </w:p>
    <w:p w:rsidR="00EE038C" w:rsidRPr="00305172" w:rsidRDefault="00EE038C" w:rsidP="00EE038C">
      <w:pPr>
        <w:tabs>
          <w:tab w:val="left" w:pos="1134"/>
        </w:tabs>
        <w:autoSpaceDE w:val="0"/>
        <w:autoSpaceDN w:val="0"/>
        <w:adjustRightInd w:val="0"/>
        <w:ind w:left="1134"/>
        <w:jc w:val="both"/>
      </w:pPr>
    </w:p>
    <w:p w:rsidR="00EE038C" w:rsidRPr="00305172" w:rsidRDefault="00EE038C" w:rsidP="0020090D">
      <w:pPr>
        <w:pStyle w:val="Title"/>
        <w:numPr>
          <w:ilvl w:val="1"/>
          <w:numId w:val="16"/>
        </w:numPr>
        <w:spacing w:line="456" w:lineRule="auto"/>
        <w:ind w:left="360"/>
        <w:jc w:val="both"/>
        <w:rPr>
          <w:bCs w:val="0"/>
        </w:rPr>
      </w:pPr>
      <w:r w:rsidRPr="00305172">
        <w:rPr>
          <w:bCs w:val="0"/>
        </w:rPr>
        <w:t>Pertimbangan Hukum</w:t>
      </w:r>
    </w:p>
    <w:p w:rsidR="00EE038C" w:rsidRPr="00305172" w:rsidRDefault="00EE038C" w:rsidP="00EE038C">
      <w:pPr>
        <w:pStyle w:val="Title"/>
        <w:spacing w:line="456" w:lineRule="auto"/>
        <w:ind w:firstLine="709"/>
        <w:jc w:val="both"/>
        <w:rPr>
          <w:b w:val="0"/>
          <w:bCs w:val="0"/>
          <w:color w:val="000000"/>
        </w:rPr>
      </w:pPr>
      <w:r w:rsidRPr="00305172">
        <w:rPr>
          <w:b w:val="0"/>
          <w:bCs w:val="0"/>
          <w:color w:val="000000"/>
        </w:rPr>
        <w:lastRenderedPageBreak/>
        <w:t>Pertimbangan hakim adalah suatu tahapan dimana majelis hakim mempertimbangkan fakta-fakta yang terungkap selama proses persidangan berlangsung. Pertimbangan hakim merupakan salah satu aspek terpenting dalam menentukan terwujudnya nilai dari suatu putusan hakim yang mengandung keadilan dan mengandung kepastian hukum, disamping itu juga mengandung manfaat bagi para pihak yang bersangkutan sehingga pertimbangan hakim ini harus disikapi dengan teliti, baik, dan cermat. Apabila pertimbangan hakim tidak teliti, baik, dan cermat maka putusan hakim yang berasal dari pertimbangan hakim tersebut akan dibatalkan oleh Pengadilan Tinggi/Mahkamah Agung.</w:t>
      </w:r>
      <w:r w:rsidRPr="00305172">
        <w:rPr>
          <w:rStyle w:val="FootnoteReference"/>
          <w:b w:val="0"/>
          <w:bCs w:val="0"/>
          <w:color w:val="000000"/>
        </w:rPr>
        <w:footnoteReference w:id="28"/>
      </w:r>
    </w:p>
    <w:p w:rsidR="00EE038C" w:rsidRPr="00305172" w:rsidRDefault="00EE038C" w:rsidP="00EE038C">
      <w:pPr>
        <w:pStyle w:val="Title"/>
        <w:spacing w:line="456" w:lineRule="auto"/>
        <w:ind w:firstLine="709"/>
        <w:jc w:val="both"/>
        <w:rPr>
          <w:b w:val="0"/>
        </w:rPr>
      </w:pPr>
      <w:r w:rsidRPr="00305172">
        <w:rPr>
          <w:b w:val="0"/>
          <w:bCs w:val="0"/>
        </w:rPr>
        <w:t xml:space="preserve">Adapun pertimbangan hukum hakim dalam putusan </w:t>
      </w:r>
      <w:r w:rsidRPr="00305172">
        <w:rPr>
          <w:b w:val="0"/>
        </w:rPr>
        <w:t>Mahkamah Agung RI Nomor 532 K/Pdt.Sus-HKI/2024 adalah :</w:t>
      </w:r>
    </w:p>
    <w:p w:rsidR="00EE038C" w:rsidRPr="00305172" w:rsidRDefault="00EE038C" w:rsidP="0020090D">
      <w:pPr>
        <w:numPr>
          <w:ilvl w:val="7"/>
          <w:numId w:val="17"/>
        </w:numPr>
        <w:tabs>
          <w:tab w:val="left" w:pos="1134"/>
        </w:tabs>
        <w:autoSpaceDE w:val="0"/>
        <w:autoSpaceDN w:val="0"/>
        <w:adjustRightInd w:val="0"/>
        <w:spacing w:line="228" w:lineRule="auto"/>
        <w:ind w:left="1134" w:hanging="425"/>
        <w:jc w:val="both"/>
      </w:pPr>
      <w:r w:rsidRPr="00305172">
        <w:t>Ternyata Merek LEGEND milik Penggugat telah didaftarkan di Amerika Serikat pada tanggal 27 Mei 2014 dan telah terdaftar pula di beberapa negara yaitu Vietnam, Singapura, Malaysia, Thailand dan Korea Selatan.</w:t>
      </w:r>
    </w:p>
    <w:p w:rsidR="00EE038C" w:rsidRPr="00305172" w:rsidRDefault="00EE038C" w:rsidP="0020090D">
      <w:pPr>
        <w:numPr>
          <w:ilvl w:val="7"/>
          <w:numId w:val="17"/>
        </w:numPr>
        <w:tabs>
          <w:tab w:val="left" w:pos="1134"/>
        </w:tabs>
        <w:autoSpaceDE w:val="0"/>
        <w:autoSpaceDN w:val="0"/>
        <w:adjustRightInd w:val="0"/>
        <w:spacing w:line="228" w:lineRule="auto"/>
        <w:ind w:left="1134" w:hanging="425"/>
        <w:jc w:val="both"/>
      </w:pPr>
      <w:r w:rsidRPr="00305172">
        <w:t xml:space="preserve">Penggugat secara nyata telah menggunakan serta melakukan penjualan produk dengan Merek LEGEND sehingga memiliki pangsa pasar yang luas dalam memperdagangkan/memperkenalkan produk alat cukur elektrik dengan Merek "LEGEND" dengan </w:t>
      </w:r>
      <w:r w:rsidRPr="00305172">
        <w:rPr>
          <w:bCs/>
        </w:rPr>
        <w:t xml:space="preserve">telah menembus batas-batas nasional dan regional </w:t>
      </w:r>
      <w:r w:rsidRPr="00305172">
        <w:t>dari negara Amerika yang merupakan asal Merek "LEGEND” milik Penggugat/Pemohon Kasasi, oleh karena itu Merek "LEGEND” milik Pemohon Kasasi dapat dikatakan telah memenuhi kriteria "jangkauan daerah penggunaan," sehingga dapat dikategorikan sebagai Merek Terkenal, demikian pula terhadap intensitas dan Promosi Merek.</w:t>
      </w:r>
    </w:p>
    <w:p w:rsidR="00EE038C" w:rsidRPr="00305172" w:rsidRDefault="00EE038C" w:rsidP="0020090D">
      <w:pPr>
        <w:numPr>
          <w:ilvl w:val="7"/>
          <w:numId w:val="17"/>
        </w:numPr>
        <w:tabs>
          <w:tab w:val="left" w:pos="1134"/>
        </w:tabs>
        <w:autoSpaceDE w:val="0"/>
        <w:autoSpaceDN w:val="0"/>
        <w:adjustRightInd w:val="0"/>
        <w:spacing w:line="228" w:lineRule="auto"/>
        <w:ind w:left="1134" w:hanging="425"/>
        <w:jc w:val="both"/>
      </w:pPr>
      <w:r w:rsidRPr="00305172">
        <w:t>Penggugat/Pemohon Kasasi telah secara aktif mengadakan dan/atau mengikuti berbagai kegiatan (</w:t>
      </w:r>
      <w:r w:rsidRPr="00305172">
        <w:rPr>
          <w:i/>
          <w:iCs/>
        </w:rPr>
        <w:t>event</w:t>
      </w:r>
      <w:r w:rsidRPr="00305172">
        <w:t xml:space="preserve">) pameran di bidang jenis usaha kecantikan, khususnya di bidang usaha produk alat cukur elektrik </w:t>
      </w:r>
      <w:r w:rsidRPr="00305172">
        <w:lastRenderedPageBreak/>
        <w:t>(</w:t>
      </w:r>
      <w:r w:rsidRPr="00305172">
        <w:rPr>
          <w:i/>
          <w:iCs/>
        </w:rPr>
        <w:t>barber</w:t>
      </w:r>
      <w:r w:rsidRPr="00305172">
        <w:t>), baik di Indonesia maupun di negara lain sejak sebelum Tergugat mengajukan permohonan pendaftaran merek LEGEND (objek gugatan) sehingga Merek Penggugat memenuhi unsur kriteria sebagai Merek Terkenal;</w:t>
      </w:r>
    </w:p>
    <w:p w:rsidR="00EE038C" w:rsidRPr="00305172" w:rsidRDefault="00EE038C" w:rsidP="0020090D">
      <w:pPr>
        <w:numPr>
          <w:ilvl w:val="7"/>
          <w:numId w:val="17"/>
        </w:numPr>
        <w:tabs>
          <w:tab w:val="left" w:pos="1134"/>
        </w:tabs>
        <w:autoSpaceDE w:val="0"/>
        <w:autoSpaceDN w:val="0"/>
        <w:adjustRightInd w:val="0"/>
        <w:spacing w:line="228" w:lineRule="auto"/>
        <w:ind w:left="1134" w:hanging="425"/>
        <w:jc w:val="both"/>
      </w:pPr>
      <w:r w:rsidRPr="00305172">
        <w:t xml:space="preserve">Merek Tergugat terdaftar di Indonesia baru pada tanggal 19 Maret 2020, dan setelah memperhatikan Merek LEGEND milik Penggugat dan Merek LEGEND milik Tergugat ternyata terdapat persamaan pada pokoknya baik dalam tampilan, susunan huruf, bunyi pengucapan dan kelas barang yang sama-sama berada pada kelas 8, sehingga berdasarkan uraian tersebut Tergugat menunjukkan </w:t>
      </w:r>
      <w:r w:rsidRPr="00305172">
        <w:rPr>
          <w:bCs/>
        </w:rPr>
        <w:t>iktikad tidak baik dengan membonceng keterkenalan merek LEGEND milik Penggugat</w:t>
      </w:r>
      <w:r w:rsidRPr="00305172">
        <w:rPr>
          <w:b/>
          <w:bCs/>
        </w:rPr>
        <w:t xml:space="preserve"> </w:t>
      </w:r>
      <w:r w:rsidRPr="00305172">
        <w:t>sebagaimana dimaksud dalam Penjelasan Pasal 21 ayat (3) Undang-Undang Nomor 20 Tahun 2016 tentang Merek dan Indikasi Geografis, dimana Pemohon yang patut diduga dalam mendaftarkan Mereknya memiliki niat untuk meniru, menjiplak, atau mengikuti Merek pihak lain demi kepentingan usahanya menimbulkan kondisi persaingan usaha tidak sehat, mengecoh, atau menyesatkan konsumen,” dan oleh karenanya permohonan pembatalan merek yang diajukan Penggugat terhadap merek LEGEND milik Tergugat adalah beralasan hukum sehingga harus dikabulkan;</w:t>
      </w:r>
    </w:p>
    <w:p w:rsidR="00EE038C" w:rsidRPr="00305172" w:rsidRDefault="00EE038C" w:rsidP="00EE038C">
      <w:pPr>
        <w:tabs>
          <w:tab w:val="left" w:pos="1134"/>
        </w:tabs>
        <w:autoSpaceDE w:val="0"/>
        <w:autoSpaceDN w:val="0"/>
        <w:adjustRightInd w:val="0"/>
        <w:spacing w:line="228" w:lineRule="auto"/>
        <w:ind w:left="1134"/>
        <w:jc w:val="both"/>
      </w:pPr>
    </w:p>
    <w:p w:rsidR="00EE038C" w:rsidRPr="00305172" w:rsidRDefault="00EE038C" w:rsidP="00EE038C">
      <w:pPr>
        <w:autoSpaceDE w:val="0"/>
        <w:autoSpaceDN w:val="0"/>
        <w:adjustRightInd w:val="0"/>
        <w:spacing w:line="480" w:lineRule="auto"/>
        <w:ind w:firstLine="709"/>
        <w:jc w:val="both"/>
      </w:pPr>
      <w:r w:rsidRPr="00305172">
        <w:t>Berdasarkan pertimbangan tersebut di atas, Mahkamah Agung berpendapat, terdapat cukup alasan untuk mengabulkan permohonan kasasi dari Pemohon Kasasi Wahl Clipper Corporation tersebut dan membatalkan Putusan Pengadilan Niaga pada Pengadilan Negeri Jakarta Pusat Nomor 69/Pdt.Sus-HKI/Merek/2023/PN Niaga Jkt.Pst.,tanggal 21 September 2023.</w:t>
      </w:r>
    </w:p>
    <w:p w:rsidR="00EE038C" w:rsidRPr="00305172" w:rsidRDefault="00EE038C" w:rsidP="00EE038C">
      <w:pPr>
        <w:autoSpaceDE w:val="0"/>
        <w:autoSpaceDN w:val="0"/>
        <w:adjustRightInd w:val="0"/>
        <w:ind w:firstLine="709"/>
        <w:jc w:val="both"/>
        <w:rPr>
          <w:b/>
          <w:bCs/>
        </w:rPr>
      </w:pPr>
    </w:p>
    <w:p w:rsidR="00EE038C" w:rsidRPr="00305172" w:rsidRDefault="00EE038C" w:rsidP="0020090D">
      <w:pPr>
        <w:pStyle w:val="Title"/>
        <w:numPr>
          <w:ilvl w:val="1"/>
          <w:numId w:val="16"/>
        </w:numPr>
        <w:spacing w:line="456" w:lineRule="auto"/>
        <w:ind w:left="360"/>
        <w:jc w:val="both"/>
        <w:rPr>
          <w:bCs w:val="0"/>
        </w:rPr>
      </w:pPr>
      <w:bookmarkStart w:id="3" w:name="_Hlk172305752"/>
      <w:r w:rsidRPr="00305172">
        <w:rPr>
          <w:bCs w:val="0"/>
        </w:rPr>
        <w:t>Analisis Kasus</w:t>
      </w:r>
      <w:r w:rsidRPr="00305172">
        <w:t xml:space="preserve"> Putusan Mahkamah Agung RI Nomor 532 K/Pdt.Sus-HKI/2024</w:t>
      </w:r>
      <w:bookmarkEnd w:id="3"/>
    </w:p>
    <w:p w:rsidR="00EE038C" w:rsidRPr="00305172" w:rsidRDefault="00EE038C" w:rsidP="00EE038C">
      <w:pPr>
        <w:pStyle w:val="NormalWeb"/>
        <w:spacing w:before="0" w:beforeAutospacing="0" w:after="0" w:afterAutospacing="0" w:line="480" w:lineRule="auto"/>
        <w:ind w:firstLine="720"/>
        <w:jc w:val="both"/>
      </w:pPr>
      <w:r w:rsidRPr="00305172">
        <w:t xml:space="preserve">Kasus antara  </w:t>
      </w:r>
      <w:r w:rsidRPr="00305172">
        <w:rPr>
          <w:bCs/>
        </w:rPr>
        <w:t>Wahl Clipper Corporation</w:t>
      </w:r>
      <w:r w:rsidRPr="00305172">
        <w:t xml:space="preserve"> (penggugat) dengan tergugat (</w:t>
      </w:r>
      <w:r w:rsidRPr="00305172">
        <w:rPr>
          <w:bCs/>
        </w:rPr>
        <w:t>Sandi Hakim</w:t>
      </w:r>
      <w:r w:rsidRPr="00305172">
        <w:t xml:space="preserve">) dan  </w:t>
      </w:r>
      <w:r w:rsidRPr="00305172">
        <w:rPr>
          <w:bCs/>
        </w:rPr>
        <w:t xml:space="preserve">Pemerintah Republik Indonesia c.q. Kementerian Hukum dan Hak Asasi Manusia c.q. Direktorat Jenderal Kekayaan Intelektual c.q. Direktorat Merek dan Indikasi Geografis </w:t>
      </w:r>
      <w:r w:rsidRPr="00305172">
        <w:t xml:space="preserve">merupakan salah satu contoh kasus dari beberapa ratusan sengketa merek yang sering terjadi didalam dunia usaha. Upaya perlindungan terhadap sebuah merek, baik itu merek dagang maupun jasa wajib </w:t>
      </w:r>
      <w:r w:rsidRPr="00305172">
        <w:lastRenderedPageBreak/>
        <w:t>hukumnya untuk didaftarkan didalam Undang-undang Merek di Indonesia, sebagaimana diatur di dalam UU Merek dan Indikasi Geografis. Prinsip perlindungan menjadi sangat penting bagi sebuah produk baik dibidang jasa maupun barang, mengingat merek merupakan sebuah pembeda bagi produk barang atau jasa lainnya.</w:t>
      </w:r>
    </w:p>
    <w:p w:rsidR="00EE038C" w:rsidRPr="00305172" w:rsidRDefault="00EE038C" w:rsidP="00EE038C">
      <w:pPr>
        <w:pStyle w:val="NormalWeb"/>
        <w:spacing w:before="0" w:beforeAutospacing="0" w:after="0" w:afterAutospacing="0" w:line="480" w:lineRule="auto"/>
        <w:ind w:firstLine="720"/>
        <w:jc w:val="both"/>
      </w:pPr>
      <w:r w:rsidRPr="00305172">
        <w:rPr>
          <w:color w:val="000000"/>
        </w:rPr>
        <w:t xml:space="preserve">Tergugat dalam  eksepsinya </w:t>
      </w:r>
      <w:r w:rsidRPr="00305172">
        <w:t xml:space="preserve"> secara tegas menolak seluruh dalil-dalil dan alasan-alasan serta hal-hal yang dikemukakan oleh penggugat dalam gugatannya, kecuali yang secara tegas dinyatakan atau diakui kebenarannya</w:t>
      </w:r>
      <w:r w:rsidRPr="00305172">
        <w:rPr>
          <w:color w:val="000000"/>
        </w:rPr>
        <w:t xml:space="preserve">. Menurut </w:t>
      </w:r>
      <w:r w:rsidRPr="00305172">
        <w:t>Tergugat bahwa suatu merek yang terdaftar di luar Negara Republik Indonesia dan pemiliknya berasal dari luar Negara Republik Indonesia tidaklah serta merta menjadi merek terkenal di Indonesia, perlu dilihat pula apakah merek milik Penggugat sudah diketahui secara umum oleh masyarakat khususnya masyarakat Indonesia, Oleh karena itu, dalil yang dikemukakan oleh Penggugat terkait merek milik Penggugat merupakan merek terkenal adalah tidak dapat dibenarkan, karena Penggugat tetap harus membuktikan keterkenalan merek milik Penggugat dengan memberikan bukti-bukti pendukung sehubungan dengan produksi, promosi, distribusi, maupun penjualan terhadap barang yang dilindungi oleh merek milik Penggugat tersebut sehingga tingkat pengetahuan atau pengakuan masyarakat khususnya masyarakat Indonesia terhadap merek tersebut sebagai merek terkenal di bidang usaha yang bersangkutan tetap terjaga sebagaimana diatur dalam Penjelasan Pasal 21 ayat (1) huruf b Undang-undang Nomor 20 Tahun 2016 tentang Merek dan Indikasi Geografis dan Pasal 18 Peraturan Menteri Hukum dan Hak Asasi Manusia Nomor 67 Tahun 2016 tentang Pendaftaran Merek.</w:t>
      </w:r>
    </w:p>
    <w:p w:rsidR="00EE038C" w:rsidRPr="00305172" w:rsidRDefault="00EE038C" w:rsidP="00EE038C">
      <w:pPr>
        <w:pStyle w:val="NormalWeb"/>
        <w:spacing w:before="0" w:beforeAutospacing="0" w:after="0" w:afterAutospacing="0" w:line="480" w:lineRule="auto"/>
        <w:ind w:firstLine="720"/>
        <w:jc w:val="both"/>
      </w:pPr>
      <w:r w:rsidRPr="00305172">
        <w:lastRenderedPageBreak/>
        <w:t>Berdasarkan fakta-fakta tersebut di atas, Penggugat telah menggunakan Merek “LEGEND" sejak tahun 2014 dan telah diketahui oleh masyarakat dunia dengan jelas, sehingga sangat berdasar secara hukum jika Penggugat merupakan pemilik Merek “LEGEND” sejak tahun 2014. Maka telah menjadi fakta yang jelas dan terang benderang jika Penggugat adalah satu-satunya pihak yang berhak/pemilik yang sah dari merek terkenal "LEGEND" khususnya di kelas 8 (delapan) untuk produk/jenis barang alat cukur listrik, gunting rambut, pemotong-pemotong rambut listrik dan pemangkas-pemangkas rambut listrik, pisau-pisau cukur listrik dan gunting-gunting rambut listrik.</w:t>
      </w:r>
    </w:p>
    <w:p w:rsidR="00EE038C" w:rsidRPr="00305172" w:rsidRDefault="00EE038C" w:rsidP="00EE038C">
      <w:pPr>
        <w:pStyle w:val="NormalWeb"/>
        <w:spacing w:before="0" w:beforeAutospacing="0" w:after="0" w:afterAutospacing="0" w:line="480" w:lineRule="auto"/>
        <w:ind w:firstLine="720"/>
        <w:jc w:val="both"/>
      </w:pPr>
      <w:r w:rsidRPr="00305172">
        <w:t xml:space="preserve">Sebagai merek yang terkenal, maka sudah sepatutnya Merek “LEGEND” milik penggugat mendapatkan pelindungan hukum. Adapun pelindungan yang dimaksud ialah seperti yang hendak diwujudkan pemerintah melalui Pasal 21 ayat (1) huruf b dan c UU Merek dan indikasi Geografis dan sudah sepatutnya </w:t>
      </w:r>
      <w:r w:rsidRPr="00305172">
        <w:rPr>
          <w:rStyle w:val="Emphasis"/>
          <w:i w:val="0"/>
        </w:rPr>
        <w:t>Direktorat Jenderal</w:t>
      </w:r>
      <w:r w:rsidRPr="00305172">
        <w:t xml:space="preserve"> Kekayaan Intelektual (DJKI)wajib menolak permohonan pendaftaran Merek yang diajukan oleh tergugat atas objek gugatan, dikarenakan antara objek gugatan dengan merek “LEGEND” milik Penggugat memiliki persamaan pada pokoknya/keseluruhannya.</w:t>
      </w:r>
    </w:p>
    <w:p w:rsidR="00EE038C" w:rsidRPr="00305172" w:rsidRDefault="00EE038C" w:rsidP="00EE038C">
      <w:pPr>
        <w:pStyle w:val="NormalWeb"/>
        <w:spacing w:before="0" w:beforeAutospacing="0" w:after="0" w:afterAutospacing="0" w:line="480" w:lineRule="auto"/>
        <w:ind w:firstLine="720"/>
        <w:jc w:val="both"/>
      </w:pPr>
      <w:r w:rsidRPr="00305172">
        <w:t xml:space="preserve">Tindakan tergugat yang baru mendaftarkan objek gugatan tersebut belakangan, tentunya dapat sangat berpotensi mengecoh atau menimbulkan kebingungan pada konsumen. Konsumen akan mengira bahwa produk-produk Tergugat yang menggunakan objek gugatan adalah sama atau setidaknya memiliki keterkaitan dengan produk Penggugat. Bahkan lebih jauh lagi, dapat menimbulkan kesan pada konsumen bahwa merek Tergugat adalah merupakan/berasal dari </w:t>
      </w:r>
      <w:r w:rsidRPr="00305172">
        <w:lastRenderedPageBreak/>
        <w:t>Penggugat (mengasosiasikan dengan Penggugat) padahal tidak. Hal tersebut tentunya akan berkaitan dengan kualitas produk yang didapat konsumen tidak sesuai dengan produk dengan merek Penggugat. Di samping dapat merugikan konsumen itu sendiri, bahkan lebih jauh dapat berpotensi menimbulkan kerugian bagi merek yang didompleng atau dijiplak tersebut dalam hal ini kerugian pada Merek “LEGEND” Milik Penggugat.</w:t>
      </w:r>
    </w:p>
    <w:p w:rsidR="00EE038C" w:rsidRPr="00305172" w:rsidRDefault="00EE038C" w:rsidP="00EE038C">
      <w:pPr>
        <w:pStyle w:val="NormalWeb"/>
        <w:spacing w:before="0" w:beforeAutospacing="0" w:after="0" w:afterAutospacing="0" w:line="480" w:lineRule="auto"/>
        <w:ind w:firstLine="720"/>
        <w:jc w:val="both"/>
      </w:pPr>
      <w:r w:rsidRPr="00305172">
        <w:t>Adanya itikad tidak baik yang dilakukan oleh Tergugat, sudah terlihat sejak tahun 2018. Pada tahun 2018 tersebut, Tergugat diketahui telah memproduksi/menjual barang yang diduga palsu dari Merek “LEGEND” yang kemudian dijual di pasar Indonesia. Padahal tahun tersebut Tergugat diketahui belum mengajukan permohonan pendaftaran Objek Gugatan, sehingga produksi barang tersebut dilakukan tanpa alas hak yang sah dan dilakukan tanpa seizin Penggugat selaku pemilik Merek “LEGEND” yang sah.</w:t>
      </w:r>
    </w:p>
    <w:p w:rsidR="00EE038C" w:rsidRPr="00305172" w:rsidRDefault="00EE038C" w:rsidP="00EE038C">
      <w:pPr>
        <w:pStyle w:val="NormalWeb"/>
        <w:spacing w:before="0" w:beforeAutospacing="0" w:after="0" w:afterAutospacing="0" w:line="480" w:lineRule="auto"/>
        <w:ind w:firstLine="720"/>
        <w:jc w:val="both"/>
      </w:pPr>
      <w:r w:rsidRPr="00305172">
        <w:t>Tindakan itikad tidak baik dari Tergugat semakin terlihat ketika setelah objek gugatan berhasil didaftarkan pada tanggal 13 Mei 2022, Tergugat pada tanggal 17 Mei 2022 mengajukan Laporan Polisi Nomor LPB/304/V/2022/ SPKT/POLDA JABAR, dengan melaporkan Toko Mahmud atas dugaan pelanggaran merek karena Toko Mahmud menjual produk Merek “LEGEND” milik Penggugat.</w:t>
      </w:r>
    </w:p>
    <w:p w:rsidR="00EE038C" w:rsidRPr="00305172" w:rsidRDefault="00EE038C" w:rsidP="00EE038C">
      <w:pPr>
        <w:pStyle w:val="NormalWeb"/>
        <w:spacing w:before="0" w:beforeAutospacing="0" w:after="0" w:afterAutospacing="0" w:line="480" w:lineRule="auto"/>
        <w:ind w:firstLine="720"/>
        <w:jc w:val="both"/>
      </w:pPr>
      <w:r w:rsidRPr="00305172">
        <w:t xml:space="preserve">Tindakan-tindakan tergugat tersebut di atas secara tidak langsung telah menimbulkan kerugian pada Penggugat karena nyatanya telah menyebabkan distributor dan/atau </w:t>
      </w:r>
      <w:r w:rsidRPr="00305172">
        <w:rPr>
          <w:i/>
          <w:iCs/>
        </w:rPr>
        <w:t xml:space="preserve">reseller </w:t>
      </w:r>
      <w:r w:rsidRPr="00305172">
        <w:t xml:space="preserve">Penggugat di Indonesia tidak bisa berjualan lagi. Hal tersebut semakin menunjukkan itikad tidak baik Tergugat dalam mendaftarkan </w:t>
      </w:r>
      <w:r w:rsidRPr="00305172">
        <w:lastRenderedPageBreak/>
        <w:t>mereknya, karena tergugat hanya berusaha untuk melakukan upaya persaingan tidak sehat padahal jelas-jelas Penggugat adalah pemilik yang sah dan telah lebih dulu dikenal sebelum tergugat mendaftarkan mereknya kepada turut tergugat.</w:t>
      </w:r>
    </w:p>
    <w:p w:rsidR="00EE038C" w:rsidRPr="00305172" w:rsidRDefault="00EE038C" w:rsidP="00EE038C">
      <w:pPr>
        <w:pStyle w:val="NormalWeb"/>
        <w:spacing w:before="0" w:beforeAutospacing="0" w:after="0" w:afterAutospacing="0" w:line="480" w:lineRule="auto"/>
        <w:ind w:firstLine="720"/>
        <w:jc w:val="both"/>
      </w:pPr>
      <w:r w:rsidRPr="00305172">
        <w:t xml:space="preserve">Berdasarkan hal-hal di atas, telah terbukti secara hukum bahwa objek gugatan milik tergugat telah didaftarkan/diajukan atas dasar itikad tidak baik, sehingga sebagai konsekuensinya maka pendaftaran atas objek gugatan tersebut harus dibatalkan atau dinyatakan batal demi hukum. Pendaftaran yang dilakukan tergugat mutlak bertentangan dengan ketentuan Pasal 21 ayat (1) huruf b dan c Jo. ayat (3) UU Merek dan Indikasi Geografis dan tentunya juga bertentangan secara </w:t>
      </w:r>
      <w:r w:rsidRPr="00305172">
        <w:rPr>
          <w:i/>
          <w:iCs/>
        </w:rPr>
        <w:t xml:space="preserve">diametral </w:t>
      </w:r>
      <w:r w:rsidRPr="00305172">
        <w:t>dengan asas hukum atau prinsip hukum yang menjadi jiwa (spirit) dari dibentuknya UU Merek dan Indikasi Geografis yaitu untuk menjaga persaingan usaha yang sehat, berkeadilan, dan memberikan pelindungan konsumen, sebagaimana tercantum dalam bagian Menimbang, huruf a, UU Merek dan Indikasi Geografis</w:t>
      </w:r>
    </w:p>
    <w:p w:rsidR="00EE038C" w:rsidRPr="00305172" w:rsidRDefault="00EE038C" w:rsidP="00EE038C">
      <w:pPr>
        <w:spacing w:line="480" w:lineRule="auto"/>
        <w:ind w:firstLine="720"/>
        <w:jc w:val="both"/>
      </w:pPr>
      <w:r w:rsidRPr="00305172">
        <w:t xml:space="preserve">Akibat hukum Putusan Mahkamah Agung RI Nomor 532 K/Pdt.Sus-HKI/2024, maka terhadap tergugat </w:t>
      </w:r>
      <w:r w:rsidRPr="00305172">
        <w:rPr>
          <w:bCs/>
        </w:rPr>
        <w:t xml:space="preserve">yang dengan </w:t>
      </w:r>
      <w:r w:rsidRPr="00305172">
        <w:t xml:space="preserve">itikad tiak baik telah mempergunakan merek </w:t>
      </w:r>
      <w:r w:rsidRPr="00305172">
        <w:rPr>
          <w:color w:val="000000"/>
        </w:rPr>
        <w:t xml:space="preserve">milik penggugat </w:t>
      </w:r>
      <w:r w:rsidRPr="00305172">
        <w:t xml:space="preserve">dalam kegiatan perdagangan dan dilakukan dengan niat membonceng merek orang lain. Kegiatan perdagangan atas barang-barang dengan Merek </w:t>
      </w:r>
      <w:r w:rsidRPr="00305172">
        <w:rPr>
          <w:color w:val="000000"/>
        </w:rPr>
        <w:t xml:space="preserve">Legend </w:t>
      </w:r>
      <w:r w:rsidRPr="00305172">
        <w:t>telah dilakukan dengan tidak memenuhi semua ketentuan yang berlaku di Indonesia, maka negara berkewajiban untuk memberikan perlindungan yang layak bagi kegiatan perdagangan. Berdasarkan hal tersebut, maka dengan pembatalan merek</w:t>
      </w:r>
      <w:r w:rsidRPr="00305172">
        <w:rPr>
          <w:color w:val="000000"/>
        </w:rPr>
        <w:t xml:space="preserve"> milik tergugat</w:t>
      </w:r>
      <w:r w:rsidRPr="00305172">
        <w:t xml:space="preserve">, maka Mahkamah Agung </w:t>
      </w:r>
      <w:r w:rsidRPr="00305172">
        <w:lastRenderedPageBreak/>
        <w:t>RI</w:t>
      </w:r>
      <w:r w:rsidRPr="00305172">
        <w:rPr>
          <w:i/>
          <w:iCs/>
        </w:rPr>
        <w:t xml:space="preserve"> </w:t>
      </w:r>
      <w:r w:rsidRPr="00305172">
        <w:t>telah mencabut hak merek dari Tergugat yang telah terbukti digunakan dengan itikad tidak baik pada kegiatan perdagangan yang nyata.</w:t>
      </w:r>
    </w:p>
    <w:p w:rsidR="00EE038C" w:rsidRPr="00305172" w:rsidRDefault="00EE038C" w:rsidP="00EE038C">
      <w:pPr>
        <w:spacing w:line="480" w:lineRule="auto"/>
        <w:ind w:firstLine="720"/>
        <w:jc w:val="both"/>
      </w:pPr>
      <w:r w:rsidRPr="00305172">
        <w:t xml:space="preserve">Dengan demikian penggugat pun telah melakukan pendaftaran di berbagai negara untuk melindungi Merek “LEGEND” termasuk Indonesia. Meskipun Merek “LEGEND” milik Penggugat saat ini belum terdaftar di Indonesia pada tanggal gugatan diajukan, hal tersebut tidak lantas mengesampingkan pelindungan yang diberikan peraturan perundang-undangan kepada Merek “LEGEND” milik Penggugat, karena Merek “LEGEND” milik Penggugat dapat dikategorikan sebagai merek terkenal yang dikenal luas di dunia, khususnya di kalangan </w:t>
      </w:r>
      <w:r w:rsidRPr="00305172">
        <w:rPr>
          <w:i/>
          <w:iCs/>
        </w:rPr>
        <w:t xml:space="preserve">barber, </w:t>
      </w:r>
      <w:r w:rsidRPr="00305172">
        <w:t>baik di Indonesia maupun di negara-negara lain.</w:t>
      </w:r>
    </w:p>
    <w:p w:rsidR="00EE038C" w:rsidRPr="00305172" w:rsidRDefault="00EE038C" w:rsidP="00EE038C">
      <w:pPr>
        <w:spacing w:line="480" w:lineRule="auto"/>
        <w:ind w:firstLine="720"/>
        <w:jc w:val="both"/>
      </w:pPr>
      <w:r w:rsidRPr="00305172">
        <w:t>Sebagai konsekuensi adanya perlindungan hukum hak atas merek, pemilik merek terdaftar mempunyai hak untuk mengajukan gugatan yaitu berupa ganti rugi jika mereknya dipergunakan pihak lain tanpa hak atau izin darinya.</w:t>
      </w:r>
      <w:r w:rsidRPr="00305172">
        <w:rPr>
          <w:rStyle w:val="FootnoteReference"/>
        </w:rPr>
        <w:footnoteReference w:id="29"/>
      </w:r>
      <w:r w:rsidRPr="00305172">
        <w:t xml:space="preserve"> Memastikan perlindungan terhadap Hak Kekayaan Intelektual merupakan suatu langkah yang dapat mendorong pembangunan dari aspek ekonomi di dalam lingkup masyarakat yang menjalankan sistem kekayaan intelektual.7 Negara memiliki peranan dalam memberikan perlindungan terhadap Hak Kekayaan Intelektual untuk kemudian dapat mencapai cita hukum yang dalam keberjalanannya disusun melalui suatu cita terkait perlindungan untuk seluruh rakyat beserta hak-haknya sebagai bagian dari tanggung jawab pemerintah sesuai </w:t>
      </w:r>
      <w:r w:rsidRPr="00305172">
        <w:lastRenderedPageBreak/>
        <w:t>dengan yang diatur dalam Undang-Undang Dasar Negara Republik Indonesia Tahun 1945.</w:t>
      </w:r>
      <w:r w:rsidRPr="00305172">
        <w:rPr>
          <w:rStyle w:val="FootnoteReference"/>
        </w:rPr>
        <w:footnoteReference w:id="30"/>
      </w:r>
    </w:p>
    <w:p w:rsidR="00EE038C" w:rsidRPr="00305172" w:rsidRDefault="00EE038C" w:rsidP="00EE038C">
      <w:pPr>
        <w:spacing w:line="480" w:lineRule="auto"/>
        <w:ind w:firstLine="720"/>
        <w:jc w:val="both"/>
      </w:pPr>
      <w:r w:rsidRPr="00305172">
        <w:rPr>
          <w:rStyle w:val="Emphasis"/>
          <w:i w:val="0"/>
        </w:rPr>
        <w:t>Direktorat Jenderal</w:t>
      </w:r>
      <w:r w:rsidRPr="00305172">
        <w:t xml:space="preserve"> Kekayaan Intelektual (DJKI) memiliki tanggung jawab untuk dapat memberikan perlindungan hukum sesuai undang-undang yang berlaku terhadap objek dari Hak Kekayaan Intelektual yang dinaunginya, tidak terkecuali perihal merek. Penjaminan terhadap perlindungan kepastian hukum kepemilikan hak eksklusif atas merek merupakan hal yang wajib untuk dilakukan oleh Direktorat Jenderal HKI sebagai lembaga negara yang memiliki wewenang untuk dapat memberikan jaminan hukum agar di kemudian hari tidak terdapat pihak yang merasa dirugikan. Perlindungan hukum yang diberikan pada suatu merek yang telah terdaftar merupakan sebuah jaminan dengan hukum yang ditujukan pada merek terdaftar tersebut untuk kemudian dapat dijalankan menurut ketentuan peraturan perundang-undangan yang berlaku.</w:t>
      </w:r>
      <w:r w:rsidRPr="00305172">
        <w:rPr>
          <w:rStyle w:val="FootnoteReference"/>
        </w:rPr>
        <w:footnoteReference w:id="31"/>
      </w:r>
    </w:p>
    <w:p w:rsidR="00EE038C" w:rsidRPr="00305172" w:rsidRDefault="00EE038C" w:rsidP="00EE038C">
      <w:pPr>
        <w:spacing w:line="504" w:lineRule="auto"/>
        <w:ind w:firstLine="720"/>
        <w:jc w:val="both"/>
      </w:pPr>
      <w:r w:rsidRPr="00305172">
        <w:t>Meskipun Indonesia telah mempunyai regulasi sendiri yang berhubungan dengan Hak Kekayaan Intelektual melalui undang-undang yang berlaku, Indonesia pun juga turut terikat terhadap perjanjian internasional yang berhubungan dengan hak kekayaan intelektual, yang dibuktikan dengan fakta bahwa Indonesia merupakan salah satu negara anggota yang terikat pada Marakesh Treaty serta TRIPs Agreement.</w:t>
      </w:r>
      <w:r w:rsidRPr="00305172">
        <w:rPr>
          <w:rStyle w:val="FootnoteReference"/>
        </w:rPr>
        <w:footnoteReference w:id="32"/>
      </w:r>
      <w:r w:rsidRPr="00305172">
        <w:t xml:space="preserve"> Dengan dikeluarkannya Undang-Undang Nomor 7 Tahun 1994 Tentang Pengesahan </w:t>
      </w:r>
      <w:r w:rsidRPr="00305172">
        <w:rPr>
          <w:i/>
        </w:rPr>
        <w:t xml:space="preserve">Agreement Establishing The </w:t>
      </w:r>
      <w:r w:rsidRPr="00305172">
        <w:rPr>
          <w:i/>
        </w:rPr>
        <w:lastRenderedPageBreak/>
        <w:t>World Trade Organization</w:t>
      </w:r>
      <w:r w:rsidRPr="00305172">
        <w:t xml:space="preserve"> (Persetujuan Pembentukan Organisasi Perdagangan Dunia), telah menjadikan Indonesia sebagai salah satu peserta dalam Organisasi Perdagangan Dunia.</w:t>
      </w:r>
      <w:r w:rsidRPr="00305172">
        <w:rPr>
          <w:rStyle w:val="FootnoteReference"/>
        </w:rPr>
        <w:footnoteReference w:id="33"/>
      </w:r>
      <w:r w:rsidRPr="00305172">
        <w:t xml:space="preserve"> Melihat realita tersebut, Indonesia memiliki tanggung jawab yang besar untuk turut melakukan perlindungan serta penegakkan hukum terhadap kekayaan intelektual yang dihasilkan oleh manusia.</w:t>
      </w:r>
    </w:p>
    <w:p w:rsidR="00EE038C" w:rsidRPr="00305172" w:rsidRDefault="00EE038C" w:rsidP="00EE038C">
      <w:pPr>
        <w:spacing w:line="504" w:lineRule="auto"/>
        <w:ind w:firstLine="720"/>
        <w:jc w:val="both"/>
      </w:pPr>
      <w:r w:rsidRPr="00305172">
        <w:t>UU Merek dan Indikasi Geografis merupakan dasar hukum yang pada saat ini digunakan sebagai landasan di Indonesia dalam memberikan perlindungan hukum terhadap merek terdaftar. Selain itu, UU Merek dan Indikasi Geografis telah mengamanatkan beberapa substansi yang akan dijelaskan secara lebih rinci dalam Peraturan Menteri Hukum dan Hak Asasi Manusia Nomor 67 Tahun 2016 Tentang Pendaftaran Merek.</w:t>
      </w:r>
    </w:p>
    <w:p w:rsidR="00EE038C" w:rsidRPr="00305172" w:rsidRDefault="00EE038C" w:rsidP="00EE038C">
      <w:pPr>
        <w:spacing w:line="480" w:lineRule="auto"/>
        <w:ind w:firstLine="720"/>
        <w:jc w:val="both"/>
      </w:pPr>
      <w:r w:rsidRPr="00305172">
        <w:t>Hal-hal yang demikian dimaksudkan semata-mata untuk memperkuat perlindungan hukum terhadap merek yang telah terdaftar secara sah serta dapat memberikan penjelasan secara komperhensif bagi masyarakat secara luas agar apabila di kemudian hari terdapat kesalahan atau pelanggaran yang dilakukan baik oleh pihak tertentu maupun Direktorat Jenderal HKI sendiri dapat dipertanggungjawabkan secara hukum.</w:t>
      </w:r>
    </w:p>
    <w:p w:rsidR="00EE038C" w:rsidRPr="00305172" w:rsidRDefault="00EE038C" w:rsidP="00EE038C">
      <w:pPr>
        <w:spacing w:line="480" w:lineRule="auto"/>
        <w:ind w:firstLine="720"/>
        <w:jc w:val="both"/>
      </w:pPr>
      <w:r w:rsidRPr="00305172">
        <w:t xml:space="preserve">Mengenai perlindungan terhadap merek terdaftar, pada Pasal 21 ayat (1) UU Merek dan Indikasi Geografis telah memberikan perlindungan terhadap merek yang telah terdaftar berupa penolakan permohonan pendaftaran merek apabila memiliki persamaan pada pokoknya atau keselurhannya dengan merek terdaftar milik pihak lain yang lebih dahulu terdaftar untuk barang atau jasa yang sejenis, </w:t>
      </w:r>
      <w:r w:rsidRPr="00305172">
        <w:lastRenderedPageBreak/>
        <w:t>merek terkenal milik pihak lain untuk barang atau jasa sejenis, merek terkenal milik pihak lain untuk barang atau jasa tidak sejenis yang memenuhi persyaratan tertentu, atau memiliki persamaan dengan indikasi geografis.</w:t>
      </w:r>
    </w:p>
    <w:p w:rsidR="00EE038C" w:rsidRPr="00305172" w:rsidRDefault="00EE038C" w:rsidP="00EE038C">
      <w:pPr>
        <w:spacing w:line="480" w:lineRule="auto"/>
        <w:ind w:firstLine="720"/>
        <w:jc w:val="both"/>
      </w:pPr>
      <w:r w:rsidRPr="00305172">
        <w:t xml:space="preserve">Kenyataannya, </w:t>
      </w:r>
      <w:r w:rsidRPr="00305172">
        <w:rPr>
          <w:bCs/>
        </w:rPr>
        <w:t>Wahl Clipper Corporation</w:t>
      </w:r>
      <w:r w:rsidRPr="00305172">
        <w:t xml:space="preserve"> telah lebih dahulu mendaftarkan merek miliknya jauh sebelum </w:t>
      </w:r>
      <w:r w:rsidRPr="00305172">
        <w:rPr>
          <w:bCs/>
        </w:rPr>
        <w:t>Sandi Hakim</w:t>
      </w:r>
      <w:r w:rsidRPr="00305172">
        <w:t xml:space="preserve">, mendaftarkan merek dagangnya. Melalui pasal tersebut, dapat dipahami bahwa dalam UU Merek dan Indikasi Geografis secara langsung telah memberikan batasan hingga larangan bagi pihak lain pada kaitannya dengan pendaftaran merek yang memiliki persamaan pada pokoknya dengan merek lain yang telah terdaftar dengan barang ataupun jasa sejenis. Namun, </w:t>
      </w:r>
      <w:r w:rsidRPr="00305172">
        <w:rPr>
          <w:bCs/>
        </w:rPr>
        <w:t>Sandi Hakim</w:t>
      </w:r>
      <w:r w:rsidRPr="00305172">
        <w:t xml:space="preserve"> tetap mengajukan permohonan pendaftaran merek LEGEND Nomor IDM000964031 yang melindungi jenis barang/jasa di kelas 8 tertanggal (pendaftaran) 13 Mei 2022.</w:t>
      </w:r>
    </w:p>
    <w:p w:rsidR="00EE038C" w:rsidRPr="00305172" w:rsidRDefault="00EE038C" w:rsidP="00EE038C">
      <w:pPr>
        <w:spacing w:line="480" w:lineRule="auto"/>
        <w:ind w:right="-11"/>
        <w:jc w:val="both"/>
      </w:pPr>
      <w:r w:rsidRPr="00305172">
        <w:t>Pasal 17 ayat (1) dan (2) Peraturan Menteri Hukum dan Hak Asasi Manusia Nomor 67 Tahun 2016 dijelaskan mengenai penilaian terhadap merek yang memiliki persamaan pada pokoknya dengan merek lain maupun mengenai kriteria penentuan terhadap barang atau jasa yang dikatakan sejenis. Perlindungan hukum selanjutnya yang diberikan oleh undang-undang terhadap merek yang memiliki persamaan pada pokoknya ialah dapat diajukan upaya hukum untuk melakukan pembatalan terhadap merek yang memiliki persamaan pada pokoknya dengan merek lainnya pada Pengadilan Niaga sesuai dengan Pasal 532 ayat (1), (2), dan (3) UU Merek dan Indikasi Geografis.</w:t>
      </w:r>
    </w:p>
    <w:p w:rsidR="002C44F7" w:rsidRPr="00EE038C" w:rsidRDefault="002C44F7" w:rsidP="00EE038C">
      <w:pPr>
        <w:rPr>
          <w:rFonts w:eastAsia="MS Mincho"/>
        </w:rPr>
      </w:pPr>
    </w:p>
    <w:sectPr w:rsidR="002C44F7" w:rsidRPr="00EE038C" w:rsidSect="0064458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9CB" w:rsidRDefault="00D139CB">
      <w:r>
        <w:separator/>
      </w:r>
    </w:p>
  </w:endnote>
  <w:endnote w:type="continuationSeparator" w:id="1">
    <w:p w:rsidR="00D139CB" w:rsidRDefault="00D13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10" w:rsidRDefault="003841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384110">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9CB" w:rsidRDefault="00D139CB">
      <w:r>
        <w:separator/>
      </w:r>
    </w:p>
  </w:footnote>
  <w:footnote w:type="continuationSeparator" w:id="1">
    <w:p w:rsidR="00D139CB" w:rsidRDefault="00D139CB">
      <w:r>
        <w:continuationSeparator/>
      </w:r>
    </w:p>
  </w:footnote>
  <w:footnote w:id="2">
    <w:p w:rsidR="00EE038C" w:rsidRPr="00E53D2B" w:rsidRDefault="00EE038C" w:rsidP="00EE038C">
      <w:pPr>
        <w:pStyle w:val="FootnoteText"/>
        <w:rPr>
          <w:lang w:val="id-ID"/>
        </w:rPr>
      </w:pPr>
      <w:r w:rsidRPr="00E53D2B">
        <w:rPr>
          <w:lang w:val="id-ID"/>
        </w:rPr>
        <w:t xml:space="preserve">       </w:t>
      </w:r>
      <w:r w:rsidRPr="00E53D2B">
        <w:rPr>
          <w:rStyle w:val="FootnoteReference"/>
        </w:rPr>
        <w:footnoteRef/>
      </w:r>
      <w:r w:rsidRPr="00E53D2B">
        <w:rPr>
          <w:lang w:val="id-ID"/>
        </w:rPr>
        <w:t xml:space="preserve"> </w:t>
      </w:r>
      <w:r w:rsidRPr="00E53D2B">
        <w:t xml:space="preserve">Budi Santoso, </w:t>
      </w:r>
      <w:r w:rsidRPr="00E53D2B">
        <w:rPr>
          <w:i/>
          <w:iCs/>
        </w:rPr>
        <w:t>Pengantar HKI</w:t>
      </w:r>
      <w:r w:rsidRPr="00E53D2B">
        <w:t>, Pustaka Magister, Semarang, 2018, h.46</w:t>
      </w:r>
      <w:r w:rsidRPr="00E53D2B">
        <w:rPr>
          <w:lang w:val="id-ID"/>
        </w:rPr>
        <w:t>.</w:t>
      </w:r>
    </w:p>
  </w:footnote>
  <w:footnote w:id="3">
    <w:p w:rsidR="00EE038C" w:rsidRPr="00E53D2B" w:rsidRDefault="00EE038C" w:rsidP="00EE038C">
      <w:pPr>
        <w:autoSpaceDE w:val="0"/>
        <w:autoSpaceDN w:val="0"/>
        <w:adjustRightInd w:val="0"/>
        <w:jc w:val="both"/>
        <w:rPr>
          <w:sz w:val="20"/>
          <w:szCs w:val="20"/>
          <w:lang w:val="id-ID"/>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I Gusti Gede Getas</w:t>
      </w:r>
      <w:r w:rsidRPr="00E53D2B">
        <w:rPr>
          <w:i/>
          <w:iCs/>
          <w:sz w:val="20"/>
          <w:szCs w:val="20"/>
        </w:rPr>
        <w:t xml:space="preserve">¸ Peranan Merek dalam Dunia Usaha, </w:t>
      </w:r>
      <w:r w:rsidRPr="00E53D2B">
        <w:rPr>
          <w:sz w:val="20"/>
          <w:szCs w:val="20"/>
        </w:rPr>
        <w:t>Upad Sastra,</w:t>
      </w:r>
      <w:r w:rsidRPr="00E53D2B">
        <w:rPr>
          <w:sz w:val="20"/>
          <w:szCs w:val="20"/>
          <w:lang w:val="id-ID"/>
        </w:rPr>
        <w:t xml:space="preserve"> </w:t>
      </w:r>
      <w:r w:rsidRPr="00E53D2B">
        <w:rPr>
          <w:sz w:val="20"/>
          <w:szCs w:val="20"/>
        </w:rPr>
        <w:t>Denpasar, 2017, h.42</w:t>
      </w:r>
      <w:r w:rsidRPr="00E53D2B">
        <w:rPr>
          <w:sz w:val="20"/>
          <w:szCs w:val="20"/>
          <w:lang w:val="id-ID"/>
        </w:rPr>
        <w:t>.</w:t>
      </w:r>
    </w:p>
  </w:footnote>
  <w:footnote w:id="4">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Insan Budi Maulana</w:t>
      </w:r>
      <w:r w:rsidRPr="00E53D2B">
        <w:rPr>
          <w:i/>
          <w:iCs/>
          <w:sz w:val="20"/>
          <w:szCs w:val="20"/>
        </w:rPr>
        <w:t>, Op.Cit</w:t>
      </w:r>
      <w:r w:rsidRPr="00E53D2B">
        <w:rPr>
          <w:sz w:val="20"/>
          <w:szCs w:val="20"/>
        </w:rPr>
        <w:t>, h.72</w:t>
      </w:r>
    </w:p>
  </w:footnote>
  <w:footnote w:id="5">
    <w:p w:rsidR="00EE038C" w:rsidRPr="00E53D2B" w:rsidRDefault="00EE038C" w:rsidP="00EE038C">
      <w:pPr>
        <w:pStyle w:val="FootnoteText"/>
        <w:rPr>
          <w:lang w:val="id-ID"/>
        </w:rPr>
      </w:pPr>
      <w:r w:rsidRPr="00E53D2B">
        <w:rPr>
          <w:lang w:val="id-ID"/>
        </w:rPr>
        <w:t xml:space="preserve">       </w:t>
      </w:r>
      <w:r w:rsidRPr="00E53D2B">
        <w:rPr>
          <w:rStyle w:val="FootnoteReference"/>
        </w:rPr>
        <w:footnoteRef/>
      </w:r>
      <w:r w:rsidRPr="00E53D2B">
        <w:rPr>
          <w:lang w:val="id-ID"/>
        </w:rPr>
        <w:t xml:space="preserve"> </w:t>
      </w:r>
      <w:r w:rsidRPr="00E53D2B">
        <w:rPr>
          <w:i/>
        </w:rPr>
        <w:t>Ibid</w:t>
      </w:r>
      <w:r w:rsidRPr="00E53D2B">
        <w:t>, h.59</w:t>
      </w:r>
    </w:p>
  </w:footnote>
  <w:footnote w:id="6">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 xml:space="preserve">Suyud Margono, </w:t>
      </w:r>
      <w:r w:rsidRPr="00E53D2B">
        <w:rPr>
          <w:i/>
          <w:sz w:val="20"/>
          <w:szCs w:val="20"/>
        </w:rPr>
        <w:t>Op.Cit</w:t>
      </w:r>
      <w:r w:rsidRPr="00E53D2B">
        <w:rPr>
          <w:sz w:val="20"/>
          <w:szCs w:val="20"/>
        </w:rPr>
        <w:t>, h.14</w:t>
      </w:r>
    </w:p>
  </w:footnote>
  <w:footnote w:id="7">
    <w:p w:rsidR="00EE038C" w:rsidRPr="00E53D2B" w:rsidRDefault="00EE038C" w:rsidP="00EE038C">
      <w:pPr>
        <w:pStyle w:val="FootnoteText"/>
        <w:rPr>
          <w:lang w:val="id-ID"/>
        </w:rPr>
      </w:pPr>
      <w:r w:rsidRPr="00E53D2B">
        <w:rPr>
          <w:lang w:val="id-ID"/>
        </w:rPr>
        <w:t xml:space="preserve">       </w:t>
      </w:r>
      <w:r w:rsidRPr="00E53D2B">
        <w:rPr>
          <w:rStyle w:val="FootnoteReference"/>
        </w:rPr>
        <w:footnoteRef/>
      </w:r>
      <w:r w:rsidRPr="00E53D2B">
        <w:rPr>
          <w:lang w:val="id-ID"/>
        </w:rPr>
        <w:t xml:space="preserve"> </w:t>
      </w:r>
      <w:r w:rsidRPr="00E53D2B">
        <w:rPr>
          <w:i/>
        </w:rPr>
        <w:t>Ibid</w:t>
      </w:r>
      <w:r w:rsidRPr="00E53D2B">
        <w:t>, h.26</w:t>
      </w:r>
    </w:p>
  </w:footnote>
  <w:footnote w:id="8">
    <w:p w:rsidR="00EE038C" w:rsidRPr="00E53D2B" w:rsidRDefault="00EE038C" w:rsidP="00EE038C">
      <w:pPr>
        <w:pStyle w:val="FootnoteText"/>
        <w:jc w:val="both"/>
        <w:rPr>
          <w:lang w:val="id-ID"/>
        </w:rPr>
      </w:pPr>
      <w:r w:rsidRPr="00E53D2B">
        <w:rPr>
          <w:lang w:val="id-ID"/>
        </w:rPr>
        <w:t xml:space="preserve">       </w:t>
      </w:r>
      <w:r w:rsidRPr="00E53D2B">
        <w:rPr>
          <w:rStyle w:val="FootnoteReference"/>
        </w:rPr>
        <w:footnoteRef/>
      </w:r>
      <w:r w:rsidRPr="00E53D2B">
        <w:rPr>
          <w:lang w:val="id-ID"/>
        </w:rPr>
        <w:t xml:space="preserve"> </w:t>
      </w:r>
      <w:r w:rsidRPr="00E53D2B">
        <w:t>Tim Lindsey</w:t>
      </w:r>
      <w:r w:rsidRPr="00E53D2B">
        <w:rPr>
          <w:lang w:val="id-ID"/>
        </w:rPr>
        <w:t xml:space="preserve"> et.al. </w:t>
      </w:r>
      <w:r w:rsidRPr="00E53D2B">
        <w:rPr>
          <w:i/>
        </w:rPr>
        <w:t>Op.Cit</w:t>
      </w:r>
      <w:r w:rsidRPr="00E53D2B">
        <w:t>, h.62</w:t>
      </w:r>
    </w:p>
  </w:footnote>
  <w:footnote w:id="9">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Pr>
          <w:sz w:val="20"/>
          <w:szCs w:val="20"/>
          <w:lang w:val="id-ID"/>
        </w:rPr>
        <w:tab/>
      </w:r>
      <w:r w:rsidRPr="00E53D2B">
        <w:rPr>
          <w:rStyle w:val="FootnoteReference"/>
          <w:sz w:val="20"/>
          <w:szCs w:val="20"/>
        </w:rPr>
        <w:footnoteRef/>
      </w:r>
      <w:r w:rsidRPr="00E53D2B">
        <w:rPr>
          <w:sz w:val="20"/>
          <w:szCs w:val="20"/>
          <w:lang w:val="id-ID"/>
        </w:rPr>
        <w:t xml:space="preserve"> </w:t>
      </w:r>
      <w:r w:rsidRPr="00E53D2B">
        <w:rPr>
          <w:sz w:val="20"/>
          <w:szCs w:val="20"/>
        </w:rPr>
        <w:t xml:space="preserve">Arfan Rahadi Mulyo, </w:t>
      </w:r>
      <w:r w:rsidRPr="00E53D2B">
        <w:rPr>
          <w:i/>
          <w:iCs/>
          <w:sz w:val="20"/>
          <w:szCs w:val="20"/>
        </w:rPr>
        <w:t>Perlindungan Hukum Merek Terdaftar di Indonesia (Suatu Tinjauan Yuridis Praktis</w:t>
      </w:r>
      <w:r w:rsidRPr="00E53D2B">
        <w:rPr>
          <w:sz w:val="20"/>
          <w:szCs w:val="20"/>
        </w:rPr>
        <w:t>), Citra Ilmu, Surabaya, 2016, h.76.</w:t>
      </w:r>
    </w:p>
  </w:footnote>
  <w:footnote w:id="10">
    <w:p w:rsidR="00EE038C" w:rsidRPr="00E53D2B" w:rsidRDefault="00EE038C" w:rsidP="00EE038C">
      <w:pPr>
        <w:pStyle w:val="FootnoteText"/>
        <w:jc w:val="both"/>
        <w:rPr>
          <w:lang w:val="id-ID"/>
        </w:rPr>
      </w:pPr>
      <w:r w:rsidRPr="00E53D2B">
        <w:rPr>
          <w:lang w:val="id-ID"/>
        </w:rPr>
        <w:t xml:space="preserve">      </w:t>
      </w:r>
      <w:r>
        <w:rPr>
          <w:lang w:val="id-ID"/>
        </w:rPr>
        <w:tab/>
      </w:r>
      <w:r w:rsidRPr="00E53D2B">
        <w:rPr>
          <w:rStyle w:val="FootnoteReference"/>
        </w:rPr>
        <w:footnoteRef/>
      </w:r>
      <w:r w:rsidRPr="00E53D2B">
        <w:rPr>
          <w:lang w:val="id-ID"/>
        </w:rPr>
        <w:t xml:space="preserve"> </w:t>
      </w:r>
      <w:r w:rsidRPr="00E53D2B">
        <w:rPr>
          <w:i/>
        </w:rPr>
        <w:t>Ibid</w:t>
      </w:r>
      <w:r w:rsidRPr="00E53D2B">
        <w:t>, h.78</w:t>
      </w:r>
    </w:p>
  </w:footnote>
  <w:footnote w:id="11">
    <w:p w:rsidR="00EE038C" w:rsidRPr="00E53D2B" w:rsidRDefault="00EE038C" w:rsidP="00EE038C">
      <w:pPr>
        <w:pStyle w:val="FootnoteText"/>
        <w:jc w:val="both"/>
      </w:pPr>
      <w:r w:rsidRPr="00E53D2B">
        <w:rPr>
          <w:lang w:val="id-ID"/>
        </w:rPr>
        <w:t xml:space="preserve">       </w:t>
      </w:r>
      <w:r w:rsidRPr="00E53D2B">
        <w:rPr>
          <w:rStyle w:val="FootnoteReference"/>
        </w:rPr>
        <w:footnoteRef/>
      </w:r>
      <w:r w:rsidRPr="00E53D2B">
        <w:rPr>
          <w:lang w:val="id-ID"/>
        </w:rPr>
        <w:t xml:space="preserve"> </w:t>
      </w:r>
      <w:r w:rsidRPr="00E53D2B">
        <w:t>Tim Lindsey</w:t>
      </w:r>
      <w:r w:rsidRPr="00E53D2B">
        <w:rPr>
          <w:i/>
          <w:iCs/>
          <w:lang w:val="id-ID"/>
        </w:rPr>
        <w:t xml:space="preserve"> </w:t>
      </w:r>
      <w:r w:rsidRPr="00E53D2B">
        <w:rPr>
          <w:lang w:val="id-ID"/>
        </w:rPr>
        <w:t xml:space="preserve">et.al. </w:t>
      </w:r>
      <w:r w:rsidRPr="00E53D2B">
        <w:rPr>
          <w:i/>
          <w:iCs/>
        </w:rPr>
        <w:t>Op.Cit</w:t>
      </w:r>
      <w:r w:rsidRPr="00E53D2B">
        <w:t>, h.28</w:t>
      </w:r>
    </w:p>
  </w:footnote>
  <w:footnote w:id="12">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Abdul Kadir Muhammad</w:t>
      </w:r>
      <w:r w:rsidRPr="00E53D2B">
        <w:rPr>
          <w:i/>
          <w:iCs/>
          <w:sz w:val="20"/>
          <w:szCs w:val="20"/>
        </w:rPr>
        <w:t>, Op.Cit</w:t>
      </w:r>
      <w:r w:rsidRPr="00E53D2B">
        <w:rPr>
          <w:sz w:val="20"/>
          <w:szCs w:val="20"/>
        </w:rPr>
        <w:t>, h.61</w:t>
      </w:r>
    </w:p>
  </w:footnote>
  <w:footnote w:id="13">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 xml:space="preserve">Insan Budi Maulana, </w:t>
      </w:r>
      <w:r w:rsidRPr="00E53D2B">
        <w:rPr>
          <w:i/>
          <w:iCs/>
          <w:sz w:val="20"/>
          <w:szCs w:val="20"/>
        </w:rPr>
        <w:t>Op.Cit</w:t>
      </w:r>
      <w:r w:rsidRPr="00E53D2B">
        <w:rPr>
          <w:sz w:val="20"/>
          <w:szCs w:val="20"/>
        </w:rPr>
        <w:t>, h.12</w:t>
      </w:r>
    </w:p>
  </w:footnote>
  <w:footnote w:id="14">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OK</w:t>
      </w:r>
      <w:r w:rsidRPr="00E53D2B">
        <w:rPr>
          <w:sz w:val="20"/>
          <w:szCs w:val="20"/>
          <w:lang w:val="id-ID"/>
        </w:rPr>
        <w:t xml:space="preserve"> </w:t>
      </w:r>
      <w:r w:rsidRPr="00E53D2B">
        <w:rPr>
          <w:sz w:val="20"/>
          <w:szCs w:val="20"/>
        </w:rPr>
        <w:t xml:space="preserve">Saidin, </w:t>
      </w:r>
      <w:r w:rsidRPr="00E53D2B">
        <w:rPr>
          <w:i/>
          <w:iCs/>
          <w:sz w:val="20"/>
          <w:szCs w:val="20"/>
        </w:rPr>
        <w:t>Op.Cit</w:t>
      </w:r>
      <w:r w:rsidRPr="00E53D2B">
        <w:rPr>
          <w:sz w:val="20"/>
          <w:szCs w:val="20"/>
        </w:rPr>
        <w:t>, h.304</w:t>
      </w:r>
    </w:p>
  </w:footnote>
  <w:footnote w:id="15">
    <w:p w:rsidR="00EE038C" w:rsidRPr="00E53D2B" w:rsidRDefault="00EE038C" w:rsidP="00EE038C">
      <w:pPr>
        <w:pStyle w:val="FootnoteText"/>
        <w:jc w:val="both"/>
      </w:pPr>
      <w:r w:rsidRPr="00E53D2B">
        <w:rPr>
          <w:lang w:val="id-ID"/>
        </w:rPr>
        <w:t xml:space="preserve">       </w:t>
      </w:r>
      <w:r w:rsidRPr="00E53D2B">
        <w:rPr>
          <w:rStyle w:val="FootnoteReference"/>
        </w:rPr>
        <w:footnoteRef/>
      </w:r>
      <w:r w:rsidRPr="00E53D2B">
        <w:rPr>
          <w:lang w:val="id-ID"/>
        </w:rPr>
        <w:t xml:space="preserve"> </w:t>
      </w:r>
      <w:r w:rsidRPr="00E53D2B">
        <w:rPr>
          <w:i/>
        </w:rPr>
        <w:t>Ibid</w:t>
      </w:r>
      <w:r w:rsidRPr="00E53D2B">
        <w:t xml:space="preserve">, </w:t>
      </w:r>
      <w:r w:rsidRPr="00E53D2B">
        <w:rPr>
          <w:lang w:val="id-ID"/>
        </w:rPr>
        <w:t>h.</w:t>
      </w:r>
      <w:r w:rsidRPr="00E53D2B">
        <w:t>305</w:t>
      </w:r>
    </w:p>
  </w:footnote>
  <w:footnote w:id="16">
    <w:p w:rsidR="00EE038C" w:rsidRPr="00E53D2B" w:rsidRDefault="00EE038C" w:rsidP="00EE038C">
      <w:pPr>
        <w:pStyle w:val="FootnoteText"/>
        <w:jc w:val="both"/>
        <w:rPr>
          <w:lang w:val="id-ID"/>
        </w:rPr>
      </w:pPr>
      <w:r w:rsidRPr="00E53D2B">
        <w:rPr>
          <w:lang w:val="id-ID"/>
        </w:rPr>
        <w:t xml:space="preserve">       </w:t>
      </w:r>
      <w:r w:rsidRPr="00E53D2B">
        <w:rPr>
          <w:rStyle w:val="FootnoteReference"/>
        </w:rPr>
        <w:footnoteRef/>
      </w:r>
      <w:r w:rsidRPr="00E53D2B">
        <w:rPr>
          <w:lang w:val="id-ID"/>
        </w:rPr>
        <w:t xml:space="preserve"> </w:t>
      </w:r>
      <w:r w:rsidRPr="00E53D2B">
        <w:rPr>
          <w:i/>
          <w:iCs/>
        </w:rPr>
        <w:t>Ibid</w:t>
      </w:r>
      <w:r w:rsidRPr="00E53D2B">
        <w:t>, h.306</w:t>
      </w:r>
    </w:p>
  </w:footnote>
  <w:footnote w:id="17">
    <w:p w:rsidR="00EE038C" w:rsidRPr="00E53D2B" w:rsidRDefault="00EE038C" w:rsidP="00EE038C">
      <w:pPr>
        <w:pStyle w:val="FootnoteText"/>
        <w:jc w:val="both"/>
      </w:pPr>
      <w:r w:rsidRPr="00E53D2B">
        <w:rPr>
          <w:lang w:val="id-ID"/>
        </w:rPr>
        <w:t xml:space="preserve">       </w:t>
      </w:r>
      <w:r w:rsidRPr="00E53D2B">
        <w:rPr>
          <w:rStyle w:val="FootnoteReference"/>
        </w:rPr>
        <w:footnoteRef/>
      </w:r>
      <w:r w:rsidRPr="00E53D2B">
        <w:rPr>
          <w:lang w:val="id-ID"/>
        </w:rPr>
        <w:t xml:space="preserve"> </w:t>
      </w:r>
      <w:r w:rsidRPr="00E53D2B">
        <w:t>Tim Lindsey</w:t>
      </w:r>
      <w:r w:rsidRPr="00E53D2B">
        <w:rPr>
          <w:lang w:val="id-ID"/>
        </w:rPr>
        <w:t xml:space="preserve"> et.al. </w:t>
      </w:r>
      <w:r w:rsidRPr="00E53D2B">
        <w:rPr>
          <w:i/>
          <w:iCs/>
        </w:rPr>
        <w:t>Op.Cit</w:t>
      </w:r>
      <w:r w:rsidRPr="00E53D2B">
        <w:t>, h.49</w:t>
      </w:r>
    </w:p>
  </w:footnote>
  <w:footnote w:id="18">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rPr>
        <w:t xml:space="preserve"> Insan Budi Maulana</w:t>
      </w:r>
      <w:r w:rsidRPr="00E53D2B">
        <w:rPr>
          <w:i/>
          <w:iCs/>
          <w:sz w:val="20"/>
          <w:szCs w:val="20"/>
        </w:rPr>
        <w:t>, Op.Cit</w:t>
      </w:r>
      <w:r w:rsidRPr="00E53D2B">
        <w:rPr>
          <w:sz w:val="20"/>
          <w:szCs w:val="20"/>
        </w:rPr>
        <w:t>, h.72</w:t>
      </w:r>
    </w:p>
  </w:footnote>
  <w:footnote w:id="19">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rPr>
        <w:t xml:space="preserve"> </w:t>
      </w:r>
      <w:r w:rsidRPr="00E53D2B">
        <w:rPr>
          <w:i/>
          <w:sz w:val="20"/>
          <w:szCs w:val="20"/>
        </w:rPr>
        <w:t>Ibid</w:t>
      </w:r>
      <w:r w:rsidRPr="00E53D2B">
        <w:rPr>
          <w:sz w:val="20"/>
          <w:szCs w:val="20"/>
        </w:rPr>
        <w:t>, h.72</w:t>
      </w:r>
    </w:p>
  </w:footnote>
  <w:footnote w:id="20">
    <w:p w:rsidR="00EE038C" w:rsidRPr="00E53D2B" w:rsidRDefault="00EE038C" w:rsidP="00EE038C">
      <w:pPr>
        <w:autoSpaceDE w:val="0"/>
        <w:autoSpaceDN w:val="0"/>
        <w:adjustRightInd w:val="0"/>
        <w:jc w:val="both"/>
        <w:rPr>
          <w:sz w:val="20"/>
          <w:szCs w:val="20"/>
          <w:lang w:val="id-ID"/>
        </w:rPr>
      </w:pPr>
      <w:r w:rsidRPr="00E53D2B">
        <w:rPr>
          <w:sz w:val="20"/>
          <w:szCs w:val="20"/>
          <w:lang w:val="id-ID"/>
        </w:rPr>
        <w:t xml:space="preserve">       </w:t>
      </w:r>
      <w:r w:rsidRPr="00E53D2B">
        <w:rPr>
          <w:rStyle w:val="FootnoteReference"/>
          <w:sz w:val="20"/>
          <w:szCs w:val="20"/>
        </w:rPr>
        <w:footnoteRef/>
      </w:r>
      <w:r w:rsidRPr="00E53D2B">
        <w:rPr>
          <w:sz w:val="20"/>
          <w:szCs w:val="20"/>
          <w:lang w:val="id-ID"/>
        </w:rPr>
        <w:t xml:space="preserve"> </w:t>
      </w:r>
      <w:r w:rsidRPr="00E53D2B">
        <w:rPr>
          <w:sz w:val="20"/>
          <w:szCs w:val="20"/>
        </w:rPr>
        <w:t xml:space="preserve">Ni Ketut Supasti Dharmawan, </w:t>
      </w:r>
      <w:r w:rsidRPr="00E53D2B">
        <w:rPr>
          <w:i/>
          <w:iCs/>
          <w:sz w:val="20"/>
          <w:szCs w:val="20"/>
        </w:rPr>
        <w:t>Hukum Hak Kekayaan Intelektual</w:t>
      </w:r>
      <w:r w:rsidRPr="00E53D2B">
        <w:rPr>
          <w:sz w:val="20"/>
          <w:szCs w:val="20"/>
        </w:rPr>
        <w:t>, Universitas Udayana, Denpasar, 2006, h.80</w:t>
      </w:r>
      <w:r w:rsidRPr="00E53D2B">
        <w:rPr>
          <w:sz w:val="20"/>
          <w:szCs w:val="20"/>
          <w:lang w:val="id-ID"/>
        </w:rPr>
        <w:t>.</w:t>
      </w:r>
    </w:p>
  </w:footnote>
  <w:footnote w:id="21">
    <w:p w:rsidR="00EE038C" w:rsidRPr="00E53D2B" w:rsidRDefault="00EE038C" w:rsidP="00EE038C">
      <w:pPr>
        <w:pStyle w:val="FootnoteText"/>
        <w:jc w:val="both"/>
        <w:rPr>
          <w:color w:val="000000"/>
        </w:rPr>
      </w:pPr>
      <w:r w:rsidRPr="00E53D2B">
        <w:rPr>
          <w:color w:val="000000"/>
          <w:lang w:val="id-ID"/>
        </w:rPr>
        <w:t xml:space="preserve">       </w:t>
      </w:r>
      <w:r w:rsidRPr="00E53D2B">
        <w:rPr>
          <w:rStyle w:val="FootnoteReference"/>
          <w:color w:val="000000"/>
        </w:rPr>
        <w:footnoteRef/>
      </w:r>
      <w:r w:rsidRPr="00E53D2B">
        <w:rPr>
          <w:color w:val="000000"/>
        </w:rPr>
        <w:t xml:space="preserve"> Muhamad Djumhana dan </w:t>
      </w:r>
      <w:r w:rsidRPr="00E53D2B">
        <w:rPr>
          <w:color w:val="000000"/>
          <w:lang w:val="id-ID"/>
        </w:rPr>
        <w:t xml:space="preserve">R. </w:t>
      </w:r>
      <w:r w:rsidRPr="00E53D2B">
        <w:rPr>
          <w:color w:val="000000"/>
        </w:rPr>
        <w:t>Djuba</w:t>
      </w:r>
      <w:r w:rsidRPr="00E53D2B">
        <w:rPr>
          <w:color w:val="000000"/>
          <w:lang w:val="id-ID"/>
        </w:rPr>
        <w:t>e</w:t>
      </w:r>
      <w:r w:rsidRPr="00E53D2B">
        <w:rPr>
          <w:color w:val="000000"/>
        </w:rPr>
        <w:t>di</w:t>
      </w:r>
      <w:r w:rsidRPr="00E53D2B">
        <w:rPr>
          <w:color w:val="000000"/>
          <w:lang w:val="id-ID"/>
        </w:rPr>
        <w:t>l</w:t>
      </w:r>
      <w:r w:rsidRPr="00E53D2B">
        <w:rPr>
          <w:color w:val="000000"/>
        </w:rPr>
        <w:t xml:space="preserve">lah, </w:t>
      </w:r>
      <w:r w:rsidRPr="00E53D2B">
        <w:rPr>
          <w:i/>
          <w:iCs/>
          <w:color w:val="000000"/>
        </w:rPr>
        <w:t>Op.Cit,</w:t>
      </w:r>
      <w:r w:rsidRPr="00E53D2B">
        <w:rPr>
          <w:color w:val="000000"/>
        </w:rPr>
        <w:t xml:space="preserve"> h.207</w:t>
      </w:r>
    </w:p>
  </w:footnote>
  <w:footnote w:id="22">
    <w:p w:rsidR="00EE038C" w:rsidRPr="00E53D2B" w:rsidRDefault="00EE038C" w:rsidP="00EE038C">
      <w:pPr>
        <w:pStyle w:val="FootnoteText"/>
        <w:jc w:val="both"/>
      </w:pPr>
      <w:r w:rsidRPr="00E53D2B">
        <w:rPr>
          <w:lang w:val="id-ID"/>
        </w:rPr>
        <w:t xml:space="preserve">       </w:t>
      </w:r>
      <w:r w:rsidRPr="00E53D2B">
        <w:rPr>
          <w:rStyle w:val="FootnoteReference"/>
        </w:rPr>
        <w:footnoteRef/>
      </w:r>
      <w:r w:rsidRPr="00E53D2B">
        <w:t xml:space="preserve"> Tim Lindse</w:t>
      </w:r>
      <w:r w:rsidRPr="00E53D2B">
        <w:rPr>
          <w:lang w:val="id-ID"/>
        </w:rPr>
        <w:t>y et.al.</w:t>
      </w:r>
      <w:r w:rsidRPr="00E53D2B">
        <w:rPr>
          <w:i/>
          <w:iCs/>
        </w:rPr>
        <w:t xml:space="preserve"> Op.Cit</w:t>
      </w:r>
      <w:r w:rsidRPr="00E53D2B">
        <w:rPr>
          <w:iCs/>
        </w:rPr>
        <w:t>, h.</w:t>
      </w:r>
      <w:r w:rsidRPr="00E53D2B">
        <w:t>28</w:t>
      </w:r>
    </w:p>
  </w:footnote>
  <w:footnote w:id="23">
    <w:p w:rsidR="00EE038C" w:rsidRPr="00E53D2B" w:rsidRDefault="00EE038C" w:rsidP="00EE038C">
      <w:pPr>
        <w:autoSpaceDE w:val="0"/>
        <w:autoSpaceDN w:val="0"/>
        <w:adjustRightInd w:val="0"/>
        <w:jc w:val="both"/>
        <w:rPr>
          <w:sz w:val="20"/>
          <w:szCs w:val="20"/>
        </w:rPr>
      </w:pPr>
      <w:r w:rsidRPr="00E53D2B">
        <w:rPr>
          <w:sz w:val="20"/>
          <w:szCs w:val="20"/>
          <w:lang w:val="id-ID"/>
        </w:rPr>
        <w:t xml:space="preserve">       </w:t>
      </w:r>
      <w:r w:rsidRPr="00E53D2B">
        <w:rPr>
          <w:rStyle w:val="FootnoteReference"/>
          <w:sz w:val="20"/>
          <w:szCs w:val="20"/>
        </w:rPr>
        <w:footnoteRef/>
      </w:r>
      <w:r w:rsidRPr="00E53D2B">
        <w:rPr>
          <w:sz w:val="20"/>
          <w:szCs w:val="20"/>
        </w:rPr>
        <w:t xml:space="preserve"> OK Saidin, </w:t>
      </w:r>
      <w:r w:rsidRPr="00E53D2B">
        <w:rPr>
          <w:i/>
          <w:iCs/>
          <w:sz w:val="20"/>
          <w:szCs w:val="20"/>
        </w:rPr>
        <w:t>Op.Cit</w:t>
      </w:r>
      <w:r w:rsidRPr="00E53D2B">
        <w:rPr>
          <w:sz w:val="20"/>
          <w:szCs w:val="20"/>
        </w:rPr>
        <w:t>, h.315</w:t>
      </w:r>
    </w:p>
  </w:footnote>
  <w:footnote w:id="24">
    <w:p w:rsidR="00EE038C" w:rsidRPr="00E53D2B" w:rsidRDefault="00EE038C" w:rsidP="00EE038C">
      <w:pPr>
        <w:pStyle w:val="FootnoteText"/>
        <w:rPr>
          <w:i/>
          <w:lang w:val="id-ID"/>
        </w:rPr>
      </w:pPr>
      <w:r w:rsidRPr="00E53D2B">
        <w:rPr>
          <w:lang w:val="id-ID"/>
        </w:rPr>
        <w:t xml:space="preserve">       </w:t>
      </w:r>
      <w:r w:rsidRPr="00E53D2B">
        <w:rPr>
          <w:rStyle w:val="FootnoteReference"/>
        </w:rPr>
        <w:footnoteRef/>
      </w:r>
      <w:r w:rsidRPr="00E53D2B">
        <w:rPr>
          <w:lang w:val="id-ID"/>
        </w:rPr>
        <w:t xml:space="preserve"> </w:t>
      </w:r>
      <w:r w:rsidRPr="00E53D2B">
        <w:rPr>
          <w:i/>
          <w:lang w:val="id-ID"/>
        </w:rPr>
        <w:t>Ibid</w:t>
      </w:r>
      <w:r w:rsidRPr="00E53D2B">
        <w:rPr>
          <w:lang w:val="id-ID"/>
        </w:rPr>
        <w:t>, h.360</w:t>
      </w:r>
    </w:p>
  </w:footnote>
  <w:footnote w:id="25">
    <w:p w:rsidR="00EE038C" w:rsidRPr="00E53D2B" w:rsidRDefault="00EE038C" w:rsidP="00EE038C">
      <w:pPr>
        <w:pStyle w:val="FootnoteText"/>
        <w:rPr>
          <w:lang w:val="id-ID"/>
        </w:rPr>
      </w:pPr>
      <w:r w:rsidRPr="00E53D2B">
        <w:rPr>
          <w:lang w:val="id-ID"/>
        </w:rPr>
        <w:t xml:space="preserve">       </w:t>
      </w:r>
      <w:r w:rsidRPr="00E53D2B">
        <w:rPr>
          <w:rStyle w:val="FootnoteReference"/>
        </w:rPr>
        <w:footnoteRef/>
      </w:r>
      <w:r w:rsidRPr="00E53D2B">
        <w:t xml:space="preserve"> </w:t>
      </w:r>
      <w:r w:rsidRPr="00E53D2B">
        <w:rPr>
          <w:i/>
          <w:lang w:val="id-ID"/>
        </w:rPr>
        <w:t>Ibid</w:t>
      </w:r>
      <w:r w:rsidRPr="00E53D2B">
        <w:rPr>
          <w:lang w:val="id-ID"/>
        </w:rPr>
        <w:t>, h.364</w:t>
      </w:r>
    </w:p>
  </w:footnote>
  <w:footnote w:id="26">
    <w:p w:rsidR="00EE038C" w:rsidRPr="00C13EC4" w:rsidRDefault="00EE038C" w:rsidP="00EE038C">
      <w:pPr>
        <w:pStyle w:val="Default"/>
        <w:jc w:val="both"/>
        <w:rPr>
          <w:sz w:val="20"/>
          <w:szCs w:val="20"/>
        </w:rPr>
      </w:pPr>
      <w:r w:rsidRPr="00C13EC4">
        <w:rPr>
          <w:sz w:val="20"/>
          <w:szCs w:val="20"/>
        </w:rPr>
        <w:tab/>
      </w:r>
      <w:r w:rsidRPr="00C13EC4">
        <w:rPr>
          <w:rStyle w:val="FootnoteReference"/>
          <w:sz w:val="20"/>
          <w:szCs w:val="20"/>
        </w:rPr>
        <w:footnoteRef/>
      </w:r>
      <w:bookmarkStart w:id="1" w:name="_Hlk172308865"/>
      <w:r w:rsidRPr="00C13EC4">
        <w:rPr>
          <w:sz w:val="20"/>
          <w:szCs w:val="20"/>
        </w:rPr>
        <w:t xml:space="preserve">Sudikno Mertokusumo, </w:t>
      </w:r>
      <w:r w:rsidRPr="00C13EC4">
        <w:rPr>
          <w:i/>
          <w:iCs/>
          <w:sz w:val="20"/>
          <w:szCs w:val="20"/>
        </w:rPr>
        <w:t>Hukum Acara Perdata Indonesia</w:t>
      </w:r>
      <w:r w:rsidRPr="00C13EC4">
        <w:rPr>
          <w:sz w:val="20"/>
          <w:szCs w:val="20"/>
        </w:rPr>
        <w:t>, Liberty, Edisi ketujuh. Yogyakarta, 2016</w:t>
      </w:r>
      <w:bookmarkEnd w:id="1"/>
      <w:r w:rsidRPr="00C13EC4">
        <w:rPr>
          <w:sz w:val="20"/>
          <w:szCs w:val="20"/>
        </w:rPr>
        <w:t>, hal.36.</w:t>
      </w:r>
    </w:p>
  </w:footnote>
  <w:footnote w:id="27">
    <w:p w:rsidR="00EE038C" w:rsidRPr="00C13EC4" w:rsidRDefault="00EE038C" w:rsidP="00EE038C">
      <w:pPr>
        <w:pStyle w:val="FootnoteText"/>
        <w:jc w:val="both"/>
        <w:rPr>
          <w:color w:val="000000"/>
        </w:rPr>
      </w:pPr>
      <w:r w:rsidRPr="00C13EC4">
        <w:rPr>
          <w:color w:val="000000"/>
        </w:rPr>
        <w:tab/>
      </w:r>
      <w:r w:rsidRPr="00C13EC4">
        <w:rPr>
          <w:rStyle w:val="FootnoteReference"/>
          <w:color w:val="000000"/>
        </w:rPr>
        <w:footnoteRef/>
      </w:r>
      <w:bookmarkStart w:id="2" w:name="_Hlk172308899"/>
      <w:r w:rsidRPr="00C13EC4">
        <w:rPr>
          <w:color w:val="000000"/>
        </w:rPr>
        <w:t xml:space="preserve">Sarwono, </w:t>
      </w:r>
      <w:r w:rsidRPr="00C13EC4">
        <w:rPr>
          <w:i/>
          <w:iCs/>
          <w:color w:val="000000"/>
        </w:rPr>
        <w:t>Hukum Acara Perdata Toeri dan Praktik</w:t>
      </w:r>
      <w:r w:rsidRPr="00C13EC4">
        <w:rPr>
          <w:color w:val="000000"/>
        </w:rPr>
        <w:t>. Sinar Grafika, Jakarta, 2017</w:t>
      </w:r>
      <w:bookmarkEnd w:id="2"/>
      <w:r w:rsidRPr="00C13EC4">
        <w:rPr>
          <w:color w:val="000000"/>
        </w:rPr>
        <w:t>, hal.28.</w:t>
      </w:r>
    </w:p>
  </w:footnote>
  <w:footnote w:id="28">
    <w:p w:rsidR="00EE038C" w:rsidRPr="00C13EC4" w:rsidRDefault="00EE038C" w:rsidP="00EE038C">
      <w:pPr>
        <w:pStyle w:val="Default"/>
        <w:jc w:val="both"/>
        <w:rPr>
          <w:sz w:val="20"/>
          <w:szCs w:val="20"/>
        </w:rPr>
      </w:pPr>
      <w:r w:rsidRPr="00C13EC4">
        <w:rPr>
          <w:sz w:val="20"/>
          <w:szCs w:val="20"/>
        </w:rPr>
        <w:tab/>
      </w:r>
      <w:r w:rsidRPr="00C13EC4">
        <w:rPr>
          <w:rStyle w:val="FootnoteReference"/>
          <w:sz w:val="20"/>
          <w:szCs w:val="20"/>
        </w:rPr>
        <w:footnoteRef/>
      </w:r>
      <w:r w:rsidRPr="00C13EC4">
        <w:rPr>
          <w:sz w:val="20"/>
          <w:szCs w:val="20"/>
        </w:rPr>
        <w:t xml:space="preserve"> Mukti Arto, </w:t>
      </w:r>
      <w:r w:rsidRPr="00C13EC4">
        <w:rPr>
          <w:i/>
          <w:iCs/>
          <w:sz w:val="20"/>
          <w:szCs w:val="20"/>
        </w:rPr>
        <w:t xml:space="preserve">Praktek Perkara Perdata pada Pengadilan Agama, </w:t>
      </w:r>
      <w:r w:rsidRPr="00C13EC4">
        <w:rPr>
          <w:sz w:val="20"/>
          <w:szCs w:val="20"/>
        </w:rPr>
        <w:t xml:space="preserve">Pustaka Pelajar, Yogyakarta, 2014, hal 140  </w:t>
      </w:r>
    </w:p>
  </w:footnote>
  <w:footnote w:id="29">
    <w:p w:rsidR="00EE038C" w:rsidRPr="00C13EC4" w:rsidRDefault="00EE038C" w:rsidP="00EE038C">
      <w:pPr>
        <w:pStyle w:val="FootnoteText"/>
        <w:ind w:firstLine="709"/>
        <w:jc w:val="both"/>
        <w:rPr>
          <w:color w:val="000000"/>
        </w:rPr>
      </w:pPr>
      <w:r w:rsidRPr="00C13EC4">
        <w:rPr>
          <w:rStyle w:val="FootnoteReference"/>
          <w:color w:val="000000"/>
        </w:rPr>
        <w:footnoteRef/>
      </w:r>
      <w:r w:rsidRPr="00C13EC4">
        <w:rPr>
          <w:color w:val="000000"/>
        </w:rPr>
        <w:t xml:space="preserve"> Rachman Usman, </w:t>
      </w:r>
      <w:r w:rsidRPr="00C13EC4">
        <w:rPr>
          <w:i/>
          <w:iCs/>
          <w:color w:val="000000"/>
        </w:rPr>
        <w:t>Hukum Hak Atas Kekayaan Intelektual: Perlindungan dan Dimensi Hukumnya di Indonesia</w:t>
      </w:r>
      <w:r w:rsidRPr="00C13EC4">
        <w:rPr>
          <w:color w:val="000000"/>
        </w:rPr>
        <w:t>, Alumni, Bandung, 2013, hal.52</w:t>
      </w:r>
    </w:p>
  </w:footnote>
  <w:footnote w:id="30">
    <w:p w:rsidR="00EE038C" w:rsidRPr="00C13EC4" w:rsidRDefault="00EE038C" w:rsidP="00EE038C">
      <w:pPr>
        <w:autoSpaceDE w:val="0"/>
        <w:autoSpaceDN w:val="0"/>
        <w:adjustRightInd w:val="0"/>
        <w:jc w:val="both"/>
        <w:rPr>
          <w:color w:val="000000"/>
          <w:sz w:val="20"/>
          <w:szCs w:val="20"/>
        </w:rPr>
      </w:pPr>
      <w:r w:rsidRPr="00C13EC4">
        <w:rPr>
          <w:color w:val="000000"/>
          <w:sz w:val="20"/>
          <w:szCs w:val="20"/>
        </w:rPr>
        <w:tab/>
      </w:r>
      <w:r w:rsidRPr="00C13EC4">
        <w:rPr>
          <w:rStyle w:val="FootnoteReference"/>
          <w:color w:val="000000"/>
          <w:sz w:val="20"/>
          <w:szCs w:val="20"/>
        </w:rPr>
        <w:footnoteRef/>
      </w:r>
      <w:r w:rsidRPr="00C13EC4">
        <w:rPr>
          <w:color w:val="000000"/>
          <w:sz w:val="20"/>
          <w:szCs w:val="20"/>
        </w:rPr>
        <w:t xml:space="preserve"> Maria Alfons. “Implementasi Hak Kekayaan Intelektual Dalam Perspektif Negara Hukum”. </w:t>
      </w:r>
      <w:r w:rsidRPr="00C13EC4">
        <w:rPr>
          <w:i/>
          <w:color w:val="000000"/>
          <w:sz w:val="20"/>
          <w:szCs w:val="20"/>
        </w:rPr>
        <w:t>Jurnal Legislasi Indonesia</w:t>
      </w:r>
      <w:r w:rsidRPr="00C13EC4">
        <w:rPr>
          <w:color w:val="000000"/>
          <w:sz w:val="20"/>
          <w:szCs w:val="20"/>
        </w:rPr>
        <w:t>. Vol. 14 No. 03 September 2017, hal. 308</w:t>
      </w:r>
    </w:p>
  </w:footnote>
  <w:footnote w:id="31">
    <w:p w:rsidR="00EE038C" w:rsidRPr="00C13EC4" w:rsidRDefault="00EE038C" w:rsidP="00EE038C">
      <w:pPr>
        <w:autoSpaceDE w:val="0"/>
        <w:autoSpaceDN w:val="0"/>
        <w:adjustRightInd w:val="0"/>
        <w:jc w:val="both"/>
        <w:rPr>
          <w:color w:val="000000"/>
          <w:sz w:val="20"/>
          <w:szCs w:val="20"/>
        </w:rPr>
      </w:pPr>
      <w:r w:rsidRPr="00C13EC4">
        <w:rPr>
          <w:color w:val="000000"/>
          <w:sz w:val="20"/>
          <w:szCs w:val="20"/>
        </w:rPr>
        <w:tab/>
      </w:r>
      <w:r w:rsidRPr="00C13EC4">
        <w:rPr>
          <w:rStyle w:val="FootnoteReference"/>
          <w:color w:val="000000"/>
          <w:sz w:val="20"/>
          <w:szCs w:val="20"/>
        </w:rPr>
        <w:footnoteRef/>
      </w:r>
      <w:r w:rsidRPr="00C13EC4">
        <w:rPr>
          <w:color w:val="000000"/>
          <w:sz w:val="20"/>
          <w:szCs w:val="20"/>
        </w:rPr>
        <w:t xml:space="preserve"> Nur Hidayati. ”Perlindungan Hukum Pada Merek Yang Terdaftar”. </w:t>
      </w:r>
      <w:r w:rsidRPr="00C13EC4">
        <w:rPr>
          <w:i/>
          <w:color w:val="000000"/>
          <w:sz w:val="20"/>
          <w:szCs w:val="20"/>
        </w:rPr>
        <w:t>Ragam Jurnal Pengembangan Humaniora.</w:t>
      </w:r>
      <w:r w:rsidRPr="00C13EC4">
        <w:rPr>
          <w:color w:val="000000"/>
          <w:sz w:val="20"/>
          <w:szCs w:val="20"/>
        </w:rPr>
        <w:t xml:space="preserve"> Vol. 11 No. 3 Desember 2011, hal. 174</w:t>
      </w:r>
    </w:p>
  </w:footnote>
  <w:footnote w:id="32">
    <w:p w:rsidR="00EE038C" w:rsidRPr="00C13EC4" w:rsidRDefault="00EE038C" w:rsidP="00EE038C">
      <w:pPr>
        <w:pStyle w:val="FootnoteText"/>
        <w:jc w:val="both"/>
        <w:rPr>
          <w:color w:val="000000"/>
        </w:rPr>
      </w:pPr>
      <w:r w:rsidRPr="00C13EC4">
        <w:rPr>
          <w:color w:val="000000"/>
        </w:rPr>
        <w:tab/>
      </w:r>
      <w:r w:rsidRPr="00C13EC4">
        <w:rPr>
          <w:rStyle w:val="FootnoteReference"/>
          <w:color w:val="000000"/>
        </w:rPr>
        <w:footnoteRef/>
      </w:r>
      <w:r w:rsidRPr="00C13EC4">
        <w:rPr>
          <w:color w:val="000000"/>
        </w:rPr>
        <w:t xml:space="preserve"> Maria Alfons. </w:t>
      </w:r>
      <w:r w:rsidRPr="00C13EC4">
        <w:rPr>
          <w:i/>
          <w:color w:val="000000"/>
        </w:rPr>
        <w:t>Op.Cit</w:t>
      </w:r>
      <w:r w:rsidRPr="00C13EC4">
        <w:rPr>
          <w:color w:val="000000"/>
        </w:rPr>
        <w:t>, hal.309.</w:t>
      </w:r>
    </w:p>
  </w:footnote>
  <w:footnote w:id="33">
    <w:p w:rsidR="00EE038C" w:rsidRPr="00C13EC4" w:rsidRDefault="00EE038C" w:rsidP="00EE038C">
      <w:pPr>
        <w:pStyle w:val="FootnoteText"/>
        <w:jc w:val="both"/>
        <w:rPr>
          <w:color w:val="000000"/>
        </w:rPr>
      </w:pPr>
      <w:r w:rsidRPr="00C13EC4">
        <w:rPr>
          <w:color w:val="000000"/>
        </w:rPr>
        <w:tab/>
      </w:r>
      <w:r w:rsidRPr="00C13EC4">
        <w:rPr>
          <w:rStyle w:val="FootnoteReference"/>
          <w:color w:val="000000"/>
        </w:rPr>
        <w:footnoteRef/>
      </w:r>
      <w:r w:rsidRPr="00C13EC4">
        <w:rPr>
          <w:color w:val="000000"/>
        </w:rPr>
        <w:t xml:space="preserve"> Maya Jannah. </w:t>
      </w:r>
      <w:r w:rsidRPr="00C13EC4">
        <w:rPr>
          <w:i/>
          <w:color w:val="000000"/>
        </w:rPr>
        <w:t>Op. Cit</w:t>
      </w:r>
      <w:r w:rsidRPr="00C13EC4">
        <w:rPr>
          <w:color w:val="000000"/>
        </w:rPr>
        <w:t>., hal. 55-56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384110">
      <w:rPr>
        <w:rStyle w:val="PageNumber"/>
        <w:noProof/>
      </w:rPr>
      <w:t>110</w:t>
    </w:r>
    <w:r w:rsidR="00F204AF">
      <w:rPr>
        <w:rStyle w:val="PageNumber"/>
      </w:rPr>
      <w:fldChar w:fldCharType="end"/>
    </w:r>
  </w:p>
  <w:p w:rsidR="00384110" w:rsidRPr="00CF29F7" w:rsidRDefault="00384110" w:rsidP="00384110">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10" w:rsidRPr="00CF29F7" w:rsidRDefault="00384110" w:rsidP="00384110">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15:36:23</w:t>
    </w:r>
  </w:p>
  <w:p w:rsidR="00910BFB" w:rsidRDefault="00910BFB">
    <w:pPr>
      <w:pStyle w:val="Header"/>
    </w:pPr>
    <w:r>
      <w:rPr>
        <w:noProof/>
      </w:rPr>
      <w:pict>
        <v:shape id="WordPictureWatermark48224020"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53BF"/>
    <w:multiLevelType w:val="hybridMultilevel"/>
    <w:tmpl w:val="40B0F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136F77"/>
    <w:multiLevelType w:val="hybridMultilevel"/>
    <w:tmpl w:val="0B18EDA4"/>
    <w:lvl w:ilvl="0" w:tplc="901600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8474E"/>
    <w:multiLevelType w:val="hybridMultilevel"/>
    <w:tmpl w:val="04AEF560"/>
    <w:lvl w:ilvl="0" w:tplc="F03CDB3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A7FEB"/>
    <w:multiLevelType w:val="hybridMultilevel"/>
    <w:tmpl w:val="68608D60"/>
    <w:lvl w:ilvl="0" w:tplc="468AAB2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6F81602">
      <w:start w:val="1"/>
      <w:numFmt w:val="decimal"/>
      <w:lvlText w:val="%5)"/>
      <w:lvlJc w:val="left"/>
      <w:pPr>
        <w:ind w:left="3960" w:hanging="360"/>
      </w:pPr>
      <w:rPr>
        <w:rFonts w:ascii="Arial" w:eastAsia="Times New Roman" w:hAnsi="Arial" w:cs="Arial"/>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B81C2B"/>
    <w:multiLevelType w:val="hybridMultilevel"/>
    <w:tmpl w:val="BD005856"/>
    <w:lvl w:ilvl="0" w:tplc="19F403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9250C7"/>
    <w:multiLevelType w:val="hybridMultilevel"/>
    <w:tmpl w:val="2760D3AE"/>
    <w:lvl w:ilvl="0" w:tplc="0409000F">
      <w:start w:val="1"/>
      <w:numFmt w:val="decimal"/>
      <w:lvlText w:val="%1."/>
      <w:lvlJc w:val="left"/>
      <w:pPr>
        <w:ind w:left="2880" w:hanging="360"/>
      </w:pPr>
    </w:lvl>
    <w:lvl w:ilvl="1" w:tplc="7438EFEA">
      <w:start w:val="1"/>
      <w:numFmt w:val="decimal"/>
      <w:lvlText w:val="%2."/>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F586329"/>
    <w:multiLevelType w:val="hybridMultilevel"/>
    <w:tmpl w:val="B16C0AD2"/>
    <w:lvl w:ilvl="0" w:tplc="8AF668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E664B9"/>
    <w:multiLevelType w:val="multilevel"/>
    <w:tmpl w:val="9F72721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789" w:hanging="360"/>
      </w:pPr>
      <w:rPr>
        <w:rFonts w:hint="default"/>
      </w:rPr>
    </w:lvl>
    <w:lvl w:ilvl="2">
      <w:start w:val="1"/>
      <w:numFmt w:val="decimal"/>
      <w:lvlText w:val="%3."/>
      <w:lvlJc w:val="left"/>
      <w:pPr>
        <w:ind w:left="2689" w:hanging="360"/>
      </w:pPr>
      <w:rPr>
        <w:rFonts w:hint="default"/>
      </w:rPr>
    </w:lvl>
    <w:lvl w:ilvl="3">
      <w:start w:val="1"/>
      <w:numFmt w:val="lowerLetter"/>
      <w:lvlText w:val="%4."/>
      <w:lvlJc w:val="left"/>
      <w:pPr>
        <w:ind w:left="3229" w:hanging="360"/>
      </w:pPr>
      <w:rPr>
        <w:rFonts w:ascii="Times New Roman" w:eastAsia="Calibri" w:hAnsi="Times New Roman" w:cs="Times New Roman"/>
      </w:rPr>
    </w:lvl>
    <w:lvl w:ilvl="4">
      <w:start w:val="1"/>
      <w:numFmt w:val="upperLetter"/>
      <w:lvlText w:val="%5."/>
      <w:lvlJc w:val="left"/>
      <w:pPr>
        <w:ind w:left="3949" w:hanging="360"/>
      </w:pPr>
      <w:rPr>
        <w:rFonts w:hint="default"/>
        <w:color w:val="000000"/>
      </w:rPr>
    </w:lvl>
    <w:lvl w:ilvl="5">
      <w:start w:val="1"/>
      <w:numFmt w:val="decimal"/>
      <w:lvlText w:val="%6)"/>
      <w:lvlJc w:val="left"/>
      <w:pPr>
        <w:ind w:left="4849" w:hanging="360"/>
      </w:pPr>
      <w:rPr>
        <w:rFonts w:ascii="Times New Roman" w:hAnsi="Times New Roman" w:cs="Times New Roman" w:hint="default"/>
        <w:sz w:val="24"/>
        <w:szCs w:val="24"/>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ascii="Times New Roman" w:eastAsia="Calibri" w:hAnsi="Times New Roman" w:cs="Times New Roman"/>
      </w:rPr>
    </w:lvl>
    <w:lvl w:ilvl="8">
      <w:start w:val="1"/>
      <w:numFmt w:val="lowerRoman"/>
      <w:lvlText w:val="%9."/>
      <w:lvlJc w:val="right"/>
      <w:pPr>
        <w:ind w:left="6829" w:hanging="180"/>
      </w:pPr>
      <w:rPr>
        <w:rFonts w:hint="default"/>
      </w:rPr>
    </w:lvl>
  </w:abstractNum>
  <w:abstractNum w:abstractNumId="9">
    <w:nsid w:val="4A7649CB"/>
    <w:multiLevelType w:val="hybridMultilevel"/>
    <w:tmpl w:val="FA82FE3C"/>
    <w:lvl w:ilvl="0" w:tplc="C7F476C2">
      <w:start w:val="1"/>
      <w:numFmt w:val="lowerLetter"/>
      <w:lvlText w:val="%1)"/>
      <w:lvlJc w:val="left"/>
      <w:pPr>
        <w:tabs>
          <w:tab w:val="num" w:pos="720"/>
        </w:tabs>
        <w:ind w:left="720" w:hanging="360"/>
      </w:pPr>
      <w:rPr>
        <w:rFonts w:ascii="Arial" w:eastAsia="Times New Roman" w:hAnsi="Arial" w:cs="Arial" w:hint="default"/>
      </w:rPr>
    </w:lvl>
    <w:lvl w:ilvl="1" w:tplc="998C04CC">
      <w:start w:val="1"/>
      <w:numFmt w:val="upperLetter"/>
      <w:lvlText w:val="%2."/>
      <w:lvlJc w:val="left"/>
      <w:pPr>
        <w:tabs>
          <w:tab w:val="num" w:pos="1440"/>
        </w:tabs>
        <w:ind w:left="1440" w:hanging="360"/>
      </w:pPr>
      <w:rPr>
        <w:rFonts w:hint="default"/>
      </w:rPr>
    </w:lvl>
    <w:lvl w:ilvl="2" w:tplc="AF4800D8">
      <w:start w:val="1"/>
      <w:numFmt w:val="decimal"/>
      <w:lvlText w:val="(%3)"/>
      <w:lvlJc w:val="left"/>
      <w:pPr>
        <w:ind w:left="2340" w:hanging="360"/>
      </w:pPr>
      <w:rPr>
        <w:rFonts w:hint="default"/>
      </w:rPr>
    </w:lvl>
    <w:lvl w:ilvl="3" w:tplc="69708180">
      <w:start w:val="1"/>
      <w:numFmt w:val="decimal"/>
      <w:lvlText w:val="%4."/>
      <w:lvlJc w:val="left"/>
      <w:pPr>
        <w:ind w:left="2880" w:hanging="360"/>
      </w:pPr>
      <w:rPr>
        <w:rFonts w:hint="default"/>
      </w:rPr>
    </w:lvl>
    <w:lvl w:ilvl="4" w:tplc="9D6009F6">
      <w:start w:val="1"/>
      <w:numFmt w:val="lowerLetter"/>
      <w:lvlText w:val="%5."/>
      <w:lvlJc w:val="left"/>
      <w:pPr>
        <w:ind w:left="3600" w:hanging="360"/>
      </w:pPr>
      <w:rPr>
        <w:rFonts w:hint="default"/>
      </w:rPr>
    </w:lvl>
    <w:lvl w:ilvl="5" w:tplc="E8FC986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A00D7"/>
    <w:multiLevelType w:val="hybridMultilevel"/>
    <w:tmpl w:val="2110B54A"/>
    <w:lvl w:ilvl="0" w:tplc="73DE9882">
      <w:start w:val="1"/>
      <w:numFmt w:val="upperLetter"/>
      <w:lvlText w:val="%1."/>
      <w:lvlJc w:val="left"/>
      <w:pPr>
        <w:tabs>
          <w:tab w:val="num" w:pos="720"/>
        </w:tabs>
        <w:ind w:left="720" w:hanging="360"/>
      </w:pPr>
      <w:rPr>
        <w:b/>
      </w:rPr>
    </w:lvl>
    <w:lvl w:ilvl="1" w:tplc="A02659FE">
      <w:start w:val="1"/>
      <w:numFmt w:val="decimal"/>
      <w:lvlText w:val="%2."/>
      <w:lvlJc w:val="left"/>
      <w:pPr>
        <w:tabs>
          <w:tab w:val="num" w:pos="1440"/>
        </w:tabs>
        <w:ind w:left="1440" w:hanging="360"/>
      </w:pPr>
      <w:rPr>
        <w:b/>
      </w:rPr>
    </w:lvl>
    <w:lvl w:ilvl="2" w:tplc="00507DD8">
      <w:start w:val="1"/>
      <w:numFmt w:val="decimal"/>
      <w:lvlText w:val="%3)"/>
      <w:lvlJc w:val="left"/>
      <w:pPr>
        <w:tabs>
          <w:tab w:val="num" w:pos="2340"/>
        </w:tabs>
        <w:ind w:left="2340" w:hanging="360"/>
      </w:pPr>
      <w:rPr>
        <w:rFonts w:ascii="Arial" w:eastAsia="Times New Roman" w:hAnsi="Arial" w:cs="Arial"/>
      </w:rPr>
    </w:lvl>
    <w:lvl w:ilvl="3" w:tplc="0409000F">
      <w:start w:val="1"/>
      <w:numFmt w:val="decimal"/>
      <w:lvlText w:val="%4."/>
      <w:lvlJc w:val="left"/>
      <w:pPr>
        <w:tabs>
          <w:tab w:val="num" w:pos="2880"/>
        </w:tabs>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404A9"/>
    <w:multiLevelType w:val="hybridMultilevel"/>
    <w:tmpl w:val="90D4C1DA"/>
    <w:lvl w:ilvl="0" w:tplc="1E5632F8">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21F659A8">
      <w:start w:val="1"/>
      <w:numFmt w:val="decimal"/>
      <w:lvlText w:val="%2)"/>
      <w:lvlJc w:val="left"/>
      <w:pPr>
        <w:ind w:left="1440" w:hanging="360"/>
      </w:pPr>
      <w:rPr>
        <w:rFonts w:hint="default"/>
      </w:rPr>
    </w:lvl>
    <w:lvl w:ilvl="2" w:tplc="4620884A">
      <w:start w:val="1"/>
      <w:numFmt w:val="decimal"/>
      <w:lvlText w:val="(%3)"/>
      <w:lvlJc w:val="left"/>
      <w:pPr>
        <w:ind w:left="2340" w:hanging="360"/>
      </w:pPr>
      <w:rPr>
        <w:rFonts w:hint="default"/>
      </w:rPr>
    </w:lvl>
    <w:lvl w:ilvl="3" w:tplc="FC783F20">
      <w:start w:val="1"/>
      <w:numFmt w:val="decimal"/>
      <w:lvlText w:val="%4."/>
      <w:lvlJc w:val="left"/>
      <w:pPr>
        <w:ind w:left="2880" w:hanging="360"/>
      </w:pPr>
      <w:rPr>
        <w:b/>
      </w:rPr>
    </w:lvl>
    <w:lvl w:ilvl="4" w:tplc="B6568FA6">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E36A0"/>
    <w:multiLevelType w:val="hybridMultilevel"/>
    <w:tmpl w:val="AD4A8FB8"/>
    <w:lvl w:ilvl="0" w:tplc="3AA088B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68ED0FE8"/>
    <w:multiLevelType w:val="multilevel"/>
    <w:tmpl w:val="786AF956"/>
    <w:lvl w:ilvl="0">
      <w:start w:val="1"/>
      <w:numFmt w:val="decimal"/>
      <w:lvlText w:val="%1."/>
      <w:lvlJc w:val="left"/>
      <w:pPr>
        <w:tabs>
          <w:tab w:val="num" w:pos="720"/>
        </w:tabs>
        <w:ind w:left="720" w:hanging="360"/>
      </w:pPr>
      <w:rPr>
        <w:rFonts w:ascii="Times New Roman" w:eastAsia="Times New Roman" w:hAnsi="Times New Roman" w:cs="Times New Roman"/>
        <w:i w:val="0"/>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3BC3473"/>
    <w:multiLevelType w:val="hybridMultilevel"/>
    <w:tmpl w:val="F25C4D6C"/>
    <w:lvl w:ilvl="0" w:tplc="21B8F56E">
      <w:start w:val="1"/>
      <w:numFmt w:val="decimal"/>
      <w:lvlText w:val="(%1)"/>
      <w:lvlJc w:val="left"/>
      <w:pPr>
        <w:ind w:left="1108" w:hanging="360"/>
      </w:pPr>
      <w:rPr>
        <w:rFonts w:ascii="Arial" w:eastAsia="Times New Roman" w:hAnsi="Arial" w:cs="Arial" w:hint="default"/>
        <w:color w:val="000000"/>
        <w:sz w:val="24"/>
      </w:rPr>
    </w:lvl>
    <w:lvl w:ilvl="1" w:tplc="E7AA0144">
      <w:start w:val="1"/>
      <w:numFmt w:val="decimal"/>
      <w:lvlText w:val="%2)"/>
      <w:lvlJc w:val="left"/>
      <w:pPr>
        <w:ind w:left="1828" w:hanging="360"/>
      </w:pPr>
      <w:rPr>
        <w:rFonts w:hint="default"/>
      </w:rPr>
    </w:lvl>
    <w:lvl w:ilvl="2" w:tplc="A6BAD190">
      <w:start w:val="1"/>
      <w:numFmt w:val="decimal"/>
      <w:lvlText w:val="%3."/>
      <w:lvlJc w:val="left"/>
      <w:pPr>
        <w:ind w:left="2728" w:hanging="360"/>
      </w:pPr>
      <w:rPr>
        <w:rFonts w:hint="default"/>
      </w:r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6">
    <w:nsid w:val="778D3DC5"/>
    <w:multiLevelType w:val="hybridMultilevel"/>
    <w:tmpl w:val="498E6220"/>
    <w:lvl w:ilvl="0" w:tplc="E54AED5C">
      <w:start w:val="1"/>
      <w:numFmt w:val="decimal"/>
      <w:lvlText w:val="(%1)"/>
      <w:lvlJc w:val="left"/>
      <w:pPr>
        <w:ind w:left="720" w:hanging="360"/>
      </w:pPr>
      <w:rPr>
        <w:rFonts w:hint="default"/>
      </w:rPr>
    </w:lvl>
    <w:lvl w:ilvl="1" w:tplc="FE08FD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4"/>
  </w:num>
  <w:num w:numId="5">
    <w:abstractNumId w:val="9"/>
  </w:num>
  <w:num w:numId="6">
    <w:abstractNumId w:val="1"/>
  </w:num>
  <w:num w:numId="7">
    <w:abstractNumId w:val="6"/>
  </w:num>
  <w:num w:numId="8">
    <w:abstractNumId w:val="15"/>
  </w:num>
  <w:num w:numId="9">
    <w:abstractNumId w:val="0"/>
  </w:num>
  <w:num w:numId="10">
    <w:abstractNumId w:val="3"/>
  </w:num>
  <w:num w:numId="11">
    <w:abstractNumId w:val="13"/>
  </w:num>
  <w:num w:numId="12">
    <w:abstractNumId w:val="7"/>
  </w:num>
  <w:num w:numId="13">
    <w:abstractNumId w:val="5"/>
  </w:num>
  <w:num w:numId="14">
    <w:abstractNumId w:val="12"/>
  </w:num>
  <w:num w:numId="15">
    <w:abstractNumId w:val="16"/>
  </w:num>
  <w:num w:numId="16">
    <w:abstractNumId w:val="14"/>
  </w:num>
  <w:num w:numId="1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9L1bpr1GGRxZexBthtUmM9+2+Sc=" w:salt="QL8ihVIhQE0NszX8ns3ALA=="/>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7296"/>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0090D"/>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84110"/>
    <w:rsid w:val="003A33C6"/>
    <w:rsid w:val="003B1434"/>
    <w:rsid w:val="003B663B"/>
    <w:rsid w:val="003C3587"/>
    <w:rsid w:val="003E09B7"/>
    <w:rsid w:val="003E4CD0"/>
    <w:rsid w:val="003F16E9"/>
    <w:rsid w:val="00404BC5"/>
    <w:rsid w:val="0040691F"/>
    <w:rsid w:val="00406B34"/>
    <w:rsid w:val="004158E6"/>
    <w:rsid w:val="0047044C"/>
    <w:rsid w:val="004951F5"/>
    <w:rsid w:val="00495FEE"/>
    <w:rsid w:val="004A3A2D"/>
    <w:rsid w:val="004B4CAF"/>
    <w:rsid w:val="004B7556"/>
    <w:rsid w:val="004C016D"/>
    <w:rsid w:val="004C4AE3"/>
    <w:rsid w:val="004D055D"/>
    <w:rsid w:val="004D2C7E"/>
    <w:rsid w:val="004D6C00"/>
    <w:rsid w:val="004E3D12"/>
    <w:rsid w:val="004E4E60"/>
    <w:rsid w:val="00503E5C"/>
    <w:rsid w:val="00512A8C"/>
    <w:rsid w:val="00524104"/>
    <w:rsid w:val="00531C7D"/>
    <w:rsid w:val="00552BF2"/>
    <w:rsid w:val="00555780"/>
    <w:rsid w:val="005B1E9A"/>
    <w:rsid w:val="005B734C"/>
    <w:rsid w:val="005C009C"/>
    <w:rsid w:val="005C5765"/>
    <w:rsid w:val="005C72EB"/>
    <w:rsid w:val="005F6693"/>
    <w:rsid w:val="0060266E"/>
    <w:rsid w:val="0060484F"/>
    <w:rsid w:val="006202D6"/>
    <w:rsid w:val="006269D5"/>
    <w:rsid w:val="0063747B"/>
    <w:rsid w:val="0064458B"/>
    <w:rsid w:val="00683F3D"/>
    <w:rsid w:val="006900EC"/>
    <w:rsid w:val="006A19AD"/>
    <w:rsid w:val="006B0908"/>
    <w:rsid w:val="006B5DB2"/>
    <w:rsid w:val="006D2E30"/>
    <w:rsid w:val="006F3B4C"/>
    <w:rsid w:val="006F733C"/>
    <w:rsid w:val="007116F7"/>
    <w:rsid w:val="00725777"/>
    <w:rsid w:val="007312C5"/>
    <w:rsid w:val="0074456E"/>
    <w:rsid w:val="0075032A"/>
    <w:rsid w:val="00782BFD"/>
    <w:rsid w:val="00786644"/>
    <w:rsid w:val="0079124A"/>
    <w:rsid w:val="007942CC"/>
    <w:rsid w:val="007A26F6"/>
    <w:rsid w:val="007A7516"/>
    <w:rsid w:val="007D2AC9"/>
    <w:rsid w:val="007E3401"/>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4260"/>
    <w:rsid w:val="009E7837"/>
    <w:rsid w:val="00A22476"/>
    <w:rsid w:val="00A24C67"/>
    <w:rsid w:val="00A3287B"/>
    <w:rsid w:val="00A72F67"/>
    <w:rsid w:val="00A90210"/>
    <w:rsid w:val="00AB3A0F"/>
    <w:rsid w:val="00AC10C1"/>
    <w:rsid w:val="00AE699E"/>
    <w:rsid w:val="00B50432"/>
    <w:rsid w:val="00B65CC7"/>
    <w:rsid w:val="00B73116"/>
    <w:rsid w:val="00B76650"/>
    <w:rsid w:val="00B91802"/>
    <w:rsid w:val="00BB70AF"/>
    <w:rsid w:val="00BC569C"/>
    <w:rsid w:val="00C12025"/>
    <w:rsid w:val="00C146E0"/>
    <w:rsid w:val="00C15CEE"/>
    <w:rsid w:val="00C16329"/>
    <w:rsid w:val="00C41FC2"/>
    <w:rsid w:val="00C432A3"/>
    <w:rsid w:val="00C7400D"/>
    <w:rsid w:val="00C7488D"/>
    <w:rsid w:val="00C96699"/>
    <w:rsid w:val="00CE5A41"/>
    <w:rsid w:val="00CE5ABD"/>
    <w:rsid w:val="00D102A6"/>
    <w:rsid w:val="00D105EA"/>
    <w:rsid w:val="00D139CB"/>
    <w:rsid w:val="00D53021"/>
    <w:rsid w:val="00D73554"/>
    <w:rsid w:val="00DA39CD"/>
    <w:rsid w:val="00DC2085"/>
    <w:rsid w:val="00DD0597"/>
    <w:rsid w:val="00E031E8"/>
    <w:rsid w:val="00E44A9F"/>
    <w:rsid w:val="00E55470"/>
    <w:rsid w:val="00E668B5"/>
    <w:rsid w:val="00E87028"/>
    <w:rsid w:val="00EB232B"/>
    <w:rsid w:val="00EE038C"/>
    <w:rsid w:val="00F17C8B"/>
    <w:rsid w:val="00F204AF"/>
    <w:rsid w:val="00F40F54"/>
    <w:rsid w:val="00F54FF1"/>
    <w:rsid w:val="00F56988"/>
    <w:rsid w:val="00F65133"/>
    <w:rsid w:val="00F81B0B"/>
    <w:rsid w:val="00F938D5"/>
    <w:rsid w:val="00F97940"/>
    <w:rsid w:val="00FB2CC9"/>
    <w:rsid w:val="00FC35FE"/>
    <w:rsid w:val="00FC49A5"/>
    <w:rsid w:val="00FE3139"/>
    <w:rsid w:val="00FF1490"/>
    <w:rsid w:val="00FF2D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1"/>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Pr>
      <w:sz w:val="20"/>
      <w:szCs w:val="20"/>
    </w:rPr>
  </w:style>
  <w:style w:type="character" w:styleId="FootnoteReference">
    <w:name w:val="footnote reference"/>
    <w:aliases w:val="BVI fnr,Footnote Reference1"/>
    <w:uiPriority w:val="99"/>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 w:type="paragraph" w:styleId="BodyTextIndent3">
    <w:name w:val="Body Text Indent 3"/>
    <w:basedOn w:val="Normal"/>
    <w:link w:val="BodyTextIndent3Char"/>
    <w:uiPriority w:val="99"/>
    <w:semiHidden/>
    <w:unhideWhenUsed/>
    <w:rsid w:val="007E3401"/>
    <w:pPr>
      <w:spacing w:after="120"/>
      <w:ind w:left="360"/>
    </w:pPr>
    <w:rPr>
      <w:sz w:val="16"/>
      <w:szCs w:val="16"/>
    </w:rPr>
  </w:style>
  <w:style w:type="character" w:customStyle="1" w:styleId="BodyTextIndent3Char">
    <w:name w:val="Body Text Indent 3 Char"/>
    <w:link w:val="BodyTextIndent3"/>
    <w:uiPriority w:val="99"/>
    <w:semiHidden/>
    <w:rsid w:val="007E3401"/>
    <w:rPr>
      <w:sz w:val="16"/>
      <w:szCs w:val="16"/>
    </w:rPr>
  </w:style>
  <w:style w:type="paragraph" w:styleId="Subtitle">
    <w:name w:val="Subtitle"/>
    <w:basedOn w:val="Normal"/>
    <w:link w:val="SubtitleChar"/>
    <w:qFormat/>
    <w:rsid w:val="007E3401"/>
    <w:pPr>
      <w:spacing w:line="480" w:lineRule="auto"/>
      <w:jc w:val="center"/>
    </w:pPr>
    <w:rPr>
      <w:b/>
      <w:bCs/>
      <w:spacing w:val="10"/>
      <w:w w:val="103"/>
    </w:rPr>
  </w:style>
  <w:style w:type="character" w:customStyle="1" w:styleId="SubtitleChar">
    <w:name w:val="Subtitle Char"/>
    <w:link w:val="Subtitle"/>
    <w:rsid w:val="007E3401"/>
    <w:rPr>
      <w:b/>
      <w:bCs/>
      <w:spacing w:val="10"/>
      <w:w w:val="103"/>
      <w:sz w:val="24"/>
      <w:szCs w:val="24"/>
    </w:rPr>
  </w:style>
  <w:style w:type="paragraph" w:styleId="PlainText">
    <w:name w:val="Plain Text"/>
    <w:basedOn w:val="Normal"/>
    <w:link w:val="PlainTextChar"/>
    <w:rsid w:val="007E3401"/>
    <w:rPr>
      <w:rFonts w:ascii="Courier New" w:hAnsi="Courier New" w:cs="Courier New"/>
      <w:sz w:val="20"/>
      <w:szCs w:val="20"/>
    </w:rPr>
  </w:style>
  <w:style w:type="character" w:customStyle="1" w:styleId="PlainTextChar">
    <w:name w:val="Plain Text Char"/>
    <w:link w:val="PlainText"/>
    <w:rsid w:val="007E3401"/>
    <w:rPr>
      <w:rFonts w:ascii="Courier New" w:hAnsi="Courier New" w:cs="Courier New"/>
    </w:rPr>
  </w:style>
  <w:style w:type="character" w:customStyle="1" w:styleId="apple-converted-space">
    <w:name w:val="apple-converted-space"/>
    <w:rsid w:val="007E3401"/>
  </w:style>
  <w:style w:type="character" w:customStyle="1" w:styleId="TitleChar">
    <w:name w:val="Title Char"/>
    <w:link w:val="Title"/>
    <w:rsid w:val="00EE038C"/>
    <w:rPr>
      <w:rFonts w:ascii="Bookman Old Style" w:hAnsi="Bookman Old Style"/>
      <w:b/>
      <w:bCs/>
      <w:sz w:val="24"/>
      <w:szCs w:val="24"/>
    </w:rPr>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C1EC9-9CE2-4E1D-98A8-B81FBAA6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9998</Words>
  <Characters>56995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66860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2025-11-20T08:39:00Z</dcterms:created>
  <dcterms:modified xsi:type="dcterms:W3CDTF">2025-11-20T08:39:00Z</dcterms:modified>
</cp:coreProperties>
</file>