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8BB" w:rsidRPr="00DE30A6" w:rsidRDefault="00A818BB" w:rsidP="00A818BB">
      <w:pPr>
        <w:pStyle w:val="BodyTextIndent"/>
        <w:autoSpaceDE w:val="0"/>
        <w:autoSpaceDN w:val="0"/>
        <w:adjustRightInd w:val="0"/>
        <w:spacing w:line="480" w:lineRule="auto"/>
        <w:rPr>
          <w:bCs w:val="0"/>
          <w:color w:val="000000" w:themeColor="text1"/>
          <w:sz w:val="24"/>
          <w:szCs w:val="24"/>
          <w:lang w:val="en-ID" w:eastAsia="id-ID"/>
        </w:rPr>
      </w:pPr>
      <w:r w:rsidRPr="00DE30A6">
        <w:rPr>
          <w:bCs w:val="0"/>
          <w:color w:val="000000" w:themeColor="text1"/>
          <w:sz w:val="24"/>
          <w:szCs w:val="24"/>
          <w:lang w:val="en-ID" w:eastAsia="id-ID"/>
        </w:rPr>
        <w:t>BAB II</w:t>
      </w:r>
    </w:p>
    <w:p w:rsidR="00A818BB" w:rsidRPr="00DE30A6" w:rsidRDefault="00A818BB" w:rsidP="00A818BB">
      <w:pPr>
        <w:pStyle w:val="BodyTextIndent"/>
        <w:autoSpaceDE w:val="0"/>
        <w:autoSpaceDN w:val="0"/>
        <w:adjustRightInd w:val="0"/>
        <w:spacing w:line="480" w:lineRule="auto"/>
        <w:rPr>
          <w:bCs w:val="0"/>
          <w:color w:val="000000" w:themeColor="text1"/>
          <w:sz w:val="24"/>
          <w:szCs w:val="24"/>
          <w:lang w:val="en-ID" w:eastAsia="id-ID"/>
        </w:rPr>
      </w:pPr>
      <w:r w:rsidRPr="00DE30A6">
        <w:rPr>
          <w:bCs w:val="0"/>
          <w:color w:val="000000" w:themeColor="text1"/>
          <w:sz w:val="24"/>
          <w:szCs w:val="24"/>
          <w:lang w:val="en-ID" w:eastAsia="id-ID"/>
        </w:rPr>
        <w:t>TINJAUAN PUSTAKA</w:t>
      </w:r>
    </w:p>
    <w:p w:rsidR="00A818BB" w:rsidRPr="00DE30A6" w:rsidRDefault="00A818BB" w:rsidP="00A818BB">
      <w:pPr>
        <w:pStyle w:val="BodyTextIndent"/>
        <w:rPr>
          <w:b w:val="0"/>
          <w:bCs w:val="0"/>
          <w:color w:val="000000" w:themeColor="text1"/>
          <w:sz w:val="24"/>
          <w:szCs w:val="24"/>
        </w:rPr>
      </w:pPr>
    </w:p>
    <w:p w:rsidR="00A818BB" w:rsidRPr="00DE30A6" w:rsidRDefault="00A818BB" w:rsidP="00A818BB">
      <w:pPr>
        <w:pStyle w:val="BodyTextIndent"/>
        <w:numPr>
          <w:ilvl w:val="5"/>
          <w:numId w:val="12"/>
        </w:numPr>
        <w:autoSpaceDE w:val="0"/>
        <w:autoSpaceDN w:val="0"/>
        <w:adjustRightInd w:val="0"/>
        <w:spacing w:line="480" w:lineRule="auto"/>
        <w:ind w:left="360" w:right="18"/>
        <w:jc w:val="both"/>
        <w:rPr>
          <w:color w:val="000000" w:themeColor="text1"/>
          <w:sz w:val="24"/>
          <w:szCs w:val="24"/>
          <w:lang w:eastAsia="id-ID"/>
        </w:rPr>
      </w:pPr>
      <w:bookmarkStart w:id="0" w:name="_Hlk129706810"/>
      <w:r w:rsidRPr="00DE30A6">
        <w:rPr>
          <w:color w:val="000000" w:themeColor="text1"/>
          <w:sz w:val="24"/>
          <w:szCs w:val="24"/>
          <w:lang w:val="en-US" w:eastAsia="id-ID"/>
        </w:rPr>
        <w:t>Hibah dan Syarat-Syarat</w:t>
      </w:r>
      <w:r w:rsidRPr="00DE30A6">
        <w:rPr>
          <w:color w:val="000000" w:themeColor="text1"/>
          <w:sz w:val="24"/>
          <w:szCs w:val="24"/>
          <w:lang w:eastAsia="id-ID"/>
        </w:rPr>
        <w:t xml:space="preserve"> dalam Perjanjian Hibah</w:t>
      </w:r>
      <w:bookmarkEnd w:id="0"/>
    </w:p>
    <w:p w:rsidR="00A818BB" w:rsidRPr="00DE30A6" w:rsidRDefault="00A818BB" w:rsidP="00A818BB">
      <w:pPr>
        <w:autoSpaceDE w:val="0"/>
        <w:autoSpaceDN w:val="0"/>
        <w:adjustRightInd w:val="0"/>
        <w:spacing w:line="480" w:lineRule="auto"/>
        <w:ind w:firstLine="720"/>
        <w:jc w:val="both"/>
        <w:rPr>
          <w:rFonts w:eastAsia="TimesNewRoman"/>
          <w:noProof w:val="0"/>
          <w:color w:val="000000" w:themeColor="text1"/>
          <w:lang w:val="en-US" w:eastAsia="id-ID"/>
        </w:rPr>
      </w:pPr>
      <w:r w:rsidRPr="00DE30A6">
        <w:rPr>
          <w:rFonts w:eastAsia="TimesNewRoman"/>
          <w:noProof w:val="0"/>
          <w:color w:val="000000" w:themeColor="text1"/>
          <w:lang w:val="en-US" w:eastAsia="id-ID"/>
        </w:rPr>
        <w:t>Pasal 1666 KUH.Perdata, menyatakan</w:t>
      </w:r>
    </w:p>
    <w:p w:rsidR="00A818BB" w:rsidRPr="00DE30A6" w:rsidRDefault="00A818BB" w:rsidP="00A818BB">
      <w:pPr>
        <w:autoSpaceDE w:val="0"/>
        <w:autoSpaceDN w:val="0"/>
        <w:adjustRightInd w:val="0"/>
        <w:spacing w:line="216" w:lineRule="auto"/>
        <w:ind w:left="709"/>
        <w:jc w:val="both"/>
        <w:rPr>
          <w:rFonts w:eastAsia="TimesNewRoman"/>
          <w:noProof w:val="0"/>
          <w:color w:val="000000" w:themeColor="text1"/>
          <w:lang w:val="en-US" w:eastAsia="id-ID"/>
        </w:rPr>
      </w:pPr>
      <w:r w:rsidRPr="00DE30A6">
        <w:rPr>
          <w:rFonts w:eastAsia="TimesNewRoman"/>
          <w:noProof w:val="0"/>
          <w:color w:val="000000" w:themeColor="text1"/>
          <w:lang w:val="en-US" w:eastAsia="id-ID"/>
        </w:rPr>
        <w:t>Penghibahan/ Hibah adalah suatu persetujuan dengan mana seorang Penghibah menyerahkan suatu barang secara cuma-cuma, tanpa dapat menariknya kembali, untuk kepentingan seseorang yang menerima penyerahan barang itu.Undang-undang hanya mengakui Penghibahan antara orang-orang yang masih hidup.</w:t>
      </w:r>
    </w:p>
    <w:p w:rsidR="00A818BB" w:rsidRPr="00DE30A6" w:rsidRDefault="00A818BB" w:rsidP="00A818BB">
      <w:pPr>
        <w:autoSpaceDE w:val="0"/>
        <w:autoSpaceDN w:val="0"/>
        <w:adjustRightInd w:val="0"/>
        <w:ind w:left="709"/>
        <w:jc w:val="both"/>
        <w:rPr>
          <w:rFonts w:eastAsia="TimesNewRoman"/>
          <w:noProof w:val="0"/>
          <w:color w:val="000000" w:themeColor="text1"/>
          <w:lang w:val="en-US" w:eastAsia="id-ID"/>
        </w:rPr>
      </w:pPr>
    </w:p>
    <w:p w:rsidR="00A818BB" w:rsidRPr="00DE30A6" w:rsidRDefault="00A818BB" w:rsidP="00A818BB">
      <w:pPr>
        <w:autoSpaceDE w:val="0"/>
        <w:autoSpaceDN w:val="0"/>
        <w:adjustRightInd w:val="0"/>
        <w:spacing w:line="480" w:lineRule="auto"/>
        <w:ind w:firstLine="709"/>
        <w:jc w:val="both"/>
        <w:rPr>
          <w:rFonts w:eastAsia="TimesNewRoman"/>
          <w:noProof w:val="0"/>
          <w:color w:val="000000" w:themeColor="text1"/>
          <w:lang w:val="en-US" w:eastAsia="id-ID"/>
        </w:rPr>
      </w:pPr>
      <w:r w:rsidRPr="00DE30A6">
        <w:rPr>
          <w:rStyle w:val="markedcontent"/>
          <w:color w:val="000000" w:themeColor="text1"/>
          <w:lang w:val="en-US" w:eastAsia="id-ID"/>
        </w:rPr>
        <w:t xml:space="preserve">Berdasarkan ketentuan di atas, maka </w:t>
      </w:r>
      <w:r w:rsidRPr="00DE30A6">
        <w:rPr>
          <w:rFonts w:eastAsia="TimesNewRoman"/>
          <w:noProof w:val="0"/>
          <w:color w:val="000000" w:themeColor="text1"/>
          <w:lang w:val="en-US" w:eastAsia="id-ID"/>
        </w:rPr>
        <w:t>dapat disimpulkan bahwa hibah itu bercirikan sebagai berikut :</w:t>
      </w:r>
    </w:p>
    <w:p w:rsidR="00A818BB" w:rsidRPr="00DE30A6" w:rsidRDefault="00A818BB" w:rsidP="00A818BB">
      <w:pPr>
        <w:pStyle w:val="ListParagraph"/>
        <w:numPr>
          <w:ilvl w:val="6"/>
          <w:numId w:val="11"/>
        </w:numPr>
        <w:tabs>
          <w:tab w:val="clear" w:pos="5040"/>
          <w:tab w:val="num" w:pos="1080"/>
        </w:tabs>
        <w:autoSpaceDE w:val="0"/>
        <w:autoSpaceDN w:val="0"/>
        <w:adjustRightInd w:val="0"/>
        <w:spacing w:after="0" w:line="216" w:lineRule="auto"/>
        <w:ind w:left="1077" w:hanging="357"/>
        <w:jc w:val="both"/>
        <w:rPr>
          <w:rFonts w:ascii="Times New Roman" w:eastAsia="TimesNewRoman" w:hAnsi="Times New Roman" w:cs="Times New Roman"/>
          <w:noProof w:val="0"/>
          <w:color w:val="000000" w:themeColor="text1"/>
          <w:sz w:val="24"/>
          <w:szCs w:val="24"/>
          <w:lang w:val="en-US" w:eastAsia="id-ID"/>
        </w:rPr>
      </w:pPr>
      <w:r w:rsidRPr="00DE30A6">
        <w:rPr>
          <w:rFonts w:ascii="Times New Roman" w:eastAsia="TimesNewRoman" w:hAnsi="Times New Roman" w:cs="Times New Roman"/>
          <w:noProof w:val="0"/>
          <w:color w:val="000000" w:themeColor="text1"/>
          <w:sz w:val="24"/>
          <w:szCs w:val="24"/>
          <w:lang w:val="en-US" w:eastAsia="id-ID"/>
        </w:rPr>
        <w:t>Suatu akad pemberian harta milik kepada seseorang ;</w:t>
      </w:r>
    </w:p>
    <w:p w:rsidR="00A818BB" w:rsidRPr="00DE30A6" w:rsidRDefault="00A818BB" w:rsidP="00A818BB">
      <w:pPr>
        <w:pStyle w:val="ListParagraph"/>
        <w:numPr>
          <w:ilvl w:val="6"/>
          <w:numId w:val="11"/>
        </w:numPr>
        <w:tabs>
          <w:tab w:val="clear" w:pos="5040"/>
          <w:tab w:val="num" w:pos="1080"/>
        </w:tabs>
        <w:autoSpaceDE w:val="0"/>
        <w:autoSpaceDN w:val="0"/>
        <w:adjustRightInd w:val="0"/>
        <w:spacing w:after="0" w:line="216" w:lineRule="auto"/>
        <w:ind w:left="1077" w:hanging="357"/>
        <w:jc w:val="both"/>
        <w:rPr>
          <w:rFonts w:ascii="Times New Roman" w:eastAsia="TimesNewRoman" w:hAnsi="Times New Roman" w:cs="Times New Roman"/>
          <w:noProof w:val="0"/>
          <w:color w:val="000000" w:themeColor="text1"/>
          <w:sz w:val="24"/>
          <w:szCs w:val="24"/>
          <w:lang w:val="en-US" w:eastAsia="id-ID"/>
        </w:rPr>
      </w:pPr>
      <w:r w:rsidRPr="00DE30A6">
        <w:rPr>
          <w:rFonts w:ascii="Times New Roman" w:eastAsia="TimesNewRoman" w:hAnsi="Times New Roman" w:cs="Times New Roman"/>
          <w:noProof w:val="0"/>
          <w:color w:val="000000" w:themeColor="text1"/>
          <w:sz w:val="24"/>
          <w:szCs w:val="24"/>
          <w:lang w:val="en-US" w:eastAsia="id-ID"/>
        </w:rPr>
        <w:t>Harta yang dihibahkan ialah harta nyata, bukan hutang atau manfaat.</w:t>
      </w:r>
    </w:p>
    <w:p w:rsidR="00A818BB" w:rsidRPr="00DE30A6" w:rsidRDefault="00A818BB" w:rsidP="00A818BB">
      <w:pPr>
        <w:pStyle w:val="ListParagraph"/>
        <w:numPr>
          <w:ilvl w:val="6"/>
          <w:numId w:val="11"/>
        </w:numPr>
        <w:tabs>
          <w:tab w:val="clear" w:pos="5040"/>
          <w:tab w:val="num" w:pos="1080"/>
        </w:tabs>
        <w:autoSpaceDE w:val="0"/>
        <w:autoSpaceDN w:val="0"/>
        <w:adjustRightInd w:val="0"/>
        <w:spacing w:after="0" w:line="216" w:lineRule="auto"/>
        <w:ind w:left="1077" w:hanging="357"/>
        <w:jc w:val="both"/>
        <w:rPr>
          <w:rFonts w:ascii="Times New Roman" w:eastAsia="TimesNewRoman" w:hAnsi="Times New Roman" w:cs="Times New Roman"/>
          <w:noProof w:val="0"/>
          <w:color w:val="000000" w:themeColor="text1"/>
          <w:sz w:val="24"/>
          <w:szCs w:val="24"/>
          <w:lang w:val="en-US" w:eastAsia="id-ID"/>
        </w:rPr>
      </w:pPr>
      <w:r w:rsidRPr="00DE30A6">
        <w:rPr>
          <w:rFonts w:ascii="Times New Roman" w:eastAsia="TimesNewRoman" w:hAnsi="Times New Roman" w:cs="Times New Roman"/>
          <w:noProof w:val="0"/>
          <w:color w:val="000000" w:themeColor="text1"/>
          <w:sz w:val="24"/>
          <w:szCs w:val="24"/>
          <w:lang w:val="en-US" w:eastAsia="id-ID"/>
        </w:rPr>
        <w:t>Akad hibah dibuat tanpa mengenakan imbalan/ balasan (iwad), kecuali hibah bersyarat.</w:t>
      </w:r>
    </w:p>
    <w:p w:rsidR="00A818BB" w:rsidRPr="00DE30A6" w:rsidRDefault="00A818BB" w:rsidP="00A818BB">
      <w:pPr>
        <w:pStyle w:val="ListParagraph"/>
        <w:numPr>
          <w:ilvl w:val="6"/>
          <w:numId w:val="11"/>
        </w:numPr>
        <w:tabs>
          <w:tab w:val="clear" w:pos="5040"/>
          <w:tab w:val="num" w:pos="1080"/>
        </w:tabs>
        <w:autoSpaceDE w:val="0"/>
        <w:autoSpaceDN w:val="0"/>
        <w:adjustRightInd w:val="0"/>
        <w:spacing w:after="0" w:line="216" w:lineRule="auto"/>
        <w:ind w:left="1077" w:hanging="357"/>
        <w:jc w:val="both"/>
        <w:rPr>
          <w:rFonts w:ascii="Times New Roman" w:eastAsia="TimesNewRoman" w:hAnsi="Times New Roman" w:cs="Times New Roman"/>
          <w:noProof w:val="0"/>
          <w:color w:val="000000" w:themeColor="text1"/>
          <w:sz w:val="24"/>
          <w:szCs w:val="24"/>
          <w:lang w:val="en-US" w:eastAsia="id-ID"/>
        </w:rPr>
      </w:pPr>
      <w:r w:rsidRPr="00DE30A6">
        <w:rPr>
          <w:rFonts w:ascii="Times New Roman" w:eastAsia="TimesNewRoman" w:hAnsi="Times New Roman" w:cs="Times New Roman"/>
          <w:noProof w:val="0"/>
          <w:color w:val="000000" w:themeColor="text1"/>
          <w:sz w:val="24"/>
          <w:szCs w:val="24"/>
          <w:lang w:val="en-US" w:eastAsia="id-ID"/>
        </w:rPr>
        <w:t>Akad hibah berlangsung semasa hidup pemberi hibah.</w:t>
      </w:r>
    </w:p>
    <w:p w:rsidR="00A818BB" w:rsidRPr="00DE30A6" w:rsidRDefault="00A818BB" w:rsidP="00A818BB">
      <w:pPr>
        <w:pStyle w:val="ListParagraph"/>
        <w:numPr>
          <w:ilvl w:val="6"/>
          <w:numId w:val="11"/>
        </w:numPr>
        <w:tabs>
          <w:tab w:val="clear" w:pos="5040"/>
          <w:tab w:val="num" w:pos="1080"/>
        </w:tabs>
        <w:autoSpaceDE w:val="0"/>
        <w:autoSpaceDN w:val="0"/>
        <w:adjustRightInd w:val="0"/>
        <w:spacing w:after="0" w:line="216" w:lineRule="auto"/>
        <w:ind w:left="1077" w:hanging="357"/>
        <w:jc w:val="both"/>
        <w:rPr>
          <w:rFonts w:ascii="Times New Roman" w:eastAsia="TimesNewRoman" w:hAnsi="Times New Roman" w:cs="Times New Roman"/>
          <w:noProof w:val="0"/>
          <w:color w:val="000000" w:themeColor="text1"/>
          <w:sz w:val="24"/>
          <w:szCs w:val="24"/>
          <w:lang w:val="en-US" w:eastAsia="id-ID"/>
        </w:rPr>
      </w:pPr>
      <w:r w:rsidRPr="00DE30A6">
        <w:rPr>
          <w:rFonts w:ascii="Times New Roman" w:eastAsia="TimesNewRoman" w:hAnsi="Times New Roman" w:cs="Times New Roman"/>
          <w:noProof w:val="0"/>
          <w:color w:val="000000" w:themeColor="text1"/>
          <w:sz w:val="24"/>
          <w:szCs w:val="24"/>
          <w:lang w:val="en-US" w:eastAsia="id-ID"/>
        </w:rPr>
        <w:t>Hibah dibuat secara sukarela tanpa paksaan.</w:t>
      </w:r>
    </w:p>
    <w:p w:rsidR="00A818BB" w:rsidRPr="00DE30A6" w:rsidRDefault="00A818BB" w:rsidP="00A818BB">
      <w:pPr>
        <w:pStyle w:val="ListParagraph"/>
        <w:numPr>
          <w:ilvl w:val="6"/>
          <w:numId w:val="11"/>
        </w:numPr>
        <w:tabs>
          <w:tab w:val="clear" w:pos="5040"/>
          <w:tab w:val="num" w:pos="1080"/>
        </w:tabs>
        <w:autoSpaceDE w:val="0"/>
        <w:autoSpaceDN w:val="0"/>
        <w:adjustRightInd w:val="0"/>
        <w:spacing w:after="0" w:line="216" w:lineRule="auto"/>
        <w:ind w:left="1077" w:hanging="357"/>
        <w:jc w:val="both"/>
        <w:rPr>
          <w:rFonts w:ascii="Times New Roman" w:eastAsia="TimesNewRoman" w:hAnsi="Times New Roman" w:cs="Times New Roman"/>
          <w:noProof w:val="0"/>
          <w:color w:val="000000" w:themeColor="text1"/>
          <w:sz w:val="24"/>
          <w:szCs w:val="24"/>
          <w:lang w:val="en-US" w:eastAsia="id-ID"/>
        </w:rPr>
      </w:pPr>
      <w:r w:rsidRPr="00DE30A6">
        <w:rPr>
          <w:rFonts w:ascii="Times New Roman" w:eastAsia="TimesNewRoman" w:hAnsi="Times New Roman" w:cs="Times New Roman"/>
          <w:noProof w:val="0"/>
          <w:color w:val="000000" w:themeColor="text1"/>
          <w:sz w:val="24"/>
          <w:szCs w:val="24"/>
          <w:lang w:val="en-US" w:eastAsia="id-ID"/>
        </w:rPr>
        <w:t>Akad dibuat bermasud untuk tolong menolong dan mendekatkan diri kepada allah SWT.</w:t>
      </w:r>
    </w:p>
    <w:p w:rsidR="00A818BB" w:rsidRPr="00DE30A6" w:rsidRDefault="00A818BB" w:rsidP="00A818BB">
      <w:pPr>
        <w:pStyle w:val="ListParagraph"/>
        <w:numPr>
          <w:ilvl w:val="6"/>
          <w:numId w:val="11"/>
        </w:numPr>
        <w:tabs>
          <w:tab w:val="clear" w:pos="5040"/>
          <w:tab w:val="num" w:pos="1080"/>
        </w:tabs>
        <w:autoSpaceDE w:val="0"/>
        <w:autoSpaceDN w:val="0"/>
        <w:adjustRightInd w:val="0"/>
        <w:spacing w:after="0" w:line="216" w:lineRule="auto"/>
        <w:ind w:left="1077" w:hanging="357"/>
        <w:jc w:val="both"/>
        <w:rPr>
          <w:rFonts w:ascii="Times New Roman" w:hAnsi="Times New Roman" w:cs="Times New Roman"/>
          <w:color w:val="000000" w:themeColor="text1"/>
          <w:sz w:val="24"/>
          <w:szCs w:val="24"/>
          <w:lang w:val="en-US" w:eastAsia="id-ID"/>
        </w:rPr>
      </w:pPr>
      <w:r w:rsidRPr="00DE30A6">
        <w:rPr>
          <w:rFonts w:ascii="Times New Roman" w:eastAsia="TimesNewRoman" w:hAnsi="Times New Roman" w:cs="Times New Roman"/>
          <w:noProof w:val="0"/>
          <w:color w:val="000000" w:themeColor="text1"/>
          <w:sz w:val="24"/>
          <w:szCs w:val="24"/>
          <w:lang w:val="en-US" w:eastAsia="id-ID"/>
        </w:rPr>
        <w:t xml:space="preserve">Hibah terhadap seseorang tidak melebihi </w:t>
      </w:r>
      <w:r w:rsidRPr="00DE30A6">
        <w:rPr>
          <w:rFonts w:ascii="Times New Roman" w:eastAsia="TimesNewRoman" w:hAnsi="Times New Roman" w:cs="Times New Roman"/>
          <w:i/>
          <w:iCs/>
          <w:noProof w:val="0"/>
          <w:color w:val="000000" w:themeColor="text1"/>
          <w:sz w:val="24"/>
          <w:szCs w:val="24"/>
          <w:lang w:val="en-US" w:eastAsia="id-ID"/>
        </w:rPr>
        <w:t xml:space="preserve">legitime forctie </w:t>
      </w:r>
      <w:r w:rsidRPr="00DE30A6">
        <w:rPr>
          <w:rFonts w:ascii="Times New Roman" w:eastAsia="TimesNewRoman" w:hAnsi="Times New Roman" w:cs="Times New Roman"/>
          <w:noProof w:val="0"/>
          <w:color w:val="000000" w:themeColor="text1"/>
          <w:sz w:val="24"/>
          <w:szCs w:val="24"/>
          <w:lang w:val="en-US" w:eastAsia="id-ID"/>
        </w:rPr>
        <w:t>(1/3) bagian dari harta Penghibah.</w:t>
      </w:r>
      <w:r w:rsidRPr="00DE30A6">
        <w:rPr>
          <w:rStyle w:val="FootnoteReference"/>
          <w:rFonts w:eastAsia="TimesNewRoman"/>
          <w:noProof w:val="0"/>
          <w:color w:val="000000" w:themeColor="text1"/>
          <w:lang w:val="en-US" w:eastAsia="id-ID"/>
        </w:rPr>
        <w:footnoteReference w:id="2"/>
      </w:r>
    </w:p>
    <w:p w:rsidR="00A818BB" w:rsidRPr="00DE30A6" w:rsidRDefault="00A818BB" w:rsidP="00A818BB">
      <w:pPr>
        <w:pStyle w:val="ListParagraph"/>
        <w:autoSpaceDE w:val="0"/>
        <w:autoSpaceDN w:val="0"/>
        <w:adjustRightInd w:val="0"/>
        <w:spacing w:after="0" w:line="240" w:lineRule="auto"/>
        <w:ind w:left="1080"/>
        <w:jc w:val="both"/>
        <w:rPr>
          <w:rStyle w:val="markedcontent"/>
          <w:rFonts w:ascii="Times New Roman" w:hAnsi="Times New Roman" w:cs="Times New Roman"/>
          <w:color w:val="000000" w:themeColor="text1"/>
          <w:sz w:val="24"/>
          <w:szCs w:val="24"/>
          <w:lang w:val="en-US" w:eastAsia="id-ID"/>
        </w:rPr>
      </w:pPr>
    </w:p>
    <w:p w:rsidR="00A818BB" w:rsidRPr="00DE30A6" w:rsidRDefault="00A818BB" w:rsidP="00A818BB">
      <w:pPr>
        <w:pStyle w:val="BodyTextIndent"/>
        <w:autoSpaceDE w:val="0"/>
        <w:autoSpaceDN w:val="0"/>
        <w:adjustRightInd w:val="0"/>
        <w:spacing w:line="456" w:lineRule="auto"/>
        <w:ind w:right="17" w:firstLine="720"/>
        <w:jc w:val="both"/>
        <w:rPr>
          <w:b w:val="0"/>
          <w:color w:val="000000" w:themeColor="text1"/>
          <w:sz w:val="24"/>
          <w:szCs w:val="24"/>
          <w:lang w:val="en-US" w:eastAsia="id-ID"/>
        </w:rPr>
      </w:pPr>
      <w:r w:rsidRPr="00DE30A6">
        <w:rPr>
          <w:b w:val="0"/>
          <w:color w:val="000000" w:themeColor="text1"/>
          <w:sz w:val="24"/>
          <w:szCs w:val="24"/>
          <w:lang w:val="en-US" w:eastAsia="id-ID"/>
        </w:rPr>
        <w:t xml:space="preserve">Di Indonesia masih berlaku lebih dari satu hukum yang mengatur hibah, artinya hibah juga diatur baik oleh hukum Islam, hukum Perdata yang bersumber pada Kitab Undang-Undang Hukum Perdata (KUH.Perdata), maupun hukum Adat. Pada dasarnya pengaturan masalah hibah menurut ketiga sistem hukum tersebut memiliki unsur-unsur kesamaan, meskipun dalam beberapa hal satu sama lain mengandung pula perbedaan. </w:t>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lang w:val="en-US" w:eastAsia="id-ID"/>
        </w:rPr>
      </w:pPr>
      <w:r w:rsidRPr="00DE30A6">
        <w:rPr>
          <w:b w:val="0"/>
          <w:color w:val="000000" w:themeColor="text1"/>
          <w:sz w:val="24"/>
          <w:szCs w:val="24"/>
          <w:lang w:val="en-US" w:eastAsia="id-ID"/>
        </w:rPr>
        <w:t xml:space="preserve">Hibah adalah pemberian yang dilakukan oleh seseorang kepada pihak lain yang dilakukan ketika masih hidup dan pelaksanaan pembagiannya biasanya </w:t>
      </w:r>
      <w:r w:rsidRPr="00DE30A6">
        <w:rPr>
          <w:b w:val="0"/>
          <w:color w:val="000000" w:themeColor="text1"/>
          <w:sz w:val="24"/>
          <w:szCs w:val="24"/>
          <w:lang w:val="en-US" w:eastAsia="id-ID"/>
        </w:rPr>
        <w:lastRenderedPageBreak/>
        <w:t>dilakukan pada waktu penghibah masih hidup juga. Biasanya pemberian- pemberian tersebut tidak pernah dicela oleh sanak keluarga yang tidak menerima pemberian itu, oleh karena pada dasarnya seseorang pemilik harta kekayaan berhak dan leluasa untuk memberikan harta bendanya kepada siapa pun.</w:t>
      </w:r>
      <w:r w:rsidRPr="00DE30A6">
        <w:rPr>
          <w:rStyle w:val="FootnoteReference"/>
          <w:b w:val="0"/>
          <w:color w:val="000000" w:themeColor="text1"/>
          <w:lang w:val="en-US" w:eastAsia="id-ID"/>
        </w:rPr>
        <w:footnoteReference w:id="3"/>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lang w:val="en-US" w:eastAsia="id-ID"/>
        </w:rPr>
      </w:pPr>
      <w:r w:rsidRPr="00DE30A6">
        <w:rPr>
          <w:b w:val="0"/>
          <w:color w:val="000000" w:themeColor="text1"/>
          <w:sz w:val="24"/>
          <w:szCs w:val="24"/>
          <w:lang w:val="en-US" w:eastAsia="id-ID"/>
        </w:rPr>
        <w:t>Secara sederhana, hibah dapat diartikan sebagai pemberian sebagian atau seluruh dari harta kekayaan seseorang kepada orang lain sewaktu masih hidup dan pemberian hibah kepada penerima hibah sudah berlangsung seketika itu juga. Perbedaan yang menyolok antara peralihan hak milik atas harta kekayaan dengan menggunakan sarana hukum hibah dengan sarana hukum lain seperti jual beli dan tukar menukar, bahwa dalam hibah tidak ada unsur kontra prestasi. Mengenai hal tersebut, Anisitus Amanat menjelaskan bahwa pemberi hibah menyerahkan hak miliknya atas sebagian atau seluruh harta kekayaannya kepada pihak lain tanpa imbalan apa-apa dari penerima hibah. Akibat tidak adanya kontra prestasi dalam hibah semacam itu, maka pembentuk undang-undang membuat aturan yang mewajibkan penerima hibah untuk memasukkan kembali semua harta yang telah diterimanya itu kedalam harta warisan pemberi hibah guna diperhitungkan kembali.</w:t>
      </w:r>
      <w:r w:rsidRPr="00DE30A6">
        <w:rPr>
          <w:rStyle w:val="FootnoteReference"/>
          <w:b w:val="0"/>
          <w:color w:val="000000" w:themeColor="text1"/>
          <w:lang w:val="en-US" w:eastAsia="id-ID"/>
        </w:rPr>
        <w:footnoteReference w:id="4"/>
      </w:r>
    </w:p>
    <w:p w:rsidR="00A818BB" w:rsidRPr="00DE30A6" w:rsidRDefault="00A818BB" w:rsidP="00A818BB">
      <w:pPr>
        <w:pStyle w:val="BodyTextIndent"/>
        <w:autoSpaceDE w:val="0"/>
        <w:autoSpaceDN w:val="0"/>
        <w:adjustRightInd w:val="0"/>
        <w:spacing w:line="432" w:lineRule="auto"/>
        <w:ind w:right="17" w:firstLine="720"/>
        <w:jc w:val="both"/>
        <w:rPr>
          <w:b w:val="0"/>
          <w:color w:val="000000" w:themeColor="text1"/>
          <w:sz w:val="24"/>
          <w:szCs w:val="24"/>
          <w:lang w:val="en-US" w:eastAsia="id-ID"/>
        </w:rPr>
      </w:pPr>
      <w:r w:rsidRPr="00DE30A6">
        <w:rPr>
          <w:b w:val="0"/>
          <w:color w:val="000000" w:themeColor="text1"/>
          <w:sz w:val="24"/>
          <w:szCs w:val="24"/>
          <w:lang w:val="en-US" w:eastAsia="id-ID"/>
        </w:rPr>
        <w:t xml:space="preserve">Sebenarnya hibah tidak termasuk materi hukum waris melainkan termasuk hukum perikatan yang diatur di dalam Buku Ketiga Bab kesepuluh Kitab Undang-Undang Hukum Perdata (KUHPerdata). Di samping itu salah satu syarat dalam hukum waris untuk adanya proses pewarisan adalah adanya seseorang yang </w:t>
      </w:r>
      <w:r w:rsidRPr="00DE30A6">
        <w:rPr>
          <w:b w:val="0"/>
          <w:color w:val="000000" w:themeColor="text1"/>
          <w:sz w:val="24"/>
          <w:szCs w:val="24"/>
          <w:lang w:val="en-US" w:eastAsia="id-ID"/>
        </w:rPr>
        <w:lastRenderedPageBreak/>
        <w:t>meninggal dunia dengan meninggalkan sejumlah harta kekayaan. Sedangkan dalam hibah, seseorang pemberi hibah itu masih hidup pada waktu pelaksanaan pemberian hibah.Menurut Pasal 1666 KUH Perdata, hibah dirumuskan sebagai berikut :</w:t>
      </w:r>
    </w:p>
    <w:p w:rsidR="00A818BB" w:rsidRPr="00DE30A6" w:rsidRDefault="00A818BB" w:rsidP="00A818BB">
      <w:pPr>
        <w:pStyle w:val="BodyTextIndent"/>
        <w:autoSpaceDE w:val="0"/>
        <w:autoSpaceDN w:val="0"/>
        <w:adjustRightInd w:val="0"/>
        <w:ind w:left="709" w:right="18"/>
        <w:jc w:val="both"/>
        <w:rPr>
          <w:b w:val="0"/>
          <w:color w:val="000000" w:themeColor="text1"/>
          <w:sz w:val="24"/>
          <w:szCs w:val="24"/>
          <w:lang w:val="en-US" w:eastAsia="id-ID"/>
        </w:rPr>
      </w:pPr>
      <w:r w:rsidRPr="00DE30A6">
        <w:rPr>
          <w:b w:val="0"/>
          <w:color w:val="000000" w:themeColor="text1"/>
          <w:sz w:val="24"/>
          <w:szCs w:val="24"/>
          <w:lang w:val="en-US" w:eastAsia="id-ID"/>
        </w:rPr>
        <w:t xml:space="preserve">“Hibah adalah suatu perjanjian dengan mana penghibah,pada waktu hidupnya, dengan Cuma- cuma dan dengan tidak dapat ditarik kembali, menyerahkan sesuatu benda guna keperluan  penerima hibah yang menerima penyerahan itu.” </w:t>
      </w:r>
    </w:p>
    <w:p w:rsidR="00A818BB" w:rsidRPr="00DE30A6" w:rsidRDefault="00A818BB" w:rsidP="00A818BB">
      <w:pPr>
        <w:pStyle w:val="BodyTextIndent"/>
        <w:autoSpaceDE w:val="0"/>
        <w:autoSpaceDN w:val="0"/>
        <w:adjustRightInd w:val="0"/>
        <w:ind w:left="709" w:right="18"/>
        <w:jc w:val="both"/>
        <w:rPr>
          <w:b w:val="0"/>
          <w:color w:val="000000" w:themeColor="text1"/>
          <w:sz w:val="24"/>
          <w:szCs w:val="24"/>
          <w:lang w:val="en-US" w:eastAsia="id-ID"/>
        </w:rPr>
      </w:pP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lang w:val="en-US" w:eastAsia="id-ID"/>
        </w:rPr>
      </w:pPr>
      <w:r w:rsidRPr="00DE30A6">
        <w:rPr>
          <w:b w:val="0"/>
          <w:color w:val="000000" w:themeColor="text1"/>
          <w:sz w:val="24"/>
          <w:szCs w:val="24"/>
          <w:lang w:val="en-US" w:eastAsia="id-ID"/>
        </w:rPr>
        <w:t>Hibah hanyalah dapat berupa benda-benda yang sudah ada. Jika hibah itu meliputi benda-benda yang baru akan ada di kemudian hari maka sekadar mengenai itu hibahnya adalah batal (Pasal 1667 KUH Perdata).</w:t>
      </w:r>
      <w:r w:rsidRPr="00DE30A6">
        <w:rPr>
          <w:rStyle w:val="FootnoteReference"/>
          <w:b w:val="0"/>
          <w:color w:val="000000" w:themeColor="text1"/>
          <w:lang w:val="en-US" w:eastAsia="id-ID"/>
        </w:rPr>
        <w:footnoteReference w:id="5"/>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lang w:val="en-US"/>
        </w:rPr>
      </w:pPr>
      <w:r w:rsidRPr="00DE30A6">
        <w:rPr>
          <w:b w:val="0"/>
          <w:color w:val="000000" w:themeColor="text1"/>
          <w:sz w:val="24"/>
          <w:szCs w:val="24"/>
          <w:lang w:val="en-US" w:eastAsia="id-ID"/>
        </w:rPr>
        <w:t>Berdasarkan rumusan tersebut di atas, dapat diketahui unsur-unsur hibah sebagai berikut:</w:t>
      </w:r>
    </w:p>
    <w:p w:rsidR="00A818BB" w:rsidRPr="00DE30A6" w:rsidRDefault="00A818BB" w:rsidP="00A818BB">
      <w:pPr>
        <w:pStyle w:val="ListParagraph"/>
        <w:numPr>
          <w:ilvl w:val="3"/>
          <w:numId w:val="10"/>
        </w:numPr>
        <w:tabs>
          <w:tab w:val="clear" w:pos="2880"/>
          <w:tab w:val="num" w:pos="1080"/>
        </w:tabs>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Hibah merupakan perjanjian sepihak yang dilakukan dengan Cuma-cuma, artinya tidak ada kontra prestasi dari pihak penerima hibah.</w:t>
      </w:r>
    </w:p>
    <w:p w:rsidR="00A818BB" w:rsidRPr="00DE30A6" w:rsidRDefault="00A818BB" w:rsidP="00A818BB">
      <w:pPr>
        <w:pStyle w:val="ListParagraph"/>
        <w:numPr>
          <w:ilvl w:val="3"/>
          <w:numId w:val="10"/>
        </w:numPr>
        <w:tabs>
          <w:tab w:val="clear" w:pos="2880"/>
          <w:tab w:val="num" w:pos="1080"/>
        </w:tabs>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Dalam hibah selalu diisyaratkan bahwa penghibah mempunyai maksud untuk menguntungkan pihak yang diberi hibah.</w:t>
      </w:r>
    </w:p>
    <w:p w:rsidR="00A818BB" w:rsidRPr="00DE30A6" w:rsidRDefault="00A818BB" w:rsidP="00A818BB">
      <w:pPr>
        <w:pStyle w:val="ListParagraph"/>
        <w:numPr>
          <w:ilvl w:val="3"/>
          <w:numId w:val="10"/>
        </w:numPr>
        <w:tabs>
          <w:tab w:val="clear" w:pos="2880"/>
          <w:tab w:val="num" w:pos="1080"/>
        </w:tabs>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Objek perjanjian hibah adalah segala macam harta milik penghibah, baik benda berwujud maupun tidak berwujud, benda tetap maupun benda bergerak, termasuk juga segala macam piutang penghibah.</w:t>
      </w:r>
    </w:p>
    <w:p w:rsidR="00A818BB" w:rsidRPr="00DE30A6" w:rsidRDefault="00A818BB" w:rsidP="00A818BB">
      <w:pPr>
        <w:pStyle w:val="ListParagraph"/>
        <w:numPr>
          <w:ilvl w:val="3"/>
          <w:numId w:val="10"/>
        </w:numPr>
        <w:tabs>
          <w:tab w:val="clear" w:pos="2880"/>
          <w:tab w:val="num" w:pos="1080"/>
        </w:tabs>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 xml:space="preserve">Hibah tidak dapat ditarik kembali </w:t>
      </w:r>
    </w:p>
    <w:p w:rsidR="00A818BB" w:rsidRPr="00DE30A6" w:rsidRDefault="00A818BB" w:rsidP="00A818BB">
      <w:pPr>
        <w:pStyle w:val="ListParagraph"/>
        <w:numPr>
          <w:ilvl w:val="3"/>
          <w:numId w:val="10"/>
        </w:numPr>
        <w:tabs>
          <w:tab w:val="clear" w:pos="2880"/>
          <w:tab w:val="num" w:pos="1080"/>
        </w:tabs>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Penghibahan harus dilakukan pada waktu penghibah masih hidup.</w:t>
      </w:r>
    </w:p>
    <w:p w:rsidR="00A818BB" w:rsidRPr="00DE30A6" w:rsidRDefault="00A818BB" w:rsidP="00A818BB">
      <w:pPr>
        <w:pStyle w:val="ListParagraph"/>
        <w:numPr>
          <w:ilvl w:val="3"/>
          <w:numId w:val="10"/>
        </w:numPr>
        <w:tabs>
          <w:tab w:val="clear" w:pos="2880"/>
          <w:tab w:val="num" w:pos="1080"/>
        </w:tabs>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Pelaksanaan daripada penghibahan dapat juga dilakukan setelah penghibah meninggal dunia.</w:t>
      </w:r>
    </w:p>
    <w:p w:rsidR="00A818BB" w:rsidRPr="00DE30A6" w:rsidRDefault="00A818BB" w:rsidP="00A818BB">
      <w:pPr>
        <w:pStyle w:val="ListParagraph"/>
        <w:numPr>
          <w:ilvl w:val="3"/>
          <w:numId w:val="10"/>
        </w:numPr>
        <w:tabs>
          <w:tab w:val="clear" w:pos="2880"/>
          <w:tab w:val="num" w:pos="1080"/>
        </w:tabs>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color w:val="000000" w:themeColor="text1"/>
          <w:sz w:val="24"/>
          <w:szCs w:val="24"/>
          <w:lang w:val="en-US" w:eastAsia="id-ID"/>
        </w:rPr>
        <w:t>Hibah harus dilakukan dengan akta notaris.</w:t>
      </w:r>
      <w:r w:rsidRPr="00DE30A6">
        <w:rPr>
          <w:rStyle w:val="FootnoteReference"/>
          <w:color w:val="000000" w:themeColor="text1"/>
          <w:lang w:val="en-US" w:eastAsia="id-ID"/>
        </w:rPr>
        <w:footnoteReference w:id="6"/>
      </w:r>
    </w:p>
    <w:p w:rsidR="00A818BB" w:rsidRPr="00DE30A6" w:rsidRDefault="00A818BB" w:rsidP="00A818BB">
      <w:pPr>
        <w:autoSpaceDE w:val="0"/>
        <w:autoSpaceDN w:val="0"/>
        <w:adjustRightInd w:val="0"/>
        <w:ind w:firstLine="720"/>
        <w:jc w:val="both"/>
        <w:rPr>
          <w:noProof w:val="0"/>
          <w:color w:val="000000" w:themeColor="text1"/>
          <w:lang w:val="en-US" w:eastAsia="id-ID"/>
        </w:rPr>
      </w:pP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Perjanjian hibah diatur dalam KUH Perdata Pasal 1666 sampai dengan Pasal 1693 KUH Perdata. Pengertian hibah dinyatakan dalam Pasal 1666 KUHPerdata yang mengatakan:</w:t>
      </w:r>
    </w:p>
    <w:p w:rsidR="00A818BB" w:rsidRPr="00DE30A6" w:rsidRDefault="00A818BB" w:rsidP="00A818BB">
      <w:pPr>
        <w:pStyle w:val="ListParagraph"/>
        <w:numPr>
          <w:ilvl w:val="4"/>
          <w:numId w:val="7"/>
        </w:numPr>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lastRenderedPageBreak/>
        <w:t>Hibah adalah suatu persetujuan dengan mana si penghibah, diwaktu hidupnya, dengan cuma-cuma dan dengan tidak dapat ditarik kembali menyerahkan suatu benda guna keperluan si penerima hibah yang menerima penyerahan itu.</w:t>
      </w:r>
    </w:p>
    <w:p w:rsidR="00A818BB" w:rsidRPr="00DE30A6" w:rsidRDefault="00A818BB" w:rsidP="00A818BB">
      <w:pPr>
        <w:pStyle w:val="ListParagraph"/>
        <w:numPr>
          <w:ilvl w:val="4"/>
          <w:numId w:val="7"/>
        </w:numPr>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Undang-Undang tidak mengakui lain-lain hibah selainnya hibah-hibah diantara orang-orang yang masih hidup.</w:t>
      </w:r>
    </w:p>
    <w:p w:rsidR="00A818BB" w:rsidRPr="00DE30A6" w:rsidRDefault="00A818BB" w:rsidP="00A818BB">
      <w:pPr>
        <w:pStyle w:val="ListParagraph"/>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Dari ketentuan Pasal 1666 KUH Perdata tersebut, hibah disebutkan secara jelas sebagai suatu perjanjian, yakni perjanjian yang terjadi diantara si pemberi hibah dan si penerima hibah. Sebagai suatu perjanjian, maka dengan sendirinya hibah menimbulkan konsekuensi hukum, yakni si pemberi hibah menyerahkan dan memindahkan barang yang dihibahkan kepada si penerima hibah. Hanya dalam perjanjian hibah terdapat karakter yang bersifat sepihak, yakni hanya si pemberi hibah saja yang dibebani dengan kewajiban, sedang si penerima hibah sama sekali tidak mempunyai kewajiban apa-apa.</w:t>
      </w:r>
      <w:r w:rsidRPr="00DE30A6">
        <w:rPr>
          <w:rStyle w:val="FootnoteReference"/>
          <w:noProof w:val="0"/>
          <w:color w:val="000000" w:themeColor="text1"/>
          <w:lang w:val="en-US" w:eastAsia="id-ID"/>
        </w:rPr>
        <w:footnoteReference w:id="7"/>
      </w:r>
    </w:p>
    <w:p w:rsidR="00A818BB" w:rsidRPr="00DE30A6" w:rsidRDefault="00A818BB" w:rsidP="00A818BB">
      <w:pPr>
        <w:autoSpaceDE w:val="0"/>
        <w:autoSpaceDN w:val="0"/>
        <w:adjustRightInd w:val="0"/>
        <w:spacing w:line="456" w:lineRule="auto"/>
        <w:ind w:firstLine="720"/>
        <w:jc w:val="both"/>
        <w:rPr>
          <w:noProof w:val="0"/>
          <w:color w:val="000000" w:themeColor="text1"/>
          <w:lang w:val="en-US" w:eastAsia="id-ID"/>
        </w:rPr>
      </w:pPr>
      <w:r w:rsidRPr="00DE30A6">
        <w:rPr>
          <w:noProof w:val="0"/>
          <w:color w:val="000000" w:themeColor="text1"/>
          <w:lang w:val="en-US" w:eastAsia="id-ID"/>
        </w:rPr>
        <w:t>R. Subekti berpendapat sebagai berikut penghibahan digolongkan pada perjanjian dengan cuma-cuma (</w:t>
      </w:r>
      <w:r w:rsidRPr="00DE30A6">
        <w:rPr>
          <w:i/>
          <w:iCs/>
          <w:noProof w:val="0"/>
          <w:color w:val="000000" w:themeColor="text1"/>
          <w:lang w:val="en-US" w:eastAsia="id-ID"/>
        </w:rPr>
        <w:t>om niet</w:t>
      </w:r>
      <w:r w:rsidRPr="00DE30A6">
        <w:rPr>
          <w:noProof w:val="0"/>
          <w:color w:val="000000" w:themeColor="text1"/>
          <w:lang w:val="en-US" w:eastAsia="id-ID"/>
        </w:rPr>
        <w:t>), dimana perkataan dengan cuma-cuma itu ditunjukkan pada hanya adanya prestasi dari satu pihak saja, sedangkan pihak yang lainnya tidak usah memberikan kontra prestasi sebagai imbalan. Perjanjian yang demikian juga dinamakan perjanjian sepihak (unilateral) sebagai lawan dari perjanjian bertimbal balik (bilateral).</w:t>
      </w:r>
      <w:r w:rsidRPr="00DE30A6">
        <w:rPr>
          <w:rStyle w:val="FootnoteReference"/>
          <w:noProof w:val="0"/>
          <w:color w:val="000000" w:themeColor="text1"/>
          <w:lang w:val="en-US" w:eastAsia="id-ID"/>
        </w:rPr>
        <w:footnoteReference w:id="8"/>
      </w:r>
    </w:p>
    <w:p w:rsidR="00A818BB" w:rsidRPr="00DE30A6" w:rsidRDefault="00A818BB" w:rsidP="00A818BB">
      <w:pPr>
        <w:autoSpaceDE w:val="0"/>
        <w:autoSpaceDN w:val="0"/>
        <w:adjustRightInd w:val="0"/>
        <w:spacing w:line="456" w:lineRule="auto"/>
        <w:ind w:firstLine="720"/>
        <w:jc w:val="both"/>
        <w:rPr>
          <w:noProof w:val="0"/>
          <w:color w:val="000000" w:themeColor="text1"/>
          <w:lang w:val="en-US" w:eastAsia="id-ID"/>
        </w:rPr>
      </w:pPr>
      <w:r w:rsidRPr="00DE30A6">
        <w:rPr>
          <w:noProof w:val="0"/>
          <w:color w:val="000000" w:themeColor="text1"/>
          <w:lang w:val="en-US" w:eastAsia="id-ID"/>
        </w:rPr>
        <w:t xml:space="preserve">Pihak-pihak yang terlibat dalam perjanjian hibah meliputi penghibah dan penerima hibah.Pengibah merupakan orang yang memberikan barangnya dan si penerima hibah merupakan orang yang menerima barang dari si pemberi hibah.Pihak-pihak dalam perjanjian hubah tersebut harus memenuhi syarat-syarat </w:t>
      </w:r>
      <w:r w:rsidRPr="00DE30A6">
        <w:rPr>
          <w:noProof w:val="0"/>
          <w:color w:val="000000" w:themeColor="text1"/>
          <w:lang w:val="en-US" w:eastAsia="id-ID"/>
        </w:rPr>
        <w:lastRenderedPageBreak/>
        <w:t>kecakapan dalam perjanjian hibah. Mengenai kecakapan dalam memberi dan menerima hibah diatur dalam pasal 1676 KUHPerdata yang mengatakan bahwa :</w:t>
      </w:r>
    </w:p>
    <w:p w:rsidR="00A818BB" w:rsidRPr="00DE30A6" w:rsidRDefault="00A818BB" w:rsidP="00A818BB">
      <w:pPr>
        <w:autoSpaceDE w:val="0"/>
        <w:autoSpaceDN w:val="0"/>
        <w:adjustRightInd w:val="0"/>
        <w:ind w:left="709"/>
        <w:jc w:val="both"/>
        <w:rPr>
          <w:noProof w:val="0"/>
          <w:color w:val="000000" w:themeColor="text1"/>
          <w:lang w:val="en-US" w:eastAsia="id-ID"/>
        </w:rPr>
      </w:pPr>
      <w:r w:rsidRPr="00DE30A6">
        <w:rPr>
          <w:noProof w:val="0"/>
          <w:color w:val="000000" w:themeColor="text1"/>
          <w:lang w:val="en-US" w:eastAsia="id-ID"/>
        </w:rPr>
        <w:t>“Setiap orang diperbolehkan memberi dan menerima sesuatu sebagai hibah kecuali mereka yang oleh undang-undang dinyatakan tidak cakap untuk itu”</w:t>
      </w:r>
    </w:p>
    <w:p w:rsidR="00A818BB" w:rsidRPr="00DE30A6" w:rsidRDefault="00A818BB" w:rsidP="00A818BB">
      <w:pPr>
        <w:autoSpaceDE w:val="0"/>
        <w:autoSpaceDN w:val="0"/>
        <w:adjustRightInd w:val="0"/>
        <w:ind w:left="709"/>
        <w:jc w:val="both"/>
        <w:rPr>
          <w:noProof w:val="0"/>
          <w:color w:val="000000" w:themeColor="text1"/>
          <w:lang w:val="en-US" w:eastAsia="id-ID"/>
        </w:rPr>
      </w:pPr>
    </w:p>
    <w:p w:rsidR="00A818BB" w:rsidRPr="00DE30A6" w:rsidRDefault="00A818BB" w:rsidP="00A818BB">
      <w:pPr>
        <w:autoSpaceDE w:val="0"/>
        <w:autoSpaceDN w:val="0"/>
        <w:adjustRightInd w:val="0"/>
        <w:spacing w:line="480" w:lineRule="auto"/>
        <w:ind w:firstLine="709"/>
        <w:jc w:val="both"/>
        <w:rPr>
          <w:noProof w:val="0"/>
          <w:color w:val="000000" w:themeColor="text1"/>
          <w:lang w:val="en-US" w:eastAsia="id-ID"/>
        </w:rPr>
      </w:pPr>
      <w:r w:rsidRPr="00DE30A6">
        <w:rPr>
          <w:noProof w:val="0"/>
          <w:color w:val="000000" w:themeColor="text1"/>
          <w:lang w:val="en-US" w:eastAsia="id-ID"/>
        </w:rPr>
        <w:t>Sebaliknya dalam Pasal 1677 KUHPerdata menetapkan mengenai orang siapa saja yang tidak cakap untuk menerima hibah yaitu :</w:t>
      </w:r>
    </w:p>
    <w:p w:rsidR="00A818BB" w:rsidRPr="00DE30A6" w:rsidRDefault="00A818BB" w:rsidP="00A818BB">
      <w:pPr>
        <w:autoSpaceDE w:val="0"/>
        <w:autoSpaceDN w:val="0"/>
        <w:adjustRightInd w:val="0"/>
        <w:ind w:left="709"/>
        <w:jc w:val="both"/>
        <w:rPr>
          <w:noProof w:val="0"/>
          <w:color w:val="000000" w:themeColor="text1"/>
          <w:lang w:val="en-US" w:eastAsia="id-ID"/>
        </w:rPr>
      </w:pPr>
      <w:r w:rsidRPr="00DE30A6">
        <w:rPr>
          <w:noProof w:val="0"/>
          <w:color w:val="000000" w:themeColor="text1"/>
          <w:lang w:val="en-US" w:eastAsia="id-ID"/>
        </w:rPr>
        <w:t>“Orang-orang yang belum dewasa tidak diperbolehkan memberi hibah, kecuali dalam hal yang ditetapkan dalam bab ketujuh dari buku kesatu kitab undang-undang ini”.</w:t>
      </w:r>
    </w:p>
    <w:p w:rsidR="00A818BB" w:rsidRPr="00DE30A6" w:rsidRDefault="00A818BB" w:rsidP="00A818BB">
      <w:pPr>
        <w:autoSpaceDE w:val="0"/>
        <w:autoSpaceDN w:val="0"/>
        <w:adjustRightInd w:val="0"/>
        <w:ind w:left="709"/>
        <w:jc w:val="both"/>
        <w:rPr>
          <w:color w:val="000000" w:themeColor="text1"/>
          <w:lang w:val="en-US" w:eastAsia="id-ID"/>
        </w:rPr>
      </w:pPr>
    </w:p>
    <w:p w:rsidR="00A818BB" w:rsidRPr="00DE30A6" w:rsidRDefault="00A818BB" w:rsidP="00A818BB">
      <w:pPr>
        <w:autoSpaceDE w:val="0"/>
        <w:autoSpaceDN w:val="0"/>
        <w:adjustRightInd w:val="0"/>
        <w:spacing w:line="480" w:lineRule="auto"/>
        <w:ind w:firstLine="709"/>
        <w:jc w:val="both"/>
        <w:rPr>
          <w:noProof w:val="0"/>
          <w:color w:val="000000" w:themeColor="text1"/>
          <w:lang w:val="en-US" w:eastAsia="id-ID"/>
        </w:rPr>
      </w:pPr>
      <w:r w:rsidRPr="00DE30A6">
        <w:rPr>
          <w:noProof w:val="0"/>
          <w:color w:val="000000" w:themeColor="text1"/>
          <w:lang w:val="en-US" w:eastAsia="id-ID"/>
        </w:rPr>
        <w:t>Untuk menerima suatu hibah, diperbolehkan orang itu belum dewasa tetapi harus diwakili oleh orang tua atau wali. Pasal 1678 KUHPerdata suami-istri tidak diperbolehkan menjadi subyek dari hibah yang mengatakan bahwa :</w:t>
      </w:r>
    </w:p>
    <w:p w:rsidR="00A818BB" w:rsidRPr="00DE30A6" w:rsidRDefault="00A818BB" w:rsidP="00A818BB">
      <w:pPr>
        <w:pStyle w:val="ListParagraph"/>
        <w:numPr>
          <w:ilvl w:val="4"/>
          <w:numId w:val="13"/>
        </w:numPr>
        <w:tabs>
          <w:tab w:val="clear" w:pos="3600"/>
        </w:tabs>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Dilarang adalah penghibahan anatara suami-istri selama perkawinan.</w:t>
      </w:r>
    </w:p>
    <w:p w:rsidR="00A818BB" w:rsidRPr="00DE30A6" w:rsidRDefault="00A818BB" w:rsidP="00A818BB">
      <w:pPr>
        <w:pStyle w:val="ListParagraph"/>
        <w:numPr>
          <w:ilvl w:val="4"/>
          <w:numId w:val="13"/>
        </w:numPr>
        <w:tabs>
          <w:tab w:val="clear" w:pos="3600"/>
        </w:tabs>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Namun ketentuan ini tidak berlaku terhadap hadiah-hadiah atau pemberian benda-benda bergerak yang bertubuh, yang harganya tidak terlalu tinggi mengingat kemampuan si penghibah.</w:t>
      </w:r>
    </w:p>
    <w:p w:rsidR="00A818BB" w:rsidRPr="00DE30A6" w:rsidRDefault="00A818BB" w:rsidP="00A818BB">
      <w:pPr>
        <w:pStyle w:val="ListParagraph"/>
        <w:autoSpaceDE w:val="0"/>
        <w:autoSpaceDN w:val="0"/>
        <w:adjustRightInd w:val="0"/>
        <w:spacing w:after="0" w:line="240" w:lineRule="auto"/>
        <w:ind w:left="1080"/>
        <w:jc w:val="both"/>
        <w:rPr>
          <w:rFonts w:ascii="Times New Roman" w:hAnsi="Times New Roman" w:cs="Times New Roman"/>
          <w:noProof w:val="0"/>
          <w:color w:val="000000" w:themeColor="text1"/>
          <w:sz w:val="24"/>
          <w:szCs w:val="24"/>
          <w:lang w:val="en-US" w:eastAsia="id-ID"/>
        </w:rPr>
      </w:pP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Perjanjian hibah harus memenuhi beberapa syarat yaitu:</w:t>
      </w:r>
    </w:p>
    <w:p w:rsidR="00A818BB" w:rsidRPr="00DE30A6" w:rsidRDefault="00A818BB" w:rsidP="00A818BB">
      <w:pPr>
        <w:pStyle w:val="ListParagraph"/>
        <w:numPr>
          <w:ilvl w:val="0"/>
          <w:numId w:val="14"/>
        </w:numPr>
        <w:autoSpaceDE w:val="0"/>
        <w:autoSpaceDN w:val="0"/>
        <w:adjustRightInd w:val="0"/>
        <w:spacing w:after="0" w:line="480" w:lineRule="auto"/>
        <w:ind w:left="360"/>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Dalam hidupnya penghibah.</w:t>
      </w:r>
    </w:p>
    <w:p w:rsidR="00A818BB" w:rsidRPr="00DE30A6" w:rsidRDefault="00A818BB" w:rsidP="00A818BB">
      <w:pPr>
        <w:autoSpaceDE w:val="0"/>
        <w:autoSpaceDN w:val="0"/>
        <w:adjustRightInd w:val="0"/>
        <w:spacing w:line="480" w:lineRule="auto"/>
        <w:ind w:firstLine="709"/>
        <w:jc w:val="both"/>
        <w:rPr>
          <w:noProof w:val="0"/>
          <w:color w:val="000000" w:themeColor="text1"/>
          <w:lang w:val="en-US" w:eastAsia="id-ID"/>
        </w:rPr>
      </w:pPr>
      <w:r w:rsidRPr="00DE30A6">
        <w:rPr>
          <w:noProof w:val="0"/>
          <w:color w:val="000000" w:themeColor="text1"/>
          <w:lang w:val="en-US" w:eastAsia="id-ID"/>
        </w:rPr>
        <w:t xml:space="preserve">R. Subekti berpendapat “Perkataan “di waktu hidupnya” si penghibah adalah untuk membedakan penghibahan ini dari pemberian-pemberian yang dilakukan dalam suatu testament (surat wasiat), yang baru akan mempunyai kekuatan dan berlaku sesudah si pemberi meninggal dunia dan setiap waktu selama si penerima hibah itu masih hidup, dapat dirubah atau ditarik kembali olehnya. </w:t>
      </w:r>
    </w:p>
    <w:p w:rsidR="00A818BB" w:rsidRPr="00DE30A6" w:rsidRDefault="00A818BB" w:rsidP="00A818BB">
      <w:pPr>
        <w:autoSpaceDE w:val="0"/>
        <w:autoSpaceDN w:val="0"/>
        <w:adjustRightInd w:val="0"/>
        <w:spacing w:line="480" w:lineRule="auto"/>
        <w:ind w:firstLine="709"/>
        <w:jc w:val="both"/>
        <w:rPr>
          <w:noProof w:val="0"/>
          <w:color w:val="000000" w:themeColor="text1"/>
          <w:lang w:val="en-US" w:eastAsia="id-ID"/>
        </w:rPr>
      </w:pPr>
      <w:r w:rsidRPr="00DE30A6">
        <w:rPr>
          <w:noProof w:val="0"/>
          <w:color w:val="000000" w:themeColor="text1"/>
          <w:lang w:val="en-US" w:eastAsia="id-ID"/>
        </w:rPr>
        <w:t xml:space="preserve">Pemberian dalam </w:t>
      </w:r>
      <w:r w:rsidRPr="00DE30A6">
        <w:rPr>
          <w:i/>
          <w:iCs/>
          <w:noProof w:val="0"/>
          <w:color w:val="000000" w:themeColor="text1"/>
          <w:lang w:val="en-US" w:eastAsia="id-ID"/>
        </w:rPr>
        <w:t xml:space="preserve">testament </w:t>
      </w:r>
      <w:r w:rsidRPr="00DE30A6">
        <w:rPr>
          <w:noProof w:val="0"/>
          <w:color w:val="000000" w:themeColor="text1"/>
          <w:lang w:val="en-US" w:eastAsia="id-ID"/>
        </w:rPr>
        <w:t>itu dalam KUHPerdata dinamakan “</w:t>
      </w:r>
      <w:r w:rsidRPr="00DE30A6">
        <w:rPr>
          <w:i/>
          <w:iCs/>
          <w:noProof w:val="0"/>
          <w:color w:val="000000" w:themeColor="text1"/>
          <w:lang w:val="en-US" w:eastAsia="id-ID"/>
        </w:rPr>
        <w:t>legaat</w:t>
      </w:r>
      <w:r w:rsidRPr="00DE30A6">
        <w:rPr>
          <w:noProof w:val="0"/>
          <w:color w:val="000000" w:themeColor="text1"/>
          <w:lang w:val="en-US" w:eastAsia="id-ID"/>
        </w:rPr>
        <w:t xml:space="preserve">” (hibah wasiat) yang diatur dalam hukum waris, sedangkan penghibahan ini adalah </w:t>
      </w:r>
      <w:r w:rsidRPr="00DE30A6">
        <w:rPr>
          <w:noProof w:val="0"/>
          <w:color w:val="000000" w:themeColor="text1"/>
          <w:lang w:val="en-US" w:eastAsia="id-ID"/>
        </w:rPr>
        <w:lastRenderedPageBreak/>
        <w:t>suatu perjanjian.Karena penghibahan menurut KUHPerdata adalah suatu perjanjian, maka sudah dengan sendirinya, ia tidak boleh ditarik kembali secara sepihak oleh si penghibah”.</w:t>
      </w:r>
      <w:r w:rsidRPr="00DE30A6">
        <w:rPr>
          <w:rStyle w:val="FootnoteReference"/>
          <w:noProof w:val="0"/>
          <w:color w:val="000000" w:themeColor="text1"/>
          <w:lang w:val="en-US" w:eastAsia="id-ID"/>
        </w:rPr>
        <w:footnoteReference w:id="9"/>
      </w:r>
    </w:p>
    <w:p w:rsidR="00A818BB" w:rsidRPr="00DE30A6" w:rsidRDefault="00A818BB" w:rsidP="00A818BB">
      <w:pPr>
        <w:pStyle w:val="ListParagraph"/>
        <w:numPr>
          <w:ilvl w:val="0"/>
          <w:numId w:val="14"/>
        </w:numPr>
        <w:autoSpaceDE w:val="0"/>
        <w:autoSpaceDN w:val="0"/>
        <w:adjustRightInd w:val="0"/>
        <w:spacing w:after="0" w:line="480" w:lineRule="auto"/>
        <w:ind w:left="36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Maksud dari penghibah haruslah menguntungkan pihak yang dihibahi.</w:t>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Hibah harus diimaksudkan untuk “menguntungkan” atau menambah kekayaan pihak penerima hibah. Berarti penerima hibah menyerahkan suatu kekayaan “secara sukarela” dan “cuma-cuma” untuk dipindahkan menjadi keuntungan dan menambah harta kekayaan si penerima hibah. Dan apa yang telah diserahkan sebagai hibah, tidak dapat dicabut kembali dikemudian hari.</w:t>
      </w:r>
      <w:r w:rsidRPr="00DE30A6">
        <w:rPr>
          <w:rStyle w:val="FootnoteReference"/>
          <w:noProof w:val="0"/>
          <w:color w:val="000000" w:themeColor="text1"/>
          <w:lang w:val="en-US" w:eastAsia="id-ID"/>
        </w:rPr>
        <w:footnoteReference w:id="10"/>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Suatu hal yang menguntungkan ini harus disengajakan tidak secara kebetulan, juga harus tiada suatu kewajiban dari si pemberi hibah untuk memberikan barang itu berdasar atas perjanjian apapun juga, pun atas suatu “</w:t>
      </w:r>
      <w:r w:rsidRPr="00DE30A6">
        <w:rPr>
          <w:i/>
          <w:iCs/>
          <w:noProof w:val="0"/>
          <w:color w:val="000000" w:themeColor="text1"/>
          <w:lang w:val="en-US" w:eastAsia="id-ID"/>
        </w:rPr>
        <w:t>natuurlijke verbintenis</w:t>
      </w:r>
      <w:r w:rsidRPr="00DE30A6">
        <w:rPr>
          <w:noProof w:val="0"/>
          <w:color w:val="000000" w:themeColor="text1"/>
          <w:lang w:val="en-US" w:eastAsia="id-ID"/>
        </w:rPr>
        <w:t>” seperti kewajiban untuk membayar uang kalah dalam perjudian.</w:t>
      </w:r>
      <w:r w:rsidRPr="00DE30A6">
        <w:rPr>
          <w:rStyle w:val="FootnoteReference"/>
          <w:noProof w:val="0"/>
          <w:color w:val="000000" w:themeColor="text1"/>
          <w:lang w:val="en-US" w:eastAsia="id-ID"/>
        </w:rPr>
        <w:footnoteReference w:id="11"/>
      </w:r>
    </w:p>
    <w:p w:rsidR="00A818BB" w:rsidRPr="00DE30A6" w:rsidRDefault="00A818BB" w:rsidP="00A818BB">
      <w:pPr>
        <w:pStyle w:val="ListParagraph"/>
        <w:numPr>
          <w:ilvl w:val="0"/>
          <w:numId w:val="14"/>
        </w:numPr>
        <w:autoSpaceDE w:val="0"/>
        <w:autoSpaceDN w:val="0"/>
        <w:adjustRightInd w:val="0"/>
        <w:spacing w:after="0" w:line="480" w:lineRule="auto"/>
        <w:ind w:left="360"/>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Hal percuma (</w:t>
      </w:r>
      <w:r w:rsidRPr="00DE30A6">
        <w:rPr>
          <w:rFonts w:ascii="Times New Roman" w:hAnsi="Times New Roman" w:cs="Times New Roman"/>
          <w:i/>
          <w:iCs/>
          <w:noProof w:val="0"/>
          <w:color w:val="000000" w:themeColor="text1"/>
          <w:sz w:val="24"/>
          <w:szCs w:val="24"/>
          <w:lang w:val="en-US" w:eastAsia="id-ID"/>
        </w:rPr>
        <w:t>om niet</w:t>
      </w:r>
      <w:r w:rsidRPr="00DE30A6">
        <w:rPr>
          <w:rFonts w:ascii="Times New Roman" w:hAnsi="Times New Roman" w:cs="Times New Roman"/>
          <w:noProof w:val="0"/>
          <w:color w:val="000000" w:themeColor="text1"/>
          <w:sz w:val="24"/>
          <w:szCs w:val="24"/>
          <w:lang w:val="en-US" w:eastAsia="id-ID"/>
        </w:rPr>
        <w:t>).</w:t>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Penghibahan tersebut tidak ada kewajiban suatu pun dari pihak yang dihibahi dan berhadapan hal menguntungkan pihak yang dihibahi, tiada hal menguntungkan penghibah.</w:t>
      </w:r>
      <w:r w:rsidRPr="00DE30A6">
        <w:rPr>
          <w:rStyle w:val="FootnoteReference"/>
          <w:noProof w:val="0"/>
          <w:color w:val="000000" w:themeColor="text1"/>
          <w:lang w:val="en-US" w:eastAsia="id-ID"/>
        </w:rPr>
        <w:footnoteReference w:id="12"/>
      </w:r>
      <w:r w:rsidRPr="00DE30A6">
        <w:rPr>
          <w:noProof w:val="0"/>
          <w:color w:val="000000" w:themeColor="text1"/>
          <w:lang w:val="en-US" w:eastAsia="id-ID"/>
        </w:rPr>
        <w:t xml:space="preserve"> Perkecualian dari hal tersebut di atas adalah sebagaimana dinyatakan dalam pasal 1670 KUH Perdata yang berbunyi :</w:t>
      </w:r>
    </w:p>
    <w:p w:rsidR="00A818BB" w:rsidRPr="00DE30A6" w:rsidRDefault="00A818BB" w:rsidP="00A818BB">
      <w:pPr>
        <w:autoSpaceDE w:val="0"/>
        <w:autoSpaceDN w:val="0"/>
        <w:adjustRightInd w:val="0"/>
        <w:ind w:left="709"/>
        <w:jc w:val="both"/>
        <w:rPr>
          <w:noProof w:val="0"/>
          <w:color w:val="000000" w:themeColor="text1"/>
          <w:lang w:val="en-US" w:eastAsia="id-ID"/>
        </w:rPr>
      </w:pPr>
      <w:r w:rsidRPr="00DE30A6">
        <w:rPr>
          <w:noProof w:val="0"/>
          <w:color w:val="000000" w:themeColor="text1"/>
          <w:lang w:val="en-US" w:eastAsia="id-ID"/>
        </w:rPr>
        <w:t>Suatu hibah adalah batal, jika dibuat dengan syarat bahwa penerima hibah akan melunasi utang-utang atau beban-beban lain, selainnya yang dinyatakan dengan tegas didalam akta hibah sendiri atau didalam suatu daftar yang ditempelkan padanya”.</w:t>
      </w:r>
    </w:p>
    <w:p w:rsidR="00A818BB" w:rsidRPr="00DE30A6" w:rsidRDefault="00A818BB" w:rsidP="00A818BB">
      <w:pPr>
        <w:autoSpaceDE w:val="0"/>
        <w:autoSpaceDN w:val="0"/>
        <w:adjustRightInd w:val="0"/>
        <w:spacing w:line="480" w:lineRule="auto"/>
        <w:ind w:firstLine="709"/>
        <w:jc w:val="both"/>
        <w:rPr>
          <w:noProof w:val="0"/>
          <w:color w:val="000000" w:themeColor="text1"/>
          <w:lang w:val="en-US" w:eastAsia="id-ID"/>
        </w:rPr>
      </w:pPr>
      <w:r w:rsidRPr="00DE30A6">
        <w:rPr>
          <w:noProof w:val="0"/>
          <w:color w:val="000000" w:themeColor="text1"/>
          <w:lang w:val="en-US" w:eastAsia="id-ID"/>
        </w:rPr>
        <w:lastRenderedPageBreak/>
        <w:t>Diperbolehkan suatu penghibahan disertai syarat berupa menyuruh pihak yang dihibahi supaya membayar hutang si penghibah atau memenuhi kewajiban si penghibah terhadap orang ketiga asal syarat ini disebutkan dalam akta hibahan.</w:t>
      </w:r>
      <w:r w:rsidRPr="00DE30A6">
        <w:rPr>
          <w:rStyle w:val="FootnoteReference"/>
          <w:noProof w:val="0"/>
          <w:color w:val="000000" w:themeColor="text1"/>
          <w:lang w:val="en-US" w:eastAsia="id-ID"/>
        </w:rPr>
        <w:footnoteReference w:id="13"/>
      </w:r>
    </w:p>
    <w:p w:rsidR="00A818BB" w:rsidRPr="00DE30A6" w:rsidRDefault="00A818BB" w:rsidP="00A818BB">
      <w:pPr>
        <w:pStyle w:val="ListParagraph"/>
        <w:numPr>
          <w:ilvl w:val="0"/>
          <w:numId w:val="14"/>
        </w:numPr>
        <w:autoSpaceDE w:val="0"/>
        <w:autoSpaceDN w:val="0"/>
        <w:adjustRightInd w:val="0"/>
        <w:spacing w:after="0" w:line="480" w:lineRule="auto"/>
        <w:ind w:left="36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Ketiadaan kemungkinan menarik kembali</w:t>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Sebagai suatu perjanjian, hibah (</w:t>
      </w:r>
      <w:r w:rsidRPr="00DE30A6">
        <w:rPr>
          <w:i/>
          <w:iCs/>
          <w:noProof w:val="0"/>
          <w:color w:val="000000" w:themeColor="text1"/>
          <w:lang w:val="en-US" w:eastAsia="id-ID"/>
        </w:rPr>
        <w:t>schenking</w:t>
      </w:r>
      <w:r w:rsidRPr="00DE30A6">
        <w:rPr>
          <w:noProof w:val="0"/>
          <w:color w:val="000000" w:themeColor="text1"/>
          <w:lang w:val="en-US" w:eastAsia="id-ID"/>
        </w:rPr>
        <w:t>) itu seketika mengikat dan tidak dapat dicabut kembali begitu saja menurut kehendak suatu pihak saja. Jadi berlainan sekali sifatnya dengan hibah wasiat atau suatu pemberian dalam suatu testament yang baru memperoleh kekuasaan mutlak apabila orang yang memberikan benda sudah meninggal dunia dan sebelumnya ia selalu dapat menarik kembali.</w:t>
      </w:r>
      <w:r w:rsidRPr="00DE30A6">
        <w:rPr>
          <w:rStyle w:val="FootnoteReference"/>
          <w:noProof w:val="0"/>
          <w:color w:val="000000" w:themeColor="text1"/>
          <w:lang w:val="en-US" w:eastAsia="id-ID"/>
        </w:rPr>
        <w:footnoteReference w:id="14"/>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Pasal 1666 KUHPerdata bahwa hal penghibahan juga tidak dapat diperjanjikan semula bahwa si penghibah dapat menarik kembali penghibahan tanpa izin pihak yang dihibahi.</w:t>
      </w:r>
      <w:r w:rsidRPr="00DE30A6">
        <w:rPr>
          <w:rStyle w:val="FootnoteReference"/>
          <w:noProof w:val="0"/>
          <w:color w:val="000000" w:themeColor="text1"/>
          <w:lang w:val="en-US" w:eastAsia="id-ID"/>
        </w:rPr>
        <w:footnoteReference w:id="15"/>
      </w:r>
    </w:p>
    <w:p w:rsidR="00A818BB" w:rsidRPr="00DE30A6" w:rsidRDefault="00A818BB" w:rsidP="00A818BB">
      <w:pPr>
        <w:pStyle w:val="ListParagraph"/>
        <w:numPr>
          <w:ilvl w:val="0"/>
          <w:numId w:val="14"/>
        </w:numPr>
        <w:autoSpaceDE w:val="0"/>
        <w:autoSpaceDN w:val="0"/>
        <w:adjustRightInd w:val="0"/>
        <w:spacing w:after="0" w:line="480" w:lineRule="auto"/>
        <w:ind w:left="36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Meliputi barang-barang yang pada waktu itu menjadi milik penghibah, bila belum menjadi milik adalah batal.</w:t>
      </w:r>
    </w:p>
    <w:p w:rsidR="00A818BB" w:rsidRPr="00DE30A6" w:rsidRDefault="00A818BB" w:rsidP="00A818BB">
      <w:pPr>
        <w:pStyle w:val="ListParagraph"/>
        <w:autoSpaceDE w:val="0"/>
        <w:autoSpaceDN w:val="0"/>
        <w:adjustRightInd w:val="0"/>
        <w:spacing w:after="0" w:line="480" w:lineRule="auto"/>
        <w:ind w:left="360"/>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Penghibahan hanya mengenai barang-barang yang sudah ada, jika hibah meliputi barang-barang yang baru akan ada di kemudian hari, maka hibah itu akan batal. Dalam hal ini diatur dalam pasal 1667 KUHPerdata yang menyatakan:</w:t>
      </w:r>
    </w:p>
    <w:p w:rsidR="00A818BB" w:rsidRPr="00DE30A6" w:rsidRDefault="00A818BB" w:rsidP="00A818BB">
      <w:pPr>
        <w:pStyle w:val="ListParagraph"/>
        <w:numPr>
          <w:ilvl w:val="0"/>
          <w:numId w:val="15"/>
        </w:numPr>
        <w:tabs>
          <w:tab w:val="left" w:pos="993"/>
        </w:tabs>
        <w:autoSpaceDE w:val="0"/>
        <w:autoSpaceDN w:val="0"/>
        <w:adjustRightInd w:val="0"/>
        <w:spacing w:after="0"/>
        <w:ind w:left="993" w:hanging="284"/>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Hibah hanya dapat mengenai benda-benda yang sudah ada.</w:t>
      </w:r>
    </w:p>
    <w:p w:rsidR="00A818BB" w:rsidRPr="00DE30A6" w:rsidRDefault="00A818BB" w:rsidP="00A818BB">
      <w:pPr>
        <w:pStyle w:val="ListParagraph"/>
        <w:numPr>
          <w:ilvl w:val="0"/>
          <w:numId w:val="15"/>
        </w:numPr>
        <w:tabs>
          <w:tab w:val="left" w:pos="993"/>
        </w:tabs>
        <w:autoSpaceDE w:val="0"/>
        <w:autoSpaceDN w:val="0"/>
        <w:adjustRightInd w:val="0"/>
        <w:spacing w:after="0"/>
        <w:ind w:left="993" w:hanging="284"/>
        <w:jc w:val="both"/>
        <w:rPr>
          <w:rFonts w:ascii="Times New Roman" w:hAnsi="Times New Roman" w:cs="Times New Roman"/>
          <w:noProof w:val="0"/>
          <w:color w:val="000000" w:themeColor="text1"/>
          <w:sz w:val="24"/>
          <w:szCs w:val="24"/>
          <w:lang w:val="en-US" w:eastAsia="id-ID"/>
        </w:rPr>
      </w:pPr>
      <w:r w:rsidRPr="00DE30A6">
        <w:rPr>
          <w:rFonts w:ascii="Times New Roman" w:hAnsi="Times New Roman" w:cs="Times New Roman"/>
          <w:noProof w:val="0"/>
          <w:color w:val="000000" w:themeColor="text1"/>
          <w:sz w:val="24"/>
          <w:szCs w:val="24"/>
          <w:lang w:val="en-US" w:eastAsia="id-ID"/>
        </w:rPr>
        <w:t>Jika hibah meliputi benda-benda yang akan ada dikemudian hari maka sekedar mengenai itu hibahnya adalah batal.</w:t>
      </w:r>
    </w:p>
    <w:p w:rsidR="00A818BB" w:rsidRPr="00DE30A6" w:rsidRDefault="00A818BB" w:rsidP="00A818BB">
      <w:pPr>
        <w:pStyle w:val="ListParagraph"/>
        <w:tabs>
          <w:tab w:val="left" w:pos="993"/>
        </w:tabs>
        <w:autoSpaceDE w:val="0"/>
        <w:autoSpaceDN w:val="0"/>
        <w:adjustRightInd w:val="0"/>
        <w:spacing w:after="0"/>
        <w:ind w:left="993"/>
        <w:jc w:val="both"/>
        <w:rPr>
          <w:rFonts w:ascii="Times New Roman" w:hAnsi="Times New Roman" w:cs="Times New Roman"/>
          <w:noProof w:val="0"/>
          <w:color w:val="000000" w:themeColor="text1"/>
          <w:sz w:val="24"/>
          <w:szCs w:val="24"/>
          <w:lang w:val="en-US" w:eastAsia="id-ID"/>
        </w:rPr>
      </w:pPr>
    </w:p>
    <w:p w:rsidR="00A818BB" w:rsidRPr="00DE30A6" w:rsidRDefault="00A818BB" w:rsidP="00A818BB">
      <w:pPr>
        <w:autoSpaceDE w:val="0"/>
        <w:autoSpaceDN w:val="0"/>
        <w:adjustRightInd w:val="0"/>
        <w:spacing w:line="480" w:lineRule="auto"/>
        <w:ind w:firstLine="709"/>
        <w:jc w:val="both"/>
        <w:rPr>
          <w:noProof w:val="0"/>
          <w:color w:val="000000" w:themeColor="text1"/>
          <w:lang w:val="en-US" w:eastAsia="id-ID"/>
        </w:rPr>
      </w:pPr>
      <w:r w:rsidRPr="00DE30A6">
        <w:rPr>
          <w:noProof w:val="0"/>
          <w:color w:val="000000" w:themeColor="text1"/>
          <w:lang w:val="en-US" w:eastAsia="id-ID"/>
        </w:rPr>
        <w:lastRenderedPageBreak/>
        <w:t>Berdasarkan ketentuan ini maka jika dihibahkan suatu barang yang sudah ada bersama-sama dengan suatu barang lain yang baru akan ada di kemudian hari penghibahan yang mengenai barang yang pertama adalah sah, tetapi mengenai barang yang kedua adalah tidak sah.</w:t>
      </w:r>
      <w:r w:rsidRPr="00DE30A6">
        <w:rPr>
          <w:rStyle w:val="FootnoteReference"/>
          <w:noProof w:val="0"/>
          <w:color w:val="000000" w:themeColor="text1"/>
          <w:lang w:val="en-US" w:eastAsia="id-ID"/>
        </w:rPr>
        <w:footnoteReference w:id="16"/>
      </w:r>
      <w:r w:rsidRPr="00DE30A6">
        <w:rPr>
          <w:noProof w:val="0"/>
          <w:color w:val="000000" w:themeColor="text1"/>
          <w:lang w:val="en-US" w:eastAsia="id-ID"/>
        </w:rPr>
        <w:t>R.M Suryodiningrat berpendapat mengenai pasal ini bahwa benda-benda yang sudah ada yang dapat dihibahkan, baik benda bergerak maupun benda yang tidak bergerak.</w:t>
      </w:r>
      <w:r w:rsidRPr="00DE30A6">
        <w:rPr>
          <w:rStyle w:val="FootnoteReference"/>
          <w:noProof w:val="0"/>
          <w:color w:val="000000" w:themeColor="text1"/>
          <w:lang w:val="en-US" w:eastAsia="id-ID"/>
        </w:rPr>
        <w:footnoteReference w:id="17"/>
      </w:r>
    </w:p>
    <w:p w:rsidR="00A818BB" w:rsidRPr="00DE30A6" w:rsidRDefault="00A818BB" w:rsidP="00A818BB">
      <w:pPr>
        <w:pStyle w:val="BodyTextIndent"/>
        <w:tabs>
          <w:tab w:val="left" w:pos="1080"/>
          <w:tab w:val="left" w:pos="1260"/>
          <w:tab w:val="left" w:leader="dot" w:pos="7088"/>
          <w:tab w:val="center" w:pos="7797"/>
        </w:tabs>
        <w:autoSpaceDE w:val="0"/>
        <w:autoSpaceDN w:val="0"/>
        <w:adjustRightInd w:val="0"/>
        <w:ind w:left="360"/>
        <w:jc w:val="both"/>
        <w:rPr>
          <w:color w:val="000000" w:themeColor="text1"/>
          <w:sz w:val="24"/>
          <w:szCs w:val="24"/>
          <w:lang w:eastAsia="id-ID"/>
        </w:rPr>
      </w:pPr>
    </w:p>
    <w:p w:rsidR="00A818BB" w:rsidRPr="00DE30A6" w:rsidRDefault="00A818BB" w:rsidP="00A818BB">
      <w:pPr>
        <w:pStyle w:val="BodyTextIndent"/>
        <w:numPr>
          <w:ilvl w:val="0"/>
          <w:numId w:val="13"/>
        </w:numPr>
        <w:tabs>
          <w:tab w:val="clear" w:pos="720"/>
          <w:tab w:val="num" w:pos="360"/>
          <w:tab w:val="left" w:pos="1080"/>
          <w:tab w:val="left" w:pos="1260"/>
          <w:tab w:val="left" w:leader="dot" w:pos="7088"/>
          <w:tab w:val="center" w:pos="7797"/>
        </w:tabs>
        <w:autoSpaceDE w:val="0"/>
        <w:autoSpaceDN w:val="0"/>
        <w:adjustRightInd w:val="0"/>
        <w:spacing w:line="480" w:lineRule="auto"/>
        <w:ind w:left="360"/>
        <w:jc w:val="both"/>
        <w:rPr>
          <w:color w:val="000000" w:themeColor="text1"/>
          <w:sz w:val="24"/>
          <w:szCs w:val="24"/>
          <w:lang w:eastAsia="id-ID"/>
        </w:rPr>
      </w:pPr>
      <w:r w:rsidRPr="00DE30A6">
        <w:rPr>
          <w:color w:val="000000" w:themeColor="text1"/>
          <w:sz w:val="24"/>
          <w:szCs w:val="24"/>
          <w:lang w:eastAsia="id-ID"/>
        </w:rPr>
        <w:t>Kewenangan Notaris Dalam Pembuatan Akta Perjanjian Hibah</w:t>
      </w:r>
    </w:p>
    <w:p w:rsidR="00A818BB" w:rsidRPr="00DE30A6" w:rsidRDefault="00A818BB" w:rsidP="00A818BB">
      <w:pPr>
        <w:autoSpaceDE w:val="0"/>
        <w:autoSpaceDN w:val="0"/>
        <w:adjustRightInd w:val="0"/>
        <w:spacing w:line="480" w:lineRule="auto"/>
        <w:ind w:firstLine="720"/>
        <w:jc w:val="both"/>
        <w:rPr>
          <w:color w:val="000000" w:themeColor="text1"/>
          <w:lang w:val="en-US" w:eastAsia="id-ID"/>
        </w:rPr>
      </w:pPr>
      <w:r w:rsidRPr="00DE30A6">
        <w:rPr>
          <w:noProof w:val="0"/>
          <w:color w:val="000000" w:themeColor="text1"/>
          <w:lang w:val="en-US" w:eastAsia="id-ID"/>
        </w:rPr>
        <w:t xml:space="preserve">Hibah memiliki arti yaitu pemberian yang dilakukan cuma-cuma atau sebagai hadiah untuk seseorang. Peristiwa hibah dapat juga dijadikan suatu fungsi sosial didalam kehidupan bermasyarakat, apabali jika terjadi permasalah didalam pewarisan tanah nantinya akan dapat diselesaikan melalui cara hibah. Namun, tidak hanya masalah pewarisan tanah, barang bergerak juga termasuk didalamnya.Dasar seseorang memberikan hibah adalah atas kepercayaannya kepada seseorang </w:t>
      </w:r>
      <w:r w:rsidRPr="00DE30A6">
        <w:rPr>
          <w:color w:val="000000" w:themeColor="text1"/>
          <w:lang w:val="en-US" w:eastAsia="id-ID"/>
        </w:rPr>
        <w:t>untuk menjaga barang miliknya kelak, yang diikat oleh perjanjian.</w:t>
      </w:r>
      <w:r w:rsidRPr="00DE30A6">
        <w:rPr>
          <w:rStyle w:val="FootnoteReference"/>
          <w:color w:val="000000" w:themeColor="text1"/>
          <w:lang w:val="en-US" w:eastAsia="id-ID"/>
        </w:rPr>
        <w:footnoteReference w:id="18"/>
      </w:r>
    </w:p>
    <w:p w:rsidR="00A818BB" w:rsidRPr="00DE30A6" w:rsidRDefault="00A818BB" w:rsidP="00A818BB">
      <w:pPr>
        <w:autoSpaceDE w:val="0"/>
        <w:autoSpaceDN w:val="0"/>
        <w:adjustRightInd w:val="0"/>
        <w:spacing w:line="480" w:lineRule="auto"/>
        <w:ind w:firstLine="720"/>
        <w:jc w:val="both"/>
        <w:rPr>
          <w:color w:val="000000" w:themeColor="text1"/>
          <w:lang w:val="en-US" w:eastAsia="id-ID"/>
        </w:rPr>
      </w:pPr>
      <w:r w:rsidRPr="00DE30A6">
        <w:rPr>
          <w:noProof w:val="0"/>
          <w:color w:val="000000" w:themeColor="text1"/>
          <w:lang w:val="en-US" w:eastAsia="id-ID"/>
        </w:rPr>
        <w:t>Hibah merupakan suatu pemberian yang dilakukan oleh seseorang kepada seseorang lainnya pada waktu masih hidup.Pemberian hibah merupakan pemberian suatu harta kekayaan yang memiliki sifat bergerak maupun tidak bergerak, dengan ini yang memberikan hibah dinamakan sebagai pemberi hibah.</w:t>
      </w:r>
      <w:r w:rsidRPr="00DE30A6">
        <w:rPr>
          <w:rStyle w:val="FootnoteReference"/>
          <w:noProof w:val="0"/>
          <w:color w:val="000000" w:themeColor="text1"/>
          <w:lang w:val="en-US" w:eastAsia="id-ID"/>
        </w:rPr>
        <w:footnoteReference w:id="19"/>
      </w:r>
      <w:r w:rsidRPr="00DE30A6">
        <w:rPr>
          <w:noProof w:val="0"/>
          <w:color w:val="000000" w:themeColor="text1"/>
          <w:lang w:val="en-US" w:eastAsia="id-ID"/>
        </w:rPr>
        <w:t xml:space="preserve"> </w:t>
      </w:r>
      <w:r w:rsidRPr="00DE30A6">
        <w:rPr>
          <w:noProof w:val="0"/>
          <w:color w:val="000000" w:themeColor="text1"/>
          <w:lang w:val="en-US" w:eastAsia="id-ID"/>
        </w:rPr>
        <w:lastRenderedPageBreak/>
        <w:t>Semasa masih hidup seseorang yang telah cakap berbuat hukum dapat melakukan hibah kepada seseorang, dengan memberikan berupa barang yang asalnya adalah kepemilikan pribadi atau sudah atas nama pribadi.</w:t>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 xml:space="preserve">Hibah didalamnya terdapat karakter yang sifatnya sepihak, karena beban kewajiban hanya dibebani oleh pemberi hibah, sedangkan penerima hibah tidak mempunyai kewajiban. Hibah dikatakan dalam bahasa Belanda sebagai </w:t>
      </w:r>
      <w:r w:rsidRPr="00DE30A6">
        <w:rPr>
          <w:i/>
          <w:iCs/>
          <w:noProof w:val="0"/>
          <w:color w:val="000000" w:themeColor="text1"/>
          <w:lang w:val="en-US" w:eastAsia="id-ID"/>
        </w:rPr>
        <w:t>schenking</w:t>
      </w:r>
      <w:r w:rsidRPr="00DE30A6">
        <w:rPr>
          <w:noProof w:val="0"/>
          <w:color w:val="000000" w:themeColor="text1"/>
          <w:lang w:val="en-US" w:eastAsia="id-ID"/>
        </w:rPr>
        <w:t>, yang merupakan tindakan sepihak oleh seseorang kepada seseorang dengan menyerahkan hartanya dengan cuma-cuma melalui dan berdasarkan perjanjian hibah yang dibuat oleh dan dihadapan Notaris, perjanjian hibah mana dikatakan perjanjian sepihak (unilateral) yang lawannya adalah perjanjian timbal balik (bilateral), dengan perjanjian sepihak ini maka seseorang yang diserahkan harta secara cuma-cuma harus dapat menerima dan bersedia untuk memelihara apa yang telah diberikan oleh seseorang tersebut berdasarkan perjanjian hibah.</w:t>
      </w:r>
      <w:r w:rsidRPr="00DE30A6">
        <w:rPr>
          <w:rStyle w:val="FootnoteReference"/>
          <w:noProof w:val="0"/>
          <w:color w:val="000000" w:themeColor="text1"/>
          <w:lang w:val="en-US" w:eastAsia="id-ID"/>
        </w:rPr>
        <w:footnoteReference w:id="20"/>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Penghibahan mulai terjadi ketika anak-anak telah beranjak dewasa atau sudah mulai berdiri dan telah mencapai kesuksesan dalam hidupnya, dengan memiliki segenap harta benda bergerak/tidak bergerak yang akan di investasikan dan dihibahkan kepada seseorang nantinya sepanjang masih hidup. Penyebab terjadinya hibah juga dikarenakan rasa kekhawatiran yang dimiliki ketika kenyataannya bahwa ibu dari anak-anak adalah merupakan ibu tiri atau ibu sambung dan juga adanya anak angkat yang tidak termasuk ahli waris.</w:t>
      </w:r>
      <w:r w:rsidRPr="00DE30A6">
        <w:rPr>
          <w:rStyle w:val="FootnoteReference"/>
          <w:noProof w:val="0"/>
          <w:color w:val="000000" w:themeColor="text1"/>
          <w:lang w:val="en-US" w:eastAsia="id-ID"/>
        </w:rPr>
        <w:footnoteReference w:id="21"/>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 xml:space="preserve">Hibah dilakukan oleh seseorang yang cakap berbuat hukum dan tidak dipaksa oleh orang lain, harus terjadi murni dari diri sendiri, dalam perbuatan </w:t>
      </w:r>
      <w:r w:rsidRPr="00DE30A6">
        <w:rPr>
          <w:noProof w:val="0"/>
          <w:color w:val="000000" w:themeColor="text1"/>
          <w:lang w:val="en-US" w:eastAsia="id-ID"/>
        </w:rPr>
        <w:lastRenderedPageBreak/>
        <w:t>hukum dikatakan sebagai pemindahan hak milik yang harus dilakukan semasa masih hidup. Pemindahan tersebut dilakukan secara cuma-cuma bukan secara jual beli.</w:t>
      </w:r>
      <w:r w:rsidRPr="00DE30A6">
        <w:rPr>
          <w:rStyle w:val="FootnoteReference"/>
          <w:noProof w:val="0"/>
          <w:color w:val="000000" w:themeColor="text1"/>
          <w:lang w:val="en-US" w:eastAsia="id-ID"/>
        </w:rPr>
        <w:footnoteReference w:id="22"/>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Perjanjian antara penghibah dengan penerima hibah dilakukan oleh mereka pada waktu masih hidup dan telah cakap melakukan perbuatan hukum, pelaksanaan pemberian hibah yang dilakukan dengan cara cuma-Cuma. Dimana orang yang nantinya telah diberikan tidak akan bisa diminta lagi, penyerahan tersebut tidak lain adalah untuk keperluan penerima hibah, yang sesuai dengan ketentuan yang dicantumkan pada Pasal 1666 KUHPerdata.</w:t>
      </w:r>
      <w:r w:rsidRPr="00DE30A6">
        <w:rPr>
          <w:rStyle w:val="FootnoteReference"/>
          <w:noProof w:val="0"/>
          <w:color w:val="000000" w:themeColor="text1"/>
          <w:lang w:val="en-US" w:eastAsia="id-ID"/>
        </w:rPr>
        <w:footnoteReference w:id="23"/>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Hibah merupakan peristiwa pemberian dimana pemberian ini diberikan oleh seseorang yang disebut sebagai penghibah kepada orang lain ketika penghibah tersebut masih dalam keadaan hidup dan juga dilaksanakan pada saat penghibah masih dalam keaadan hidup. Peristiwa penghibahan dibuat berdasarkan perjanjian hibah. Terhadap anggota keluarga yang tidak menerima pemberian tersebut , tidak pernah mencela, karena pada dasarnya seluruh harta benda kekayaan yang dimiliki oleh seseorang adalah hak seutuhnya bahwa pemilik harta kekayaan tersebut yang bisa dengan leluasa memberikan harta kekayaannya kepada siapa pun.</w:t>
      </w:r>
      <w:r w:rsidRPr="00DE30A6">
        <w:rPr>
          <w:rStyle w:val="FootnoteReference"/>
          <w:noProof w:val="0"/>
          <w:color w:val="000000" w:themeColor="text1"/>
          <w:lang w:val="en-US" w:eastAsia="id-ID"/>
        </w:rPr>
        <w:footnoteReference w:id="24"/>
      </w:r>
    </w:p>
    <w:p w:rsidR="00A818BB" w:rsidRPr="00DE30A6" w:rsidRDefault="00A818BB" w:rsidP="00A818BB">
      <w:pPr>
        <w:autoSpaceDE w:val="0"/>
        <w:autoSpaceDN w:val="0"/>
        <w:adjustRightInd w:val="0"/>
        <w:spacing w:line="504" w:lineRule="auto"/>
        <w:ind w:firstLine="720"/>
        <w:jc w:val="both"/>
        <w:rPr>
          <w:noProof w:val="0"/>
          <w:color w:val="000000" w:themeColor="text1"/>
          <w:lang w:val="en-US" w:eastAsia="id-ID"/>
        </w:rPr>
      </w:pPr>
      <w:r w:rsidRPr="00DE30A6">
        <w:rPr>
          <w:noProof w:val="0"/>
          <w:color w:val="000000" w:themeColor="text1"/>
          <w:lang w:val="en-US" w:eastAsia="id-ID"/>
        </w:rPr>
        <w:t xml:space="preserve">Pasal 1666 KUHPerdata yang telah mengatur mengenai pengertian hibah yakni terjadinya proses pemberian sesuatu barang hak milik penghibah kepada </w:t>
      </w:r>
      <w:r w:rsidRPr="00DE30A6">
        <w:rPr>
          <w:noProof w:val="0"/>
          <w:color w:val="000000" w:themeColor="text1"/>
          <w:lang w:val="en-US" w:eastAsia="id-ID"/>
        </w:rPr>
        <w:lastRenderedPageBreak/>
        <w:t>yang dihibahkan. Jika akan terjadinya suatu proses hibah, maka terjadinya suatu perjanjian yang dilakukan oleh penghibah dan yang dihibahkan dalam suatu perjanjian tertulis dan dilakukan di hadapan pejabat yang berwenang. Hibah atas tanah yang akan dilakukan oleh penghibah kepada yang dihibahkan tetap dilakukan dengan sebuah perjanjian tertulis yang dilakukan oleh dan dihadapan Notaris dan juga PPAT.</w:t>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Pasal 1671 KUHPerdata mengatur bahwa penghibah membuat janji akan selalu berkuasa terhadap sekumpulan uang yang digunakan atas barang-barang yang dihibahkan, namun apabila penghibah telah meninggal sebelum penggunaan uang tersebut, maka uang beserta barang yang dihibahkan menjadi milik orang yang dihibahkan. Dalam hal ini klausula tersebut akan menjadi wewenang Notaris untuk memasukkan ke dalam perjanjian hibah yang akan menjadi klausula di dalam perjanjian. Hal ini akan dimasukkan apabila obyek tanah yang akan dihibahkan suatu saat nanti akan dijual dan hasil dari penjualan tanah tersebut akan boleh dinikmati oleh pemberi hibah selama pemberi hibah masih hidup.</w:t>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Pasal 1672 KUHPerdata menyebutkan bahwa :</w:t>
      </w:r>
    </w:p>
    <w:p w:rsidR="00A818BB" w:rsidRPr="00DE30A6" w:rsidRDefault="00A818BB" w:rsidP="00A818BB">
      <w:pPr>
        <w:autoSpaceDE w:val="0"/>
        <w:autoSpaceDN w:val="0"/>
        <w:adjustRightInd w:val="0"/>
        <w:ind w:left="709"/>
        <w:jc w:val="both"/>
        <w:rPr>
          <w:noProof w:val="0"/>
          <w:color w:val="000000" w:themeColor="text1"/>
          <w:lang w:val="en-US" w:eastAsia="id-ID"/>
        </w:rPr>
      </w:pPr>
      <w:r w:rsidRPr="00DE30A6">
        <w:rPr>
          <w:noProof w:val="0"/>
          <w:color w:val="000000" w:themeColor="text1"/>
          <w:lang w:val="en-US" w:eastAsia="id-ID"/>
        </w:rPr>
        <w:t>Penghibah berhak untuk mengambil kembali obyek yang dihibahkan apabila orang yang dihibahkan dan keturunan dari penerima hibah telah meninggal dunia mendahului si penghibah, dengan ketentuan dibuatkan akta perjanjian baru dengan kesepakatan pihak-pihak.</w:t>
      </w:r>
    </w:p>
    <w:p w:rsidR="00A818BB" w:rsidRPr="00DE30A6" w:rsidRDefault="00A818BB" w:rsidP="00A818BB">
      <w:pPr>
        <w:autoSpaceDE w:val="0"/>
        <w:autoSpaceDN w:val="0"/>
        <w:adjustRightInd w:val="0"/>
        <w:ind w:left="709"/>
        <w:jc w:val="both"/>
        <w:rPr>
          <w:noProof w:val="0"/>
          <w:color w:val="000000" w:themeColor="text1"/>
          <w:lang w:val="en-US" w:eastAsia="id-ID"/>
        </w:rPr>
      </w:pP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Notaris berwenang berdasarkan Pasal 1672 KUHPerdata membuatkan perjanjian baru apabila berdasarkan kejadian penerima hibah dan keturunannya meninggal dunia mendahului pemberi hibah.</w:t>
      </w:r>
    </w:p>
    <w:p w:rsidR="00A818BB" w:rsidRPr="00DE30A6" w:rsidRDefault="00A818BB" w:rsidP="00A818BB">
      <w:pPr>
        <w:autoSpaceDE w:val="0"/>
        <w:autoSpaceDN w:val="0"/>
        <w:adjustRightInd w:val="0"/>
        <w:spacing w:line="480" w:lineRule="auto"/>
        <w:ind w:firstLine="720"/>
        <w:jc w:val="both"/>
        <w:rPr>
          <w:noProof w:val="0"/>
          <w:color w:val="000000" w:themeColor="text1"/>
          <w:lang w:val="en-US" w:eastAsia="id-ID"/>
        </w:rPr>
      </w:pPr>
      <w:r w:rsidRPr="00DE30A6">
        <w:rPr>
          <w:noProof w:val="0"/>
          <w:color w:val="000000" w:themeColor="text1"/>
          <w:lang w:val="en-US" w:eastAsia="id-ID"/>
        </w:rPr>
        <w:t>Sesuai ketentuan yang berlaku dalam Pasal 1683 KUHPerdata disebutkan :</w:t>
      </w:r>
    </w:p>
    <w:p w:rsidR="00A818BB" w:rsidRPr="00DE30A6" w:rsidRDefault="00A818BB" w:rsidP="00A818BB">
      <w:pPr>
        <w:autoSpaceDE w:val="0"/>
        <w:autoSpaceDN w:val="0"/>
        <w:adjustRightInd w:val="0"/>
        <w:ind w:left="709"/>
        <w:jc w:val="both"/>
        <w:rPr>
          <w:noProof w:val="0"/>
          <w:color w:val="000000" w:themeColor="text1"/>
          <w:lang w:val="en-US" w:eastAsia="id-ID"/>
        </w:rPr>
      </w:pPr>
      <w:r w:rsidRPr="00DE30A6">
        <w:rPr>
          <w:noProof w:val="0"/>
          <w:color w:val="000000" w:themeColor="text1"/>
          <w:lang w:val="en-US" w:eastAsia="id-ID"/>
        </w:rPr>
        <w:lastRenderedPageBreak/>
        <w:t>“Tiada suatu hibah mengikat si penghibah, atau menerbitkan sesuatu akibat yang bagaimanapun, selain mulai dari penghibahan itu dengan kata-kata yang tegas telah diterima oleh si penerima hibah sendiri atau oleh seseorang yang dengan suatu akta otentik oleh si penerima hibah itu telah dikuasakan untuk menerima penghibahan-penghibahan yang telah diberikan kepada si penerima hibah atau akan diberikan kepadanya di kemudian hari. Jika penerimaan tersebut tidak telah dilakukan di dalam surat hibah sendiri, maka itu akan dapat dilakukan di dalam suatu akta otentik terkemudian, yang aslinya harus disimpan, asal yang demikian itu dilakukan di waktu si penghibah masih hidup, dalam hal mana penghibahan, terhadap orang yang belakangan disebut ini, hanya akan berlaku sejak hari penerimaan itu diberitahukan kepadanya”.</w:t>
      </w:r>
    </w:p>
    <w:p w:rsidR="00A818BB" w:rsidRPr="00DE30A6" w:rsidRDefault="00A818BB" w:rsidP="00A818BB">
      <w:pPr>
        <w:autoSpaceDE w:val="0"/>
        <w:autoSpaceDN w:val="0"/>
        <w:adjustRightInd w:val="0"/>
        <w:ind w:firstLine="709"/>
        <w:rPr>
          <w:noProof w:val="0"/>
          <w:color w:val="000000" w:themeColor="text1"/>
          <w:lang w:val="en-US" w:eastAsia="id-ID"/>
        </w:rPr>
      </w:pPr>
    </w:p>
    <w:p w:rsidR="00A818BB" w:rsidRPr="00DE30A6" w:rsidRDefault="00A818BB" w:rsidP="00A818BB">
      <w:pPr>
        <w:autoSpaceDE w:val="0"/>
        <w:autoSpaceDN w:val="0"/>
        <w:adjustRightInd w:val="0"/>
        <w:spacing w:line="480" w:lineRule="auto"/>
        <w:ind w:firstLine="709"/>
        <w:jc w:val="both"/>
        <w:rPr>
          <w:noProof w:val="0"/>
          <w:color w:val="000000" w:themeColor="text1"/>
          <w:lang w:val="en-US" w:eastAsia="id-ID"/>
        </w:rPr>
      </w:pPr>
      <w:r w:rsidRPr="00DE30A6">
        <w:rPr>
          <w:noProof w:val="0"/>
          <w:color w:val="000000" w:themeColor="text1"/>
          <w:lang w:val="en-US" w:eastAsia="id-ID"/>
        </w:rPr>
        <w:t>Bedasarkan penjelasan diatas dinyatakan bahwa peristiwa hibah terjadi jika tidak disertai dengan serah terima barang kepada sang penerima hibah (tunai) haruslah dilakukan penerimaan terlebih dahulu oleh sang penerima hibah supaya terikat dengan sang pelaku hibah. Penerimaan tersebut dilaksanakan dari sang penerima hibah atau dari seorang kuasa di hadapan Notaris. Barang tersebut bergerak sebagaimana dimaksud dalam Pasal 1687, dimana didalam pasal tersebut dikatakan bahwa barang dapat dihibahkan tanpa harus disertai penyerahan secara tunai, namun, peristiwa hibah haruslah dilaksanakan didalam akta, sedangkan penyerahan barangnya akan dilaksanakan setelahnya.</w:t>
      </w:r>
    </w:p>
    <w:p w:rsidR="00A818BB" w:rsidRPr="00DE30A6" w:rsidRDefault="00A818BB" w:rsidP="00A818BB">
      <w:pPr>
        <w:autoSpaceDE w:val="0"/>
        <w:autoSpaceDN w:val="0"/>
        <w:adjustRightInd w:val="0"/>
        <w:spacing w:line="504" w:lineRule="auto"/>
        <w:ind w:firstLine="709"/>
        <w:jc w:val="both"/>
        <w:rPr>
          <w:noProof w:val="0"/>
          <w:color w:val="000000" w:themeColor="text1"/>
          <w:lang w:val="en-US" w:eastAsia="id-ID"/>
        </w:rPr>
      </w:pPr>
      <w:r w:rsidRPr="00DE30A6">
        <w:rPr>
          <w:noProof w:val="0"/>
          <w:color w:val="000000" w:themeColor="text1"/>
          <w:lang w:val="en-US" w:eastAsia="id-ID"/>
        </w:rPr>
        <w:t>Kewenangan Notaris saat membuatan akta perjanjian hibah berdasarkan KUHPerdata adalah dalam Pasal 1666 KUHPerdata yaitu menegaskan bahwa hibah bisa dilakukan dan Pasal 1671, 1672, 1687 KUHPerdata. Pelaksanaan perjanjian hibah tanah dibuat oleh Notaris atas dasar kewenangannya haruslah mengacu pada KUHPerdata dalam merumuskan klausula-klausula di dalam Akta Perjanjian Hibah.</w:t>
      </w:r>
      <w:r w:rsidRPr="00DE30A6">
        <w:rPr>
          <w:rStyle w:val="FootnoteReference"/>
          <w:noProof w:val="0"/>
          <w:color w:val="000000" w:themeColor="text1"/>
          <w:lang w:val="en-US" w:eastAsia="id-ID"/>
        </w:rPr>
        <w:footnoteReference w:id="25"/>
      </w:r>
    </w:p>
    <w:p w:rsidR="00A818BB" w:rsidRPr="00DE30A6" w:rsidRDefault="00A818BB" w:rsidP="00A818BB">
      <w:pPr>
        <w:autoSpaceDE w:val="0"/>
        <w:autoSpaceDN w:val="0"/>
        <w:adjustRightInd w:val="0"/>
        <w:spacing w:line="504" w:lineRule="auto"/>
        <w:ind w:firstLine="709"/>
        <w:jc w:val="both"/>
        <w:rPr>
          <w:noProof w:val="0"/>
          <w:color w:val="000000" w:themeColor="text1"/>
          <w:lang w:val="en-US" w:eastAsia="id-ID"/>
        </w:rPr>
      </w:pPr>
      <w:r w:rsidRPr="00DE30A6">
        <w:rPr>
          <w:noProof w:val="0"/>
          <w:color w:val="000000" w:themeColor="text1"/>
          <w:lang w:val="en-US" w:eastAsia="id-ID"/>
        </w:rPr>
        <w:lastRenderedPageBreak/>
        <w:t>Pembuatan Akta Perjanjian Hibah dapat dibuat oleh Notaris yang turut tunduk terhadap peraturan perundangan yang sedang berlaku.Akta Perjanjian Hibah atas tanah yang dibuatkan oleh Notaris dan juga dibacakan oleh Notaris dihadapan pemberi dan penerima hibah dengan mencantumkan tanda tangan di dalam akta maka Akta Perjanjian Hibah atas tanah tersebut memiliki kepastian hukum mengenai peristiwa hukum yang terjadi dalam akta tersebut.</w:t>
      </w:r>
      <w:r w:rsidRPr="00DE30A6">
        <w:rPr>
          <w:rStyle w:val="FootnoteReference"/>
          <w:noProof w:val="0"/>
          <w:color w:val="000000" w:themeColor="text1"/>
          <w:lang w:val="en-US" w:eastAsia="id-ID"/>
        </w:rPr>
        <w:footnoteReference w:id="26"/>
      </w:r>
    </w:p>
    <w:p w:rsidR="00A818BB" w:rsidRPr="00DE30A6" w:rsidRDefault="00A818BB" w:rsidP="00A818BB">
      <w:pPr>
        <w:pStyle w:val="BodyTextIndent"/>
        <w:tabs>
          <w:tab w:val="left" w:pos="1080"/>
          <w:tab w:val="left" w:pos="1276"/>
          <w:tab w:val="left" w:leader="dot" w:pos="7371"/>
          <w:tab w:val="center" w:pos="7797"/>
        </w:tabs>
        <w:ind w:left="1276" w:hanging="1276"/>
        <w:rPr>
          <w:b w:val="0"/>
          <w:bCs w:val="0"/>
          <w:color w:val="000000" w:themeColor="text1"/>
          <w:sz w:val="24"/>
          <w:szCs w:val="24"/>
        </w:rPr>
      </w:pPr>
    </w:p>
    <w:p w:rsidR="00A818BB" w:rsidRPr="00DE30A6" w:rsidRDefault="00A818BB" w:rsidP="00A818BB">
      <w:pPr>
        <w:pStyle w:val="BodyTextIndent"/>
        <w:numPr>
          <w:ilvl w:val="0"/>
          <w:numId w:val="13"/>
        </w:numPr>
        <w:tabs>
          <w:tab w:val="clear" w:pos="720"/>
          <w:tab w:val="num" w:pos="360"/>
        </w:tabs>
        <w:autoSpaceDE w:val="0"/>
        <w:autoSpaceDN w:val="0"/>
        <w:adjustRightInd w:val="0"/>
        <w:spacing w:line="480" w:lineRule="auto"/>
        <w:ind w:left="360" w:right="18"/>
        <w:jc w:val="both"/>
        <w:rPr>
          <w:color w:val="000000" w:themeColor="text1"/>
          <w:sz w:val="24"/>
          <w:szCs w:val="24"/>
          <w:lang w:eastAsia="id-ID"/>
        </w:rPr>
      </w:pPr>
      <w:r w:rsidRPr="00DE30A6">
        <w:rPr>
          <w:i/>
          <w:iCs/>
          <w:color w:val="000000" w:themeColor="text1"/>
          <w:sz w:val="24"/>
          <w:szCs w:val="24"/>
          <w:lang w:val="en-ID" w:eastAsia="id-ID"/>
        </w:rPr>
        <w:t>Legitime Portie</w:t>
      </w:r>
      <w:r w:rsidRPr="00DE30A6">
        <w:rPr>
          <w:color w:val="000000" w:themeColor="text1"/>
          <w:sz w:val="24"/>
          <w:szCs w:val="24"/>
          <w:lang w:val="en-ID" w:eastAsia="id-ID"/>
        </w:rPr>
        <w:t xml:space="preserve"> (Bagian Mutlak)Dalam Pembagian Waris</w:t>
      </w:r>
    </w:p>
    <w:p w:rsidR="00A818BB" w:rsidRPr="00DE30A6" w:rsidRDefault="00A818BB" w:rsidP="00A818BB">
      <w:pPr>
        <w:pStyle w:val="BodyTextIndent"/>
        <w:autoSpaceDE w:val="0"/>
        <w:autoSpaceDN w:val="0"/>
        <w:adjustRightInd w:val="0"/>
        <w:spacing w:line="492" w:lineRule="auto"/>
        <w:ind w:right="17" w:firstLine="720"/>
        <w:jc w:val="both"/>
        <w:rPr>
          <w:b w:val="0"/>
          <w:color w:val="000000" w:themeColor="text1"/>
          <w:sz w:val="24"/>
          <w:szCs w:val="24"/>
        </w:rPr>
      </w:pPr>
      <w:r w:rsidRPr="00DE30A6">
        <w:rPr>
          <w:b w:val="0"/>
          <w:color w:val="000000" w:themeColor="text1"/>
          <w:sz w:val="24"/>
          <w:szCs w:val="24"/>
        </w:rPr>
        <w:t>Kitab Undang-Undang Hukum Perdata sebagai aturan tertulis yang telah dikodifikasikan di Indonesia memuat aturan tentang warisan dalam Buku II yaitu tentang Kebendaan dan ada juga diatur sebagian di Buku III yaitu tentang Perikatan. Kitab Undang-Undang Hukum Perdata menjelaskan bahwa warisan adalah hanya berlangsung karena kematian.</w:t>
      </w:r>
      <w:r w:rsidRPr="00DE30A6">
        <w:rPr>
          <w:rStyle w:val="FootnoteReference"/>
          <w:b w:val="0"/>
          <w:color w:val="000000" w:themeColor="text1"/>
        </w:rPr>
        <w:footnoteReference w:id="27"/>
      </w:r>
    </w:p>
    <w:p w:rsidR="00A818BB" w:rsidRPr="00DE30A6" w:rsidRDefault="00A818BB" w:rsidP="00A818BB">
      <w:pPr>
        <w:pStyle w:val="BodyTextIndent"/>
        <w:autoSpaceDE w:val="0"/>
        <w:autoSpaceDN w:val="0"/>
        <w:adjustRightInd w:val="0"/>
        <w:spacing w:line="492" w:lineRule="auto"/>
        <w:ind w:right="17" w:firstLine="720"/>
        <w:jc w:val="both"/>
        <w:rPr>
          <w:b w:val="0"/>
          <w:color w:val="000000" w:themeColor="text1"/>
          <w:sz w:val="24"/>
          <w:szCs w:val="24"/>
          <w:lang w:val="en-US"/>
        </w:rPr>
      </w:pPr>
      <w:r w:rsidRPr="00DE30A6">
        <w:rPr>
          <w:b w:val="0"/>
          <w:color w:val="000000" w:themeColor="text1"/>
          <w:sz w:val="24"/>
          <w:szCs w:val="24"/>
          <w:lang w:val="en-US"/>
        </w:rPr>
        <w:t>P</w:t>
      </w:r>
      <w:r w:rsidRPr="00DE30A6">
        <w:rPr>
          <w:b w:val="0"/>
          <w:color w:val="000000" w:themeColor="text1"/>
          <w:sz w:val="24"/>
          <w:szCs w:val="24"/>
        </w:rPr>
        <w:t xml:space="preserve">embatasan mengenai hibah wasiat </w:t>
      </w:r>
      <w:r w:rsidRPr="00DE30A6">
        <w:rPr>
          <w:b w:val="0"/>
          <w:color w:val="000000" w:themeColor="text1"/>
          <w:sz w:val="24"/>
          <w:szCs w:val="24"/>
          <w:lang w:val="en-US"/>
        </w:rPr>
        <w:t>d</w:t>
      </w:r>
      <w:r w:rsidRPr="00DE30A6">
        <w:rPr>
          <w:b w:val="0"/>
          <w:color w:val="000000" w:themeColor="text1"/>
          <w:sz w:val="24"/>
          <w:szCs w:val="24"/>
        </w:rPr>
        <w:t>alam KUHPerdata mengacu pada harta yang akan dibagikan pada ahli waris karena terdapat hak mutlak (</w:t>
      </w:r>
      <w:r w:rsidRPr="00DE30A6">
        <w:rPr>
          <w:b w:val="0"/>
          <w:i/>
          <w:iCs/>
          <w:color w:val="000000" w:themeColor="text1"/>
          <w:sz w:val="24"/>
          <w:szCs w:val="24"/>
        </w:rPr>
        <w:t>Legitime portie</w:t>
      </w:r>
      <w:r w:rsidRPr="00DE30A6">
        <w:rPr>
          <w:b w:val="0"/>
          <w:color w:val="000000" w:themeColor="text1"/>
          <w:sz w:val="24"/>
          <w:szCs w:val="24"/>
        </w:rPr>
        <w:t xml:space="preserve">) yang telah ditentukan oleh undang-undang. Secara hukum jika hibah wasiat melanggar </w:t>
      </w:r>
      <w:r w:rsidRPr="00DE30A6">
        <w:rPr>
          <w:b w:val="0"/>
          <w:i/>
          <w:iCs/>
          <w:color w:val="000000" w:themeColor="text1"/>
          <w:sz w:val="24"/>
          <w:szCs w:val="24"/>
        </w:rPr>
        <w:t xml:space="preserve">legitieme portie </w:t>
      </w:r>
      <w:r w:rsidRPr="00DE30A6">
        <w:rPr>
          <w:b w:val="0"/>
          <w:color w:val="000000" w:themeColor="text1"/>
          <w:sz w:val="24"/>
          <w:szCs w:val="24"/>
        </w:rPr>
        <w:t xml:space="preserve">akan mejadi batal demi hukum,tetapi terdapat kaidah yang dibuat oleh Mahkamah Agung bahwa jika ada pelanggaran terhadap </w:t>
      </w:r>
      <w:r w:rsidRPr="00DE30A6">
        <w:rPr>
          <w:b w:val="0"/>
          <w:i/>
          <w:iCs/>
          <w:color w:val="000000" w:themeColor="text1"/>
          <w:sz w:val="24"/>
          <w:szCs w:val="24"/>
        </w:rPr>
        <w:t>Legitime portie</w:t>
      </w:r>
      <w:r w:rsidRPr="00DE30A6">
        <w:rPr>
          <w:b w:val="0"/>
          <w:color w:val="000000" w:themeColor="text1"/>
          <w:sz w:val="24"/>
          <w:szCs w:val="24"/>
        </w:rPr>
        <w:t xml:space="preserve">, ahli waris tersebut merasa tidak dirugikan maka sifatnya menjadi dapat dibatalkan, Termuat dalam Pasal 913 KUHPerdata yang dimaksud </w:t>
      </w:r>
      <w:r w:rsidRPr="00DE30A6">
        <w:rPr>
          <w:b w:val="0"/>
          <w:i/>
          <w:iCs/>
          <w:color w:val="000000" w:themeColor="text1"/>
          <w:sz w:val="24"/>
          <w:szCs w:val="24"/>
        </w:rPr>
        <w:t xml:space="preserve">Legitime portie </w:t>
      </w:r>
      <w:r w:rsidRPr="00DE30A6">
        <w:rPr>
          <w:b w:val="0"/>
          <w:color w:val="000000" w:themeColor="text1"/>
          <w:sz w:val="24"/>
          <w:szCs w:val="24"/>
        </w:rPr>
        <w:t xml:space="preserve">adalah bagian dari harta peninggalan pewaris setelah meninggal harus </w:t>
      </w:r>
      <w:r w:rsidRPr="00DE30A6">
        <w:rPr>
          <w:b w:val="0"/>
          <w:color w:val="000000" w:themeColor="text1"/>
          <w:sz w:val="24"/>
          <w:szCs w:val="24"/>
        </w:rPr>
        <w:lastRenderedPageBreak/>
        <w:t>diberikan kepada ahli waris, ahli waris yang dimaksud adalah ahli waris keturunan garis lurus menurut undang-undang. Jadi pewaris tidak boleh menetapkan  sesuatu pada saat masih hidup maupun melalui wasiatnya atau memberikan hibah kepada siapapun terhadap harta peninggalannya yang dapat merugikan ahli waris</w:t>
      </w:r>
      <w:r w:rsidRPr="00DE30A6">
        <w:rPr>
          <w:b w:val="0"/>
          <w:color w:val="000000" w:themeColor="text1"/>
          <w:sz w:val="24"/>
          <w:szCs w:val="24"/>
          <w:lang w:val="en-US"/>
        </w:rPr>
        <w:t>.</w:t>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 xml:space="preserve"> Hak bagi ahli waris </w:t>
      </w:r>
      <w:r w:rsidRPr="00DE30A6">
        <w:rPr>
          <w:b w:val="0"/>
          <w:i/>
          <w:color w:val="000000" w:themeColor="text1"/>
          <w:sz w:val="24"/>
          <w:szCs w:val="24"/>
        </w:rPr>
        <w:t>legitimaris</w:t>
      </w:r>
      <w:r w:rsidRPr="00DE30A6">
        <w:rPr>
          <w:b w:val="0"/>
          <w:color w:val="000000" w:themeColor="text1"/>
          <w:sz w:val="24"/>
          <w:szCs w:val="24"/>
        </w:rPr>
        <w:t xml:space="preserve"> berkenaan dengan adanya bagian mutlak yang dilanggar untuk mendapatkan bagian mutlaknya dalam pembuatan surat wasiat (</w:t>
      </w:r>
      <w:r w:rsidRPr="00DE30A6">
        <w:rPr>
          <w:b w:val="0"/>
          <w:i/>
          <w:iCs/>
          <w:color w:val="000000" w:themeColor="text1"/>
          <w:sz w:val="24"/>
          <w:szCs w:val="24"/>
        </w:rPr>
        <w:t>testament</w:t>
      </w:r>
      <w:r w:rsidRPr="00DE30A6">
        <w:rPr>
          <w:b w:val="0"/>
          <w:color w:val="000000" w:themeColor="text1"/>
          <w:sz w:val="24"/>
          <w:szCs w:val="24"/>
        </w:rPr>
        <w:t>), yaitu dengan memberikan hak untuk mengajukan tuntutan terhadap wasiat yang secara jelas telah melanggar hak mutlak mereka. Hak yang diberikan oleh undang-undang adalah hak untuk mengajukan tuntutan pengurangan atau pengembalian terhadap wasiat diberikan kepada pihak ketiga yang di dalam wasiat tersebut terhadap harta yang menjadi bagian mutlak (</w:t>
      </w:r>
      <w:r w:rsidRPr="00DE30A6">
        <w:rPr>
          <w:b w:val="0"/>
          <w:i/>
          <w:iCs/>
          <w:color w:val="000000" w:themeColor="text1"/>
          <w:sz w:val="24"/>
          <w:szCs w:val="24"/>
        </w:rPr>
        <w:t>Legitime portie</w:t>
      </w:r>
      <w:r w:rsidRPr="00DE30A6">
        <w:rPr>
          <w:b w:val="0"/>
          <w:color w:val="000000" w:themeColor="text1"/>
          <w:sz w:val="24"/>
          <w:szCs w:val="24"/>
        </w:rPr>
        <w:t>).</w:t>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 xml:space="preserve"> Sedemikian pentingnya hak mutlak para ahli waris </w:t>
      </w:r>
      <w:r w:rsidRPr="00DE30A6">
        <w:rPr>
          <w:b w:val="0"/>
          <w:i/>
          <w:color w:val="000000" w:themeColor="text1"/>
          <w:sz w:val="24"/>
          <w:szCs w:val="24"/>
        </w:rPr>
        <w:t>legitimaris</w:t>
      </w:r>
      <w:r w:rsidRPr="00DE30A6">
        <w:rPr>
          <w:b w:val="0"/>
          <w:color w:val="000000" w:themeColor="text1"/>
          <w:sz w:val="24"/>
          <w:szCs w:val="24"/>
        </w:rPr>
        <w:t xml:space="preserve"> sehingga KUHPerdata, memberikan perlindungan dengan membatasi kebebasan pewaris dalam membuat wasiat serta memberikan hak mengajukan tuntutan untuk melakukan pengurangan jika wasiat secara nyata dan benar-benar melanggar </w:t>
      </w:r>
      <w:r w:rsidRPr="00DE30A6">
        <w:rPr>
          <w:b w:val="0"/>
          <w:i/>
          <w:iCs/>
          <w:color w:val="000000" w:themeColor="text1"/>
          <w:sz w:val="24"/>
          <w:szCs w:val="24"/>
        </w:rPr>
        <w:t>Legitime portie</w:t>
      </w:r>
      <w:r w:rsidRPr="00DE30A6">
        <w:rPr>
          <w:b w:val="0"/>
          <w:color w:val="000000" w:themeColor="text1"/>
          <w:sz w:val="24"/>
          <w:szCs w:val="24"/>
        </w:rPr>
        <w:t xml:space="preserve"> dengan tujuan agar ahli waris </w:t>
      </w:r>
      <w:r w:rsidRPr="00DE30A6">
        <w:rPr>
          <w:b w:val="0"/>
          <w:i/>
          <w:color w:val="000000" w:themeColor="text1"/>
          <w:sz w:val="24"/>
          <w:szCs w:val="24"/>
        </w:rPr>
        <w:t>legitimaris</w:t>
      </w:r>
      <w:r w:rsidRPr="00DE30A6">
        <w:rPr>
          <w:b w:val="0"/>
          <w:color w:val="000000" w:themeColor="text1"/>
          <w:sz w:val="24"/>
          <w:szCs w:val="24"/>
        </w:rPr>
        <w:t xml:space="preserve"> harus mendapatkan apa yang menjadi hak mutlak mereka terhadap harta peninggalan pewaris.</w:t>
      </w:r>
    </w:p>
    <w:p w:rsidR="00A818BB" w:rsidRPr="00DE30A6" w:rsidRDefault="00A818BB" w:rsidP="00A818BB">
      <w:pPr>
        <w:pStyle w:val="BodyTextIndent"/>
        <w:autoSpaceDE w:val="0"/>
        <w:autoSpaceDN w:val="0"/>
        <w:adjustRightInd w:val="0"/>
        <w:spacing w:line="480" w:lineRule="auto"/>
        <w:ind w:right="18" w:firstLine="720"/>
        <w:jc w:val="both"/>
        <w:rPr>
          <w:b w:val="0"/>
          <w:iCs/>
          <w:color w:val="000000" w:themeColor="text1"/>
          <w:sz w:val="24"/>
          <w:szCs w:val="24"/>
          <w:lang w:val="en-US"/>
        </w:rPr>
      </w:pPr>
      <w:r w:rsidRPr="00DE30A6">
        <w:rPr>
          <w:b w:val="0"/>
          <w:color w:val="000000" w:themeColor="text1"/>
          <w:sz w:val="24"/>
          <w:szCs w:val="24"/>
          <w:lang w:val="en-US"/>
        </w:rPr>
        <w:t>P</w:t>
      </w:r>
      <w:r w:rsidRPr="00DE30A6">
        <w:rPr>
          <w:b w:val="0"/>
          <w:color w:val="000000" w:themeColor="text1"/>
          <w:sz w:val="24"/>
          <w:szCs w:val="24"/>
        </w:rPr>
        <w:t xml:space="preserve">elaksanaan hukum waris perdata, ahli waris menurut surat wasiat lebih diutamakan, tetapi dengan pengecualian selama isi dan pembagian dalam surat wasiat tidak bertentangan dengan undang-undang. Pertimbangan hukumnya karena surat wasiat merupakan kehendak terakhir dari si pewaris terhadap harta </w:t>
      </w:r>
      <w:r w:rsidRPr="00DE30A6">
        <w:rPr>
          <w:b w:val="0"/>
          <w:color w:val="000000" w:themeColor="text1"/>
          <w:sz w:val="24"/>
          <w:szCs w:val="24"/>
        </w:rPr>
        <w:lastRenderedPageBreak/>
        <w:t>warisanya, dengan ketentuan tidak boleh merugikan bagian ahli waris menurut Undang-undang, karena ahli waris menurut undang-undang memiliki bagian mutlak (</w:t>
      </w:r>
      <w:r w:rsidRPr="00DE30A6">
        <w:rPr>
          <w:b w:val="0"/>
          <w:i/>
          <w:iCs/>
          <w:color w:val="000000" w:themeColor="text1"/>
          <w:sz w:val="24"/>
          <w:szCs w:val="24"/>
        </w:rPr>
        <w:t>Legitime portie</w:t>
      </w:r>
      <w:r w:rsidRPr="00DE30A6">
        <w:rPr>
          <w:b w:val="0"/>
          <w:color w:val="000000" w:themeColor="text1"/>
          <w:sz w:val="24"/>
          <w:szCs w:val="24"/>
        </w:rPr>
        <w:t xml:space="preserve">), yang diatur dalam Pasal 913 KUHPerdata yang sama sekali tidak bisa dilanggar bagiannya. Ahli waris yang memiliki bagian mutlak disebut juga </w:t>
      </w:r>
      <w:r w:rsidRPr="00DE30A6">
        <w:rPr>
          <w:b w:val="0"/>
          <w:i/>
          <w:color w:val="000000" w:themeColor="text1"/>
          <w:sz w:val="24"/>
          <w:szCs w:val="24"/>
        </w:rPr>
        <w:t>legitimaris</w:t>
      </w:r>
      <w:r w:rsidRPr="00DE30A6">
        <w:rPr>
          <w:b w:val="0"/>
          <w:color w:val="000000" w:themeColor="text1"/>
          <w:sz w:val="24"/>
          <w:szCs w:val="24"/>
        </w:rPr>
        <w:t xml:space="preserve">, artinya selama ahli waris bagiannya ditetapkan dalam surat wasiat tidak merugikan bagian mutlak ahli waris </w:t>
      </w:r>
      <w:r w:rsidRPr="00DE30A6">
        <w:rPr>
          <w:b w:val="0"/>
          <w:i/>
          <w:color w:val="000000" w:themeColor="text1"/>
          <w:sz w:val="24"/>
          <w:szCs w:val="24"/>
        </w:rPr>
        <w:t>legitimaris</w:t>
      </w:r>
      <w:r w:rsidRPr="00DE30A6">
        <w:rPr>
          <w:b w:val="0"/>
          <w:color w:val="000000" w:themeColor="text1"/>
          <w:sz w:val="24"/>
          <w:szCs w:val="24"/>
        </w:rPr>
        <w:t xml:space="preserve">, wasiat tersebut dilaksanakan, jika bagian mutlak ahli waris </w:t>
      </w:r>
      <w:r w:rsidRPr="00DE30A6">
        <w:rPr>
          <w:b w:val="0"/>
          <w:i/>
          <w:color w:val="000000" w:themeColor="text1"/>
          <w:sz w:val="24"/>
          <w:szCs w:val="24"/>
        </w:rPr>
        <w:t>legitimaris</w:t>
      </w:r>
      <w:r w:rsidRPr="00DE30A6">
        <w:rPr>
          <w:b w:val="0"/>
          <w:color w:val="000000" w:themeColor="text1"/>
          <w:sz w:val="24"/>
          <w:szCs w:val="24"/>
        </w:rPr>
        <w:t xml:space="preserve"> dirugikan oleh ahli waris </w:t>
      </w:r>
      <w:r w:rsidRPr="00DE30A6">
        <w:rPr>
          <w:b w:val="0"/>
          <w:i/>
          <w:iCs/>
          <w:color w:val="000000" w:themeColor="text1"/>
          <w:sz w:val="24"/>
          <w:szCs w:val="24"/>
        </w:rPr>
        <w:t>testamentair</w:t>
      </w:r>
      <w:r w:rsidRPr="00DE30A6">
        <w:rPr>
          <w:b w:val="0"/>
          <w:iCs/>
          <w:color w:val="000000" w:themeColor="text1"/>
          <w:sz w:val="24"/>
          <w:szCs w:val="24"/>
          <w:lang w:val="en-US"/>
        </w:rPr>
        <w:t>.</w:t>
      </w:r>
      <w:r w:rsidRPr="00DE30A6">
        <w:rPr>
          <w:rStyle w:val="FootnoteReference"/>
          <w:b w:val="0"/>
          <w:iCs/>
          <w:color w:val="000000" w:themeColor="text1"/>
          <w:lang w:val="en-US"/>
        </w:rPr>
        <w:footnoteReference w:id="28"/>
      </w:r>
    </w:p>
    <w:p w:rsidR="00A818BB" w:rsidRPr="00DE30A6" w:rsidRDefault="00A818BB" w:rsidP="00A818BB">
      <w:pPr>
        <w:pStyle w:val="BodyTextIndent"/>
        <w:autoSpaceDE w:val="0"/>
        <w:autoSpaceDN w:val="0"/>
        <w:adjustRightInd w:val="0"/>
        <w:spacing w:line="456" w:lineRule="auto"/>
        <w:ind w:right="17" w:firstLine="720"/>
        <w:jc w:val="both"/>
        <w:rPr>
          <w:b w:val="0"/>
          <w:color w:val="000000" w:themeColor="text1"/>
          <w:sz w:val="24"/>
          <w:szCs w:val="24"/>
        </w:rPr>
      </w:pPr>
      <w:r w:rsidRPr="00DE30A6">
        <w:rPr>
          <w:b w:val="0"/>
          <w:color w:val="000000" w:themeColor="text1"/>
          <w:sz w:val="24"/>
          <w:szCs w:val="24"/>
        </w:rPr>
        <w:t xml:space="preserve">Menghibahkan harta memang tidak dilarang dalam undang-undang tetapi terdapat aturan dan perhitungan dalam hibah wasiat kepada orang yang menerima hibah agar tidak merugikan ahli waris sekalipun ada wasiat bahwa harta pewaris seluruhnya diberikan kepada penerima hibah. </w:t>
      </w:r>
    </w:p>
    <w:p w:rsidR="00A818BB" w:rsidRPr="00DE30A6" w:rsidRDefault="00A818BB" w:rsidP="00A818BB">
      <w:pPr>
        <w:pStyle w:val="BodyTextIndent"/>
        <w:autoSpaceDE w:val="0"/>
        <w:autoSpaceDN w:val="0"/>
        <w:adjustRightInd w:val="0"/>
        <w:spacing w:line="480" w:lineRule="auto"/>
        <w:ind w:right="17" w:firstLine="720"/>
        <w:jc w:val="both"/>
        <w:rPr>
          <w:b w:val="0"/>
          <w:color w:val="000000" w:themeColor="text1"/>
          <w:sz w:val="24"/>
          <w:szCs w:val="24"/>
          <w:lang w:val="en-US"/>
        </w:rPr>
      </w:pPr>
      <w:r w:rsidRPr="00DE30A6">
        <w:rPr>
          <w:b w:val="0"/>
          <w:color w:val="000000" w:themeColor="text1"/>
          <w:sz w:val="24"/>
          <w:szCs w:val="24"/>
        </w:rPr>
        <w:t>Hibah adalah suatu perjanjian dengan mana si penghibah, di waktu hidupnya, dengan cuma-cuma, dan dengan tidak dapat ditarik kembali, menyerahkan sesuatu benda guna keperluan si penerima hibah yang menerima penyerahan itu.</w:t>
      </w:r>
    </w:p>
    <w:p w:rsidR="00A818BB" w:rsidRPr="00DE30A6" w:rsidRDefault="00A818BB" w:rsidP="00A818BB">
      <w:pPr>
        <w:pStyle w:val="BodyTextIndent"/>
        <w:autoSpaceDE w:val="0"/>
        <w:autoSpaceDN w:val="0"/>
        <w:adjustRightInd w:val="0"/>
        <w:spacing w:line="480" w:lineRule="auto"/>
        <w:ind w:right="17" w:firstLine="720"/>
        <w:jc w:val="both"/>
        <w:rPr>
          <w:b w:val="0"/>
          <w:color w:val="000000" w:themeColor="text1"/>
          <w:sz w:val="24"/>
          <w:szCs w:val="24"/>
        </w:rPr>
      </w:pPr>
      <w:r w:rsidRPr="00DE30A6">
        <w:rPr>
          <w:b w:val="0"/>
          <w:color w:val="000000" w:themeColor="text1"/>
          <w:sz w:val="24"/>
          <w:szCs w:val="24"/>
        </w:rPr>
        <w:t xml:space="preserve">Berdasarkan Pasal 1667 KUHPerdata, penghibahan hanya boleh dilakukan terhadap barang-barang yang sudah ada pada saat peristiwa penghibahan itu terjadi. Jika hibah itu mencakup barang-barang yang belum ada, maka penghibahan batal sekadar mengenai barang-barang yang belum ada. </w:t>
      </w:r>
    </w:p>
    <w:p w:rsidR="00A818BB" w:rsidRPr="00DE30A6" w:rsidRDefault="00A818BB" w:rsidP="00A818BB">
      <w:pPr>
        <w:pStyle w:val="BodyTextIndent"/>
        <w:autoSpaceDE w:val="0"/>
        <w:autoSpaceDN w:val="0"/>
        <w:adjustRightInd w:val="0"/>
        <w:spacing w:line="480" w:lineRule="auto"/>
        <w:ind w:right="17" w:firstLine="720"/>
        <w:jc w:val="both"/>
        <w:rPr>
          <w:b w:val="0"/>
          <w:color w:val="000000" w:themeColor="text1"/>
          <w:sz w:val="24"/>
          <w:szCs w:val="24"/>
        </w:rPr>
      </w:pPr>
      <w:r w:rsidRPr="00DE30A6">
        <w:rPr>
          <w:b w:val="0"/>
          <w:color w:val="000000" w:themeColor="text1"/>
          <w:sz w:val="24"/>
          <w:szCs w:val="24"/>
        </w:rPr>
        <w:t xml:space="preserve">Sementara itu, Pasal 1668 KUHPerdata menyebutkan bahwa pemberi hibah tidak boleh menjanjikan bahwa ia tetap berkuasa untuk menjual atau memberikan kepada orang lain suatu benda yang termasuk dalam hibah karena </w:t>
      </w:r>
      <w:r w:rsidRPr="00DE30A6">
        <w:rPr>
          <w:b w:val="0"/>
          <w:color w:val="000000" w:themeColor="text1"/>
          <w:sz w:val="24"/>
          <w:szCs w:val="24"/>
        </w:rPr>
        <w:lastRenderedPageBreak/>
        <w:t>hal demikian dianggap batal. Akan tetapi, penghibah boleh memperjanjikan bahwa ia tetap berhak menikmati atau memungut hasil barang bergerak atau barang tidak bergerak yang dihibahkan, atau menggunakan hak itu untuk keperluan orang lain dengan syarat memperhatikan ketentuan-ketentuan buku kedua bab X tentang hak pakai hasil (Pasal 1669 KUHPerdata).</w:t>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lang w:val="en-US"/>
        </w:rPr>
        <w:t>P</w:t>
      </w:r>
      <w:r w:rsidRPr="00DE30A6">
        <w:rPr>
          <w:b w:val="0"/>
          <w:color w:val="000000" w:themeColor="text1"/>
          <w:sz w:val="24"/>
          <w:szCs w:val="24"/>
        </w:rPr>
        <w:t>rinsipnya, hibah tidak dapat ditarik kembali (Pasal 1666 KUHPerdata), kecuali ada hal-hal yang melanggar ketentuan undang-undang, baru hibah dapat ditarik kembali ataupun juga dapat dimintai pembatalan (Pasal 1688 Ayat (2) KUHPerdata). Penarikan atau pembatalan hibah hanya dapat dilakukandengan alasan tertentu dengan dasar hukum Pasal 1688 KUHPerdata yaitu:</w:t>
      </w:r>
    </w:p>
    <w:p w:rsidR="00A818BB" w:rsidRPr="00DE30A6" w:rsidRDefault="00A818BB" w:rsidP="00A818BB">
      <w:pPr>
        <w:pStyle w:val="Default"/>
        <w:numPr>
          <w:ilvl w:val="1"/>
          <w:numId w:val="9"/>
        </w:numPr>
        <w:tabs>
          <w:tab w:val="clear" w:pos="1440"/>
          <w:tab w:val="num" w:pos="1080"/>
        </w:tabs>
        <w:ind w:left="1080"/>
        <w:jc w:val="both"/>
        <w:rPr>
          <w:color w:val="000000" w:themeColor="text1"/>
        </w:rPr>
      </w:pPr>
      <w:r w:rsidRPr="00DE30A6">
        <w:rPr>
          <w:color w:val="000000" w:themeColor="text1"/>
        </w:rPr>
        <w:t xml:space="preserve">Tidak terpenuhinya syarat-syarat dengan mana penghibahan telah dilakukan (Pasal  1688 Ayat (1) KUHPerdata). </w:t>
      </w:r>
    </w:p>
    <w:p w:rsidR="00A818BB" w:rsidRPr="00DE30A6" w:rsidRDefault="00A818BB" w:rsidP="00A818BB">
      <w:pPr>
        <w:pStyle w:val="Default"/>
        <w:numPr>
          <w:ilvl w:val="1"/>
          <w:numId w:val="9"/>
        </w:numPr>
        <w:tabs>
          <w:tab w:val="clear" w:pos="1440"/>
          <w:tab w:val="num" w:pos="1080"/>
        </w:tabs>
        <w:ind w:left="1080"/>
        <w:jc w:val="both"/>
        <w:rPr>
          <w:color w:val="000000" w:themeColor="text1"/>
        </w:rPr>
      </w:pPr>
      <w:r w:rsidRPr="00DE30A6">
        <w:rPr>
          <w:color w:val="000000" w:themeColor="text1"/>
        </w:rPr>
        <w:t xml:space="preserve">Penerima hibah telah dinyatakan bersalah melakukan kejahatan yang bertujuan untuk mengambil nyawa si penghibah (Pasal 1688 Ayat (2) KUHPerdata). </w:t>
      </w:r>
    </w:p>
    <w:p w:rsidR="00A818BB" w:rsidRPr="00DE30A6" w:rsidRDefault="00A818BB" w:rsidP="00A818BB">
      <w:pPr>
        <w:pStyle w:val="Default"/>
        <w:numPr>
          <w:ilvl w:val="1"/>
          <w:numId w:val="9"/>
        </w:numPr>
        <w:tabs>
          <w:tab w:val="clear" w:pos="1440"/>
          <w:tab w:val="num" w:pos="1080"/>
        </w:tabs>
        <w:ind w:left="1080"/>
        <w:jc w:val="both"/>
        <w:rPr>
          <w:color w:val="000000" w:themeColor="text1"/>
        </w:rPr>
      </w:pPr>
      <w:r w:rsidRPr="00DE30A6">
        <w:rPr>
          <w:color w:val="000000" w:themeColor="text1"/>
        </w:rPr>
        <w:t>Penerima hibah menolak memberikan tunjangan nafkah kepada si penghibah, setelah si pemberi hibah ini jatuh dalam keadaan miskin atau pailit (Pasal 1688 Ayat (3) KUHPerdata).</w:t>
      </w:r>
      <w:r w:rsidRPr="00DE30A6">
        <w:rPr>
          <w:rStyle w:val="FootnoteReference"/>
          <w:color w:val="000000" w:themeColor="text1"/>
        </w:rPr>
        <w:footnoteReference w:id="29"/>
      </w:r>
    </w:p>
    <w:p w:rsidR="00A818BB" w:rsidRPr="00DE30A6" w:rsidRDefault="00A818BB" w:rsidP="00A818BB">
      <w:pPr>
        <w:pStyle w:val="BodyTextIndent"/>
        <w:autoSpaceDE w:val="0"/>
        <w:autoSpaceDN w:val="0"/>
        <w:adjustRightInd w:val="0"/>
        <w:ind w:right="18" w:firstLine="720"/>
        <w:jc w:val="both"/>
        <w:rPr>
          <w:b w:val="0"/>
          <w:color w:val="000000" w:themeColor="text1"/>
          <w:sz w:val="24"/>
          <w:szCs w:val="24"/>
        </w:rPr>
      </w:pP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 xml:space="preserve">Hal-hal di atas membatasi tindakan pemberi hibah agar tidak bertindak </w:t>
      </w:r>
      <w:r w:rsidRPr="00DE30A6">
        <w:rPr>
          <w:b w:val="0"/>
          <w:color w:val="000000" w:themeColor="text1"/>
          <w:sz w:val="24"/>
          <w:szCs w:val="24"/>
          <w:lang w:val="en-US"/>
        </w:rPr>
        <w:t>dengan sewenang-wenang</w:t>
      </w:r>
      <w:r w:rsidRPr="00DE30A6">
        <w:rPr>
          <w:b w:val="0"/>
          <w:color w:val="000000" w:themeColor="text1"/>
          <w:sz w:val="24"/>
          <w:szCs w:val="24"/>
        </w:rPr>
        <w:t xml:space="preserve"> membatalkan hibah yang telah dilakukannya. Perlu ditegaskan bahwa hal-hal di atas bukan bersifat kumulatif, melainkan bersifat alternatif artinya jika ada salah satu saja alasan di atas terpenuhi, maka suatu tindakan hibah dapat ditarik kembali.</w:t>
      </w:r>
      <w:r w:rsidRPr="00DE30A6">
        <w:rPr>
          <w:rStyle w:val="FootnoteReference"/>
          <w:b w:val="0"/>
          <w:color w:val="000000" w:themeColor="text1"/>
        </w:rPr>
        <w:footnoteReference w:id="30"/>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Selain pasal di atas terdapat juga larangan-larangan dalam penghibahan menurut KUHPerdata, yaitu:</w:t>
      </w:r>
    </w:p>
    <w:p w:rsidR="00A818BB" w:rsidRPr="00DE30A6" w:rsidRDefault="00A818BB" w:rsidP="00A818BB">
      <w:pPr>
        <w:pStyle w:val="Default"/>
        <w:numPr>
          <w:ilvl w:val="0"/>
          <w:numId w:val="16"/>
        </w:numPr>
        <w:tabs>
          <w:tab w:val="clear" w:pos="720"/>
          <w:tab w:val="left" w:pos="1134"/>
        </w:tabs>
        <w:ind w:left="1134"/>
        <w:jc w:val="both"/>
        <w:rPr>
          <w:color w:val="000000" w:themeColor="text1"/>
        </w:rPr>
      </w:pPr>
      <w:r w:rsidRPr="00DE30A6">
        <w:rPr>
          <w:color w:val="000000" w:themeColor="text1"/>
        </w:rPr>
        <w:lastRenderedPageBreak/>
        <w:t>Menurut Pasal 1670 KUHPerdata. Pemberi hibah tidak boleh membebani penerima hibah dengan pembayaran hutang-hutang dan kewajiban-kewajiban selainnya yang tercantum dalam akta hibah sendiri atau dalam daftar yang telah dilampirkan dalam akta hibah.</w:t>
      </w:r>
    </w:p>
    <w:p w:rsidR="00A818BB" w:rsidRPr="00DE30A6" w:rsidRDefault="00A818BB" w:rsidP="00A818BB">
      <w:pPr>
        <w:pStyle w:val="Default"/>
        <w:numPr>
          <w:ilvl w:val="0"/>
          <w:numId w:val="16"/>
        </w:numPr>
        <w:tabs>
          <w:tab w:val="clear" w:pos="720"/>
          <w:tab w:val="left" w:pos="1134"/>
        </w:tabs>
        <w:ind w:left="1134"/>
        <w:jc w:val="both"/>
        <w:rPr>
          <w:color w:val="000000" w:themeColor="text1"/>
        </w:rPr>
      </w:pPr>
      <w:r w:rsidRPr="00DE30A6">
        <w:rPr>
          <w:color w:val="000000" w:themeColor="text1"/>
        </w:rPr>
        <w:t xml:space="preserve">Menurut Pasal 913 KUHPerdata.Pemberi hibah tidak boleh menetapkan sesuatu yang dapat melanggar ketentuan LP (bagian mutlak), baik selaku pemberian antara yang masih hidup, maupun selaku wasiat. </w:t>
      </w:r>
    </w:p>
    <w:p w:rsidR="00A818BB" w:rsidRPr="00DE30A6" w:rsidRDefault="00A818BB" w:rsidP="00A818BB">
      <w:pPr>
        <w:pStyle w:val="Default"/>
        <w:numPr>
          <w:ilvl w:val="0"/>
          <w:numId w:val="16"/>
        </w:numPr>
        <w:tabs>
          <w:tab w:val="clear" w:pos="720"/>
          <w:tab w:val="left" w:pos="1134"/>
        </w:tabs>
        <w:ind w:left="1134"/>
        <w:jc w:val="both"/>
        <w:rPr>
          <w:color w:val="000000" w:themeColor="text1"/>
        </w:rPr>
      </w:pPr>
      <w:r w:rsidRPr="00DE30A6">
        <w:rPr>
          <w:color w:val="000000" w:themeColor="text1"/>
        </w:rPr>
        <w:t>Menurut Pasal 1680 KUHPerdata. Hibah-hibah kepada lembaga umum atau lembaga keagamaan tidak berakibat hukum, kecuali jika Presiden atau pembesar yang ditunjuknya telah memberikan kuasa kepada para pengurus lembaga-lembaga tersebut untuk menerimanya.</w:t>
      </w:r>
      <w:r w:rsidRPr="00DE30A6">
        <w:rPr>
          <w:rStyle w:val="FootnoteReference"/>
          <w:color w:val="000000" w:themeColor="text1"/>
        </w:rPr>
        <w:footnoteReference w:id="31"/>
      </w:r>
    </w:p>
    <w:p w:rsidR="00A818BB" w:rsidRPr="00DE30A6" w:rsidRDefault="00A818BB" w:rsidP="00A818BB">
      <w:pPr>
        <w:pStyle w:val="Default"/>
        <w:ind w:left="1080"/>
        <w:jc w:val="both"/>
        <w:rPr>
          <w:color w:val="000000" w:themeColor="text1"/>
        </w:rPr>
      </w:pP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lang w:val="en-US"/>
        </w:rPr>
      </w:pPr>
      <w:r w:rsidRPr="00DE30A6">
        <w:rPr>
          <w:b w:val="0"/>
          <w:color w:val="000000" w:themeColor="text1"/>
          <w:sz w:val="24"/>
          <w:szCs w:val="24"/>
          <w:lang w:val="en-US"/>
        </w:rPr>
        <w:t>A</w:t>
      </w:r>
      <w:r w:rsidRPr="00DE30A6">
        <w:rPr>
          <w:b w:val="0"/>
          <w:color w:val="000000" w:themeColor="text1"/>
          <w:sz w:val="24"/>
          <w:szCs w:val="24"/>
        </w:rPr>
        <w:t>kibat hukum dari penghibahan yang telah dilakukan jika merugikan ahli waris pada putusan yang berkekuatan hukum tetap akan berlaku surut terhadap obyek yang disengketakan, maka hibah wasiat yang diberikan bukan lagi milik dari penerima hibah melainkan akan menjadi keadaan seperti semula dan dianggap perjanjian tersebut tidak pernah ada</w:t>
      </w:r>
      <w:r w:rsidRPr="00DE30A6">
        <w:rPr>
          <w:b w:val="0"/>
          <w:color w:val="000000" w:themeColor="text1"/>
          <w:sz w:val="24"/>
          <w:szCs w:val="24"/>
          <w:lang w:val="en-US"/>
        </w:rPr>
        <w:t>.</w:t>
      </w:r>
      <w:r w:rsidRPr="00DE30A6">
        <w:rPr>
          <w:rStyle w:val="FootnoteReference"/>
          <w:b w:val="0"/>
          <w:color w:val="000000" w:themeColor="text1"/>
          <w:lang w:val="en-US"/>
        </w:rPr>
        <w:footnoteReference w:id="32"/>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 xml:space="preserve">Permasalahan </w:t>
      </w:r>
      <w:r w:rsidRPr="00DE30A6">
        <w:rPr>
          <w:b w:val="0"/>
          <w:i/>
          <w:iCs/>
          <w:color w:val="000000" w:themeColor="text1"/>
          <w:sz w:val="24"/>
          <w:szCs w:val="24"/>
        </w:rPr>
        <w:t xml:space="preserve">Legitime portie </w:t>
      </w:r>
      <w:r w:rsidRPr="00DE30A6">
        <w:rPr>
          <w:b w:val="0"/>
          <w:color w:val="000000" w:themeColor="text1"/>
          <w:sz w:val="24"/>
          <w:szCs w:val="24"/>
        </w:rPr>
        <w:t>berfokus pada tidak tercukupnya hak yang harus dimiliki oleh ahli waris. Sengketa yang sering terjadi karena hal tersebut, sehingga menyebabkan penuntutan yang dilakukan oleh penerima warisan. Penuntutan yang dilakukan setalah diberitahukannya isi wasiat dan ternyata ada pihak yang merasa dirugikan dalam pembagian tersebut.</w:t>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 xml:space="preserve">Pewaris sebagai pemilik atas harta kekayaan memiliki hak untuk memberikan hibah wasiat. Hibah wasiat yang diberikan adalah harta yang memang telah menjadi milik dari pewaris untuk dibagikan kepada ahli waris mereka. Akan tetapi, KUHPerdata mengatur mengenai larangan pemberian hibah </w:t>
      </w:r>
      <w:r w:rsidRPr="00DE30A6">
        <w:rPr>
          <w:b w:val="0"/>
          <w:color w:val="000000" w:themeColor="text1"/>
          <w:sz w:val="24"/>
          <w:szCs w:val="24"/>
        </w:rPr>
        <w:lastRenderedPageBreak/>
        <w:t>wasiat dengan jumlah yang melebihi hak ahli waris mutlak. Dalam hal ini bertujuan untuk melindungi serta menghindarkan ahli waris dari kerugian. Oleh karena itu, terdapat ketetapan tentang larangan mengurangi hak mutlak ahli waris. Tidak menutup kemungkinan dalam proses pewarisan ada pemberian yang diberikan kepada orang lain sehingga dapat menyebabkan pelanggaran atas hak yang dimiliki oleh pewaris sah. Perlindungan diberikan dengan jalan penuntutan dapat diajukan ketika hak tersebut dilanggar saat adanya pemberian yang mengakibatkan pelanggaran hak terjadi pada ahli waris.</w:t>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 xml:space="preserve">Penerapan </w:t>
      </w:r>
      <w:r w:rsidRPr="00DE30A6">
        <w:rPr>
          <w:b w:val="0"/>
          <w:i/>
          <w:iCs/>
          <w:color w:val="000000" w:themeColor="text1"/>
          <w:sz w:val="24"/>
          <w:szCs w:val="24"/>
        </w:rPr>
        <w:t xml:space="preserve">Legitime portie </w:t>
      </w:r>
      <w:r w:rsidRPr="00DE30A6">
        <w:rPr>
          <w:b w:val="0"/>
          <w:color w:val="000000" w:themeColor="text1"/>
          <w:sz w:val="24"/>
          <w:szCs w:val="24"/>
        </w:rPr>
        <w:t xml:space="preserve">sebagai perlindungan bagi ahli waris </w:t>
      </w:r>
      <w:r w:rsidRPr="00DE30A6">
        <w:rPr>
          <w:b w:val="0"/>
          <w:i/>
          <w:color w:val="000000" w:themeColor="text1"/>
          <w:sz w:val="24"/>
          <w:szCs w:val="24"/>
        </w:rPr>
        <w:t>legitimaris</w:t>
      </w:r>
      <w:r w:rsidRPr="00DE30A6">
        <w:rPr>
          <w:b w:val="0"/>
          <w:color w:val="000000" w:themeColor="text1"/>
          <w:sz w:val="24"/>
          <w:szCs w:val="24"/>
        </w:rPr>
        <w:t xml:space="preserve"> dari tindakan pewaris yang merugikan mereka. Sehingga terdapat larangan dalam KUHPerdata terhadap pemberian hibah wasiat yang menyebabkan pelanggaran bagian mutlak tersebut</w:t>
      </w:r>
      <w:r w:rsidRPr="00DE30A6">
        <w:rPr>
          <w:b w:val="0"/>
          <w:color w:val="000000" w:themeColor="text1"/>
          <w:sz w:val="24"/>
          <w:szCs w:val="24"/>
          <w:lang w:val="en-US"/>
        </w:rPr>
        <w:t>.S</w:t>
      </w:r>
      <w:r w:rsidRPr="00DE30A6">
        <w:rPr>
          <w:b w:val="0"/>
          <w:color w:val="000000" w:themeColor="text1"/>
          <w:sz w:val="24"/>
          <w:szCs w:val="24"/>
        </w:rPr>
        <w:t xml:space="preserve">engketa </w:t>
      </w:r>
      <w:r w:rsidRPr="00DE30A6">
        <w:rPr>
          <w:b w:val="0"/>
          <w:i/>
          <w:iCs/>
          <w:color w:val="000000" w:themeColor="text1"/>
          <w:sz w:val="24"/>
          <w:szCs w:val="24"/>
        </w:rPr>
        <w:t xml:space="preserve">Legitime portie </w:t>
      </w:r>
      <w:r w:rsidRPr="00DE30A6">
        <w:rPr>
          <w:b w:val="0"/>
          <w:color w:val="000000" w:themeColor="text1"/>
          <w:sz w:val="24"/>
          <w:szCs w:val="24"/>
        </w:rPr>
        <w:t xml:space="preserve">menunjukkan bahwa hak ahli waris mutlak sering tidak terpenuhi. Pembagian dalam waris yang berhubungan dengan adanya bagian mutlak diatur dalam ketentuan KUHPerdata dengan maksud untuk melindungi hak ahli waris apabila hak mutlak mereka dilanggar. </w:t>
      </w:r>
      <w:r w:rsidRPr="00DE30A6">
        <w:rPr>
          <w:b w:val="0"/>
          <w:i/>
          <w:iCs/>
          <w:color w:val="000000" w:themeColor="text1"/>
          <w:sz w:val="24"/>
          <w:szCs w:val="24"/>
        </w:rPr>
        <w:t xml:space="preserve">Legitime portie </w:t>
      </w:r>
      <w:r w:rsidRPr="00DE30A6">
        <w:rPr>
          <w:b w:val="0"/>
          <w:color w:val="000000" w:themeColor="text1"/>
          <w:sz w:val="24"/>
          <w:szCs w:val="24"/>
        </w:rPr>
        <w:t>berdasarkan Pasal 913 KUHPerdata, dijelaskan bahwa terdapat bagian dari harta benda yang menjadi hak waris dalam garis lurus sehingga pewaris tidak boleh memberikan sesuatu yang melanggar hak mutlak mereka. Permasalahan dalampewarisan dapat terjadi ketika hak yang dimaksudkan dalam pasal tersebut telah dilanggar atau tidak sesuai. Dijelaskan dalam undang-undang bahwa terdapat bagian yang diharuskan menjadi milik ahli waris beserta bagian-bagiannya.</w:t>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lastRenderedPageBreak/>
        <w:t>Bentuk pelanggaran pemberian hibah wasiat yang menyebabkan tidak terpenuhi hak mutlak</w:t>
      </w:r>
      <w:r w:rsidRPr="00DE30A6">
        <w:rPr>
          <w:b w:val="0"/>
          <w:color w:val="000000" w:themeColor="text1"/>
          <w:sz w:val="24"/>
          <w:szCs w:val="24"/>
          <w:lang w:val="en-US"/>
        </w:rPr>
        <w:t xml:space="preserve"> m</w:t>
      </w:r>
      <w:r w:rsidRPr="00DE30A6">
        <w:rPr>
          <w:b w:val="0"/>
          <w:color w:val="000000" w:themeColor="text1"/>
          <w:sz w:val="24"/>
          <w:szCs w:val="24"/>
        </w:rPr>
        <w:t xml:space="preserve">elalui bagian </w:t>
      </w:r>
      <w:r w:rsidRPr="00DE30A6">
        <w:rPr>
          <w:b w:val="0"/>
          <w:i/>
          <w:iCs/>
          <w:color w:val="000000" w:themeColor="text1"/>
          <w:sz w:val="24"/>
          <w:szCs w:val="24"/>
        </w:rPr>
        <w:t xml:space="preserve">Legitime portie </w:t>
      </w:r>
      <w:r w:rsidRPr="00DE30A6">
        <w:rPr>
          <w:b w:val="0"/>
          <w:color w:val="000000" w:themeColor="text1"/>
          <w:sz w:val="24"/>
          <w:szCs w:val="24"/>
        </w:rPr>
        <w:t xml:space="preserve">yang telah diatur oleh KUHPerdata memberikan jaminan kepada ahli waris untuk bisa mendapatkan hak mutlak mereka.Kedudukan ahli waris </w:t>
      </w:r>
      <w:r w:rsidRPr="00DE30A6">
        <w:rPr>
          <w:b w:val="0"/>
          <w:i/>
          <w:color w:val="000000" w:themeColor="text1"/>
          <w:sz w:val="24"/>
          <w:szCs w:val="24"/>
        </w:rPr>
        <w:t>legitimaris</w:t>
      </w:r>
      <w:r w:rsidRPr="00DE30A6">
        <w:rPr>
          <w:b w:val="0"/>
          <w:color w:val="000000" w:themeColor="text1"/>
          <w:sz w:val="24"/>
          <w:szCs w:val="24"/>
        </w:rPr>
        <w:t xml:space="preserve"> adalah sebuah perlindungan dari undang-undang atas tindakan pewaris seluruh atau sebagian yang telah menghibahkan dan mewasiatkan kepada orang lain. Mengenai pembagiannya diatur dalam Pasal 914 KUHPerdata bahwa bagian mutlak untuk 1 orang anak adalah 1/2. Jika 2 orang anak maka bagiannya 2/3 sedangkan apabila 3 orang anak atau lebih maka bagiannya ¾.</w:t>
      </w:r>
      <w:r w:rsidRPr="00DE30A6">
        <w:rPr>
          <w:rStyle w:val="FootnoteReference"/>
          <w:b w:val="0"/>
          <w:color w:val="000000" w:themeColor="text1"/>
        </w:rPr>
        <w:footnoteReference w:id="33"/>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lang w:val="en-US"/>
        </w:rPr>
      </w:pPr>
      <w:r w:rsidRPr="00DE30A6">
        <w:rPr>
          <w:b w:val="0"/>
          <w:color w:val="000000" w:themeColor="text1"/>
          <w:sz w:val="24"/>
          <w:szCs w:val="24"/>
        </w:rPr>
        <w:t>Bagian ½ yang dimaksudkan menjadi milik dari anak ketika hanya ada satu anak dan menjadi hak mutlaknya. Ketika anak yang ditinggalkan ada 2 orang maka pemberlakuan bagian 2/3 menjadi hak mutlak mereka. Selain itu, ketika anak yang dimiliki ada 3 maka pemberlakuan bagian ¾ untuk setiap anak harus diterapkan. Pembagian-pembagian ini merupakan bentuk hak mutlak dan harus diberikan sebagaimana mestinya. Selain itu terdapat pada Pasal 916, ada yang dinamakan anak diluar pernikahan juga mendapatkan ½ bagian. Dalam KUHPerdata telah diatur ketika anak-anak yang dimaksudkan telah meninggal dunia maka keturunan merekalah yang menjadi penggantinya dalam pewarisan tersebut dan memperoleh haknya</w:t>
      </w:r>
      <w:r w:rsidRPr="00DE30A6">
        <w:rPr>
          <w:b w:val="0"/>
          <w:color w:val="000000" w:themeColor="text1"/>
          <w:sz w:val="24"/>
          <w:szCs w:val="24"/>
          <w:lang w:val="en-US"/>
        </w:rPr>
        <w:t>.</w:t>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lang w:val="en-US"/>
        </w:rPr>
      </w:pPr>
      <w:r w:rsidRPr="00DE30A6">
        <w:rPr>
          <w:b w:val="0"/>
          <w:color w:val="000000" w:themeColor="text1"/>
          <w:sz w:val="24"/>
          <w:szCs w:val="24"/>
        </w:rPr>
        <w:t xml:space="preserve">Aturan mengenai pelanggaran hibah wasiat terhadap bagian mutlak ahli waris garis lurus akan batal. Tetapi, jika ahli waris </w:t>
      </w:r>
      <w:r w:rsidRPr="00DE30A6">
        <w:rPr>
          <w:b w:val="0"/>
          <w:i/>
          <w:iCs/>
          <w:color w:val="000000" w:themeColor="text1"/>
          <w:sz w:val="24"/>
          <w:szCs w:val="24"/>
        </w:rPr>
        <w:t xml:space="preserve">legitimaris </w:t>
      </w:r>
      <w:r w:rsidRPr="00DE30A6">
        <w:rPr>
          <w:b w:val="0"/>
          <w:color w:val="000000" w:themeColor="text1"/>
          <w:sz w:val="24"/>
          <w:szCs w:val="24"/>
        </w:rPr>
        <w:t xml:space="preserve">tidak merasa dirugikan ataupun melakukan penuntutan maka pemberian hibah wasiat tersebut </w:t>
      </w:r>
      <w:r w:rsidRPr="00DE30A6">
        <w:rPr>
          <w:b w:val="0"/>
          <w:color w:val="000000" w:themeColor="text1"/>
          <w:sz w:val="24"/>
          <w:szCs w:val="24"/>
        </w:rPr>
        <w:lastRenderedPageBreak/>
        <w:t xml:space="preserve">sah. Mengenai pembagian dalam garis keatas </w:t>
      </w:r>
      <w:r w:rsidRPr="00DE30A6">
        <w:rPr>
          <w:b w:val="0"/>
          <w:i/>
          <w:iCs/>
          <w:color w:val="000000" w:themeColor="text1"/>
          <w:sz w:val="24"/>
          <w:szCs w:val="24"/>
        </w:rPr>
        <w:t>Legitime portie</w:t>
      </w:r>
      <w:r w:rsidRPr="00DE30A6">
        <w:rPr>
          <w:b w:val="0"/>
          <w:color w:val="000000" w:themeColor="text1"/>
          <w:sz w:val="24"/>
          <w:szCs w:val="24"/>
        </w:rPr>
        <w:t>, dijelaskan dalam KUHPerdata bahwa bagian untuk gariskeatas adalah setengah dari yang diatur oleh undang-undang</w:t>
      </w:r>
      <w:r w:rsidRPr="00DE30A6">
        <w:rPr>
          <w:b w:val="0"/>
          <w:color w:val="000000" w:themeColor="text1"/>
          <w:sz w:val="24"/>
          <w:szCs w:val="24"/>
          <w:lang w:val="en-US"/>
        </w:rPr>
        <w:t>.</w:t>
      </w:r>
    </w:p>
    <w:p w:rsidR="00A818BB" w:rsidRPr="00DE30A6" w:rsidRDefault="00A818BB" w:rsidP="00A818BB">
      <w:pPr>
        <w:pStyle w:val="BodyTextIndent"/>
        <w:autoSpaceDE w:val="0"/>
        <w:autoSpaceDN w:val="0"/>
        <w:adjustRightInd w:val="0"/>
        <w:spacing w:line="456" w:lineRule="auto"/>
        <w:ind w:right="17" w:firstLine="720"/>
        <w:jc w:val="both"/>
        <w:rPr>
          <w:b w:val="0"/>
          <w:color w:val="000000" w:themeColor="text1"/>
          <w:sz w:val="24"/>
          <w:szCs w:val="24"/>
        </w:rPr>
      </w:pPr>
      <w:r w:rsidRPr="00DE30A6">
        <w:rPr>
          <w:b w:val="0"/>
          <w:i/>
          <w:iCs/>
          <w:color w:val="000000" w:themeColor="text1"/>
          <w:sz w:val="24"/>
          <w:szCs w:val="24"/>
        </w:rPr>
        <w:t xml:space="preserve">Legitime portie </w:t>
      </w:r>
      <w:r w:rsidRPr="00DE30A6">
        <w:rPr>
          <w:b w:val="0"/>
          <w:color w:val="000000" w:themeColor="text1"/>
          <w:sz w:val="24"/>
          <w:szCs w:val="24"/>
        </w:rPr>
        <w:t xml:space="preserve">dan tidak boleh melanggarnya. Hal ini dikarenakan kedudukan dari </w:t>
      </w:r>
      <w:r w:rsidRPr="00DE30A6">
        <w:rPr>
          <w:b w:val="0"/>
          <w:i/>
          <w:iCs/>
          <w:color w:val="000000" w:themeColor="text1"/>
          <w:sz w:val="24"/>
          <w:szCs w:val="24"/>
        </w:rPr>
        <w:t xml:space="preserve">Legitime portie </w:t>
      </w:r>
      <w:r w:rsidRPr="00DE30A6">
        <w:rPr>
          <w:b w:val="0"/>
          <w:color w:val="000000" w:themeColor="text1"/>
          <w:sz w:val="24"/>
          <w:szCs w:val="24"/>
        </w:rPr>
        <w:t xml:space="preserve">ini memiliki derajat lebih dibandingkan dengan hibah wasiat ketika didalamnya tidak sesuai bagian yang harus diberikan. Perhitungan dalam </w:t>
      </w:r>
      <w:r w:rsidRPr="00DE30A6">
        <w:rPr>
          <w:b w:val="0"/>
          <w:i/>
          <w:iCs/>
          <w:color w:val="000000" w:themeColor="text1"/>
          <w:sz w:val="24"/>
          <w:szCs w:val="24"/>
        </w:rPr>
        <w:t xml:space="preserve">Legitime portie </w:t>
      </w:r>
      <w:r w:rsidRPr="00DE30A6">
        <w:rPr>
          <w:b w:val="0"/>
          <w:color w:val="000000" w:themeColor="text1"/>
          <w:sz w:val="24"/>
          <w:szCs w:val="24"/>
        </w:rPr>
        <w:t xml:space="preserve">dilakukan dengan memperhatikan beberapa hal sebagaimana yang dimaksudkan dalam KUHPerdata. Pengaturan mengenai </w:t>
      </w:r>
      <w:r w:rsidRPr="00DE30A6">
        <w:rPr>
          <w:b w:val="0"/>
          <w:i/>
          <w:iCs/>
          <w:color w:val="000000" w:themeColor="text1"/>
          <w:sz w:val="24"/>
          <w:szCs w:val="24"/>
        </w:rPr>
        <w:t xml:space="preserve">Legitime portie </w:t>
      </w:r>
      <w:r w:rsidRPr="00DE30A6">
        <w:rPr>
          <w:b w:val="0"/>
          <w:color w:val="000000" w:themeColor="text1"/>
          <w:sz w:val="24"/>
          <w:szCs w:val="24"/>
        </w:rPr>
        <w:t>tidak hanya mengacu pada isi wasiat yang diberikan ketika pewaris wafat. Akan tetapi, ketika pemberian diberikan ketika pewaris masih hidup dan juga tidak sesuai dengan bagian yang diatur maka dapat dilakukan penuntutan. Pemotongan terhadap pemberian tersebut dilakukan agar bagian yang dimaksudkan dapat terpenuhi danbermaksud untuk kepentingan bagi para ahli waris.</w:t>
      </w:r>
      <w:r w:rsidRPr="00DE30A6">
        <w:rPr>
          <w:rStyle w:val="FootnoteReference"/>
          <w:b w:val="0"/>
          <w:color w:val="000000" w:themeColor="text1"/>
        </w:rPr>
        <w:footnoteReference w:id="34"/>
      </w:r>
    </w:p>
    <w:p w:rsidR="00A818BB" w:rsidRPr="00DE30A6" w:rsidRDefault="00A818BB" w:rsidP="00A818BB">
      <w:pPr>
        <w:pStyle w:val="BodyTextIndent"/>
        <w:autoSpaceDE w:val="0"/>
        <w:autoSpaceDN w:val="0"/>
        <w:adjustRightInd w:val="0"/>
        <w:spacing w:line="456" w:lineRule="auto"/>
        <w:ind w:right="17" w:firstLine="720"/>
        <w:jc w:val="both"/>
        <w:rPr>
          <w:b w:val="0"/>
          <w:color w:val="000000" w:themeColor="text1"/>
          <w:sz w:val="24"/>
          <w:szCs w:val="24"/>
          <w:lang w:val="en-US"/>
        </w:rPr>
      </w:pPr>
      <w:r w:rsidRPr="00DE30A6">
        <w:rPr>
          <w:b w:val="0"/>
          <w:color w:val="000000" w:themeColor="text1"/>
          <w:sz w:val="24"/>
          <w:szCs w:val="24"/>
        </w:rPr>
        <w:t xml:space="preserve">Pemberian hibah wasiat yang diberikan mencakup 2 </w:t>
      </w:r>
      <w:r w:rsidRPr="00DE30A6">
        <w:rPr>
          <w:b w:val="0"/>
          <w:color w:val="000000" w:themeColor="text1"/>
          <w:sz w:val="24"/>
          <w:szCs w:val="24"/>
          <w:lang w:val="en-US"/>
        </w:rPr>
        <w:t xml:space="preserve">(dua) </w:t>
      </w:r>
      <w:r w:rsidRPr="00DE30A6">
        <w:rPr>
          <w:b w:val="0"/>
          <w:color w:val="000000" w:themeColor="text1"/>
          <w:sz w:val="24"/>
          <w:szCs w:val="24"/>
        </w:rPr>
        <w:t xml:space="preserve">bagian yaitu yang tidak melanggar </w:t>
      </w:r>
      <w:r w:rsidRPr="00DE30A6">
        <w:rPr>
          <w:b w:val="0"/>
          <w:i/>
          <w:iCs/>
          <w:color w:val="000000" w:themeColor="text1"/>
          <w:sz w:val="24"/>
          <w:szCs w:val="24"/>
        </w:rPr>
        <w:t xml:space="preserve">Legitime portie </w:t>
      </w:r>
      <w:r w:rsidRPr="00DE30A6">
        <w:rPr>
          <w:b w:val="0"/>
          <w:color w:val="000000" w:themeColor="text1"/>
          <w:sz w:val="24"/>
          <w:szCs w:val="24"/>
        </w:rPr>
        <w:t xml:space="preserve">dan yang melanggar </w:t>
      </w:r>
      <w:r w:rsidRPr="00DE30A6">
        <w:rPr>
          <w:b w:val="0"/>
          <w:i/>
          <w:iCs/>
          <w:color w:val="000000" w:themeColor="text1"/>
          <w:sz w:val="24"/>
          <w:szCs w:val="24"/>
        </w:rPr>
        <w:t>Legitime portie</w:t>
      </w:r>
      <w:r w:rsidRPr="00DE30A6">
        <w:rPr>
          <w:b w:val="0"/>
          <w:color w:val="000000" w:themeColor="text1"/>
          <w:sz w:val="24"/>
          <w:szCs w:val="24"/>
        </w:rPr>
        <w:t xml:space="preserve">. Untuk pemberian hibah wasiat yang sesuai maka dapat dilakukan sesuai dengan isi hibat wasiat tersebut. Sedangkan yang melanggar </w:t>
      </w:r>
      <w:r w:rsidRPr="00DE30A6">
        <w:rPr>
          <w:b w:val="0"/>
          <w:i/>
          <w:iCs/>
          <w:color w:val="000000" w:themeColor="text1"/>
          <w:sz w:val="24"/>
          <w:szCs w:val="24"/>
        </w:rPr>
        <w:t xml:space="preserve">Legitime portie </w:t>
      </w:r>
      <w:r w:rsidRPr="00DE30A6">
        <w:rPr>
          <w:b w:val="0"/>
          <w:color w:val="000000" w:themeColor="text1"/>
          <w:sz w:val="24"/>
          <w:szCs w:val="24"/>
        </w:rPr>
        <w:t xml:space="preserve">maka akan menimbulkan permasalahan dalam pelaksanaan hibah wasiat tersebut. Pada pelaksanaan hibah ketika tidak adanya garis lurus keatas dan kebawah maka hibah ataupun hibah wasiat yang diberikan dapat mencakup pada seluruh harta peninggalan. Hal tersebut sesuai dalam Pasal 917 KUHPerdata, bahwa ketika tidak terdapat ahli waris baik yang keatas, kebawah maupun anak diluar nikah </w:t>
      </w:r>
      <w:r w:rsidRPr="00DE30A6">
        <w:rPr>
          <w:b w:val="0"/>
          <w:color w:val="000000" w:themeColor="text1"/>
          <w:sz w:val="24"/>
          <w:szCs w:val="24"/>
        </w:rPr>
        <w:lastRenderedPageBreak/>
        <w:t>maka dapat dilakukan untuk yang masih hidup. Pemberian hibah dilakukan dengan menjumlahkan semua harta peninggalan dan dilakukan dengan pembuatan surat wasiat oleh pewaris</w:t>
      </w:r>
      <w:r w:rsidRPr="00DE30A6">
        <w:rPr>
          <w:b w:val="0"/>
          <w:color w:val="000000" w:themeColor="text1"/>
          <w:sz w:val="24"/>
          <w:szCs w:val="24"/>
          <w:lang w:val="en-US"/>
        </w:rPr>
        <w:t>.</w:t>
      </w:r>
      <w:r w:rsidRPr="00DE30A6">
        <w:rPr>
          <w:rStyle w:val="FootnoteReference"/>
          <w:b w:val="0"/>
          <w:color w:val="000000" w:themeColor="text1"/>
          <w:lang w:val="en-US"/>
        </w:rPr>
        <w:footnoteReference w:id="35"/>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lang w:val="en-US"/>
        </w:rPr>
      </w:pPr>
      <w:r w:rsidRPr="00DE30A6">
        <w:rPr>
          <w:b w:val="0"/>
          <w:color w:val="000000" w:themeColor="text1"/>
          <w:sz w:val="24"/>
          <w:szCs w:val="24"/>
          <w:lang w:val="en-US"/>
        </w:rPr>
        <w:t>P</w:t>
      </w:r>
      <w:r w:rsidRPr="00DE30A6">
        <w:rPr>
          <w:b w:val="0"/>
          <w:color w:val="000000" w:themeColor="text1"/>
          <w:sz w:val="24"/>
          <w:szCs w:val="24"/>
        </w:rPr>
        <w:t xml:space="preserve">enetapan hibah apabila terdapat hal yang melanggar </w:t>
      </w:r>
      <w:r w:rsidRPr="00DE30A6">
        <w:rPr>
          <w:b w:val="0"/>
          <w:i/>
          <w:iCs/>
          <w:color w:val="000000" w:themeColor="text1"/>
          <w:sz w:val="24"/>
          <w:szCs w:val="24"/>
        </w:rPr>
        <w:t>Legitime portie</w:t>
      </w:r>
      <w:r w:rsidRPr="00DE30A6">
        <w:rPr>
          <w:b w:val="0"/>
          <w:color w:val="000000" w:themeColor="text1"/>
          <w:sz w:val="24"/>
          <w:szCs w:val="24"/>
        </w:rPr>
        <w:t xml:space="preserve">, harus ada tuntutan dari pihak yang dirugikan sebagaimana dalam Pasal 920 KUHPerdata bahwa pengurangan hanya dapat dilakukan apabila terdapat penuntutan dari ahli waris </w:t>
      </w:r>
      <w:r w:rsidRPr="00DE30A6">
        <w:rPr>
          <w:b w:val="0"/>
          <w:i/>
          <w:iCs/>
          <w:color w:val="000000" w:themeColor="text1"/>
          <w:sz w:val="24"/>
          <w:szCs w:val="24"/>
        </w:rPr>
        <w:t xml:space="preserve">legitimaris. </w:t>
      </w:r>
      <w:r w:rsidRPr="00DE30A6">
        <w:rPr>
          <w:b w:val="0"/>
          <w:color w:val="000000" w:themeColor="text1"/>
          <w:sz w:val="24"/>
          <w:szCs w:val="24"/>
        </w:rPr>
        <w:t xml:space="preserve">Tuntutan dilakukan oleh ahli waris saat pemberian yang dilakukan baik melalui surat wasiat ketika wafat maupun dilakukan ketika pewaris masih dalam keadaan hidup. Pemberian yang melanggar </w:t>
      </w:r>
      <w:r w:rsidRPr="00DE30A6">
        <w:rPr>
          <w:b w:val="0"/>
          <w:i/>
          <w:iCs/>
          <w:color w:val="000000" w:themeColor="text1"/>
          <w:sz w:val="24"/>
          <w:szCs w:val="24"/>
        </w:rPr>
        <w:t xml:space="preserve">Legitime portie </w:t>
      </w:r>
      <w:r w:rsidRPr="00DE30A6">
        <w:rPr>
          <w:b w:val="0"/>
          <w:color w:val="000000" w:themeColor="text1"/>
          <w:sz w:val="24"/>
          <w:szCs w:val="24"/>
        </w:rPr>
        <w:t xml:space="preserve">dalam Undang-Undang boleh berubah apabila penunututan dilakukan oleh para </w:t>
      </w:r>
      <w:r w:rsidRPr="00DE30A6">
        <w:rPr>
          <w:b w:val="0"/>
          <w:i/>
          <w:color w:val="000000" w:themeColor="text1"/>
          <w:sz w:val="24"/>
          <w:szCs w:val="24"/>
        </w:rPr>
        <w:t>legitimaris</w:t>
      </w:r>
      <w:r w:rsidRPr="00DE30A6">
        <w:rPr>
          <w:b w:val="0"/>
          <w:color w:val="000000" w:themeColor="text1"/>
          <w:sz w:val="24"/>
          <w:szCs w:val="24"/>
        </w:rPr>
        <w:t xml:space="preserve"> maupun ahli waris yang lainnya. Akan tetapi, dijelaskan bahwa para ahli waris </w:t>
      </w:r>
      <w:r w:rsidRPr="00DE30A6">
        <w:rPr>
          <w:b w:val="0"/>
          <w:i/>
          <w:iCs/>
          <w:color w:val="000000" w:themeColor="text1"/>
          <w:sz w:val="24"/>
          <w:szCs w:val="24"/>
        </w:rPr>
        <w:t xml:space="preserve">legitimaris </w:t>
      </w:r>
      <w:r w:rsidRPr="00DE30A6">
        <w:rPr>
          <w:b w:val="0"/>
          <w:color w:val="000000" w:themeColor="text1"/>
          <w:sz w:val="24"/>
          <w:szCs w:val="24"/>
        </w:rPr>
        <w:t>tidak boleh mengambil keuntungan apapun</w:t>
      </w:r>
      <w:r w:rsidRPr="00DE30A6">
        <w:rPr>
          <w:b w:val="0"/>
          <w:color w:val="000000" w:themeColor="text1"/>
          <w:sz w:val="24"/>
          <w:szCs w:val="24"/>
          <w:lang w:val="en-US"/>
        </w:rPr>
        <w:t>.</w:t>
      </w:r>
      <w:r w:rsidRPr="00DE30A6">
        <w:rPr>
          <w:rStyle w:val="FootnoteReference"/>
          <w:b w:val="0"/>
          <w:color w:val="000000" w:themeColor="text1"/>
          <w:lang w:val="en-US"/>
        </w:rPr>
        <w:footnoteReference w:id="36"/>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Penentuan bagian mutlak dilakukan dengan menjumlah harta kemudian dikurangi dengan hutang-hutang yang ada. Hal ini sebagaimana dalam KUHPerdata bahwa seluruh harta peninggalan dijumlahkan terlebih dahulu selanjutnya ditambahkan dengan harta yang telah dihibahkan oleh pewaris dan setelah itu mencakup hibah wasiat kemudian dalam wasiat. Apabila utang-utang dan seluruh harta tersebut sudah dikurangkan maka dihitung secara keseluruhan.</w:t>
      </w:r>
      <w:r w:rsidRPr="00DE30A6">
        <w:rPr>
          <w:rStyle w:val="FootnoteReference"/>
          <w:b w:val="0"/>
          <w:color w:val="000000" w:themeColor="text1"/>
        </w:rPr>
        <w:footnoteReference w:id="37"/>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 xml:space="preserve">Hibah wasiat merupakan pemberian atau ketetapan khusus yang diberikan oleh seseorang baik dalam bentuk barang maupun yang lainnya. Pemberian wasiat </w:t>
      </w:r>
      <w:r w:rsidRPr="00DE30A6">
        <w:rPr>
          <w:b w:val="0"/>
          <w:color w:val="000000" w:themeColor="text1"/>
          <w:sz w:val="24"/>
          <w:szCs w:val="24"/>
        </w:rPr>
        <w:lastRenderedPageBreak/>
        <w:t>bersifat khusus, dengan wasiat tersebut dijelaskan mengenai apa yang akan diberikan. Ketika pembagian pada hibah wasiat tidak sesuai ketentuan maka dilakukan penuntutan dalam bentuk pengurangan.</w:t>
      </w:r>
      <w:r w:rsidRPr="00DE30A6">
        <w:rPr>
          <w:rStyle w:val="FootnoteReference"/>
          <w:b w:val="0"/>
          <w:color w:val="000000" w:themeColor="text1"/>
        </w:rPr>
        <w:footnoteReference w:id="38"/>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 xml:space="preserve">Tuntutan terhadap pihak ketiga sesuai prosedur sebagaimana kepada penerima hibah. Tuntutan diawali dengan pemindahtanganan akhir. Tetapi dalam keadaan tertentu tidak boleh diajukan penuntutan terhadap pihak ketiga. Keadaan ketika barang tersebut tidak mencukupi bagian mutlak, tidak bisa ditagih serta sudah menjadi hak milik pihak ketiga. Melalui aturan tersebut, maka ahli waris </w:t>
      </w:r>
      <w:r w:rsidRPr="00DE30A6">
        <w:rPr>
          <w:b w:val="0"/>
          <w:i/>
          <w:iCs/>
          <w:color w:val="000000" w:themeColor="text1"/>
          <w:sz w:val="24"/>
          <w:szCs w:val="24"/>
        </w:rPr>
        <w:t xml:space="preserve">legitimaris </w:t>
      </w:r>
      <w:r w:rsidRPr="00DE30A6">
        <w:rPr>
          <w:b w:val="0"/>
          <w:color w:val="000000" w:themeColor="text1"/>
          <w:sz w:val="24"/>
          <w:szCs w:val="24"/>
        </w:rPr>
        <w:t>dapat mengajukan pembatalan hibah ketika keadaan diatas tidak terpenuhi.</w:t>
      </w:r>
      <w:r w:rsidRPr="00DE30A6">
        <w:rPr>
          <w:rStyle w:val="FootnoteReference"/>
          <w:b w:val="0"/>
          <w:color w:val="000000" w:themeColor="text1"/>
        </w:rPr>
        <w:footnoteReference w:id="39"/>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 xml:space="preserve">Hibah wasiat bukan suatu alasan untuk pengalihan hak milik. </w:t>
      </w:r>
      <w:r w:rsidRPr="00DE30A6">
        <w:rPr>
          <w:b w:val="0"/>
          <w:color w:val="000000" w:themeColor="text1"/>
          <w:sz w:val="24"/>
          <w:szCs w:val="24"/>
          <w:lang w:val="en-US"/>
        </w:rPr>
        <w:t>H</w:t>
      </w:r>
      <w:r w:rsidRPr="00DE30A6">
        <w:rPr>
          <w:b w:val="0"/>
          <w:color w:val="000000" w:themeColor="text1"/>
          <w:sz w:val="24"/>
          <w:szCs w:val="24"/>
        </w:rPr>
        <w:t xml:space="preserve">ibah wasiat tidak serta merta ada yang menjadi milik. Pewaris boleh menghibah wasiatkan harta kekayaan milik sendiri sesuai dengan ketentuan. Pembatalan hibah wasiat dapat terjadi jika harta yang dimaksudkan merupakan milik orang lain. Ketentuan tersebut berlaku terhadap benda </w:t>
      </w:r>
      <w:r w:rsidRPr="00DE30A6">
        <w:rPr>
          <w:b w:val="0"/>
          <w:i/>
          <w:iCs/>
          <w:color w:val="000000" w:themeColor="text1"/>
          <w:sz w:val="24"/>
          <w:szCs w:val="24"/>
        </w:rPr>
        <w:t xml:space="preserve">legataris </w:t>
      </w:r>
      <w:r w:rsidRPr="00DE30A6">
        <w:rPr>
          <w:b w:val="0"/>
          <w:color w:val="000000" w:themeColor="text1"/>
          <w:sz w:val="24"/>
          <w:szCs w:val="24"/>
        </w:rPr>
        <w:t xml:space="preserve">maupun pihak ketiga. </w:t>
      </w:r>
      <w:r w:rsidRPr="00DE30A6">
        <w:rPr>
          <w:b w:val="0"/>
          <w:i/>
          <w:iCs/>
          <w:color w:val="000000" w:themeColor="text1"/>
          <w:sz w:val="24"/>
          <w:szCs w:val="24"/>
        </w:rPr>
        <w:t xml:space="preserve">Legataris </w:t>
      </w:r>
      <w:r w:rsidRPr="00DE30A6">
        <w:rPr>
          <w:b w:val="0"/>
          <w:color w:val="000000" w:themeColor="text1"/>
          <w:sz w:val="24"/>
          <w:szCs w:val="24"/>
        </w:rPr>
        <w:t xml:space="preserve">tidak secara otomatis menjadi pemilik ketika pewaris meninggal. Hibah wasiat itu pengalihan bukan sebagai cara mendapatkan hak milik. </w:t>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 xml:space="preserve">Ahli waris </w:t>
      </w:r>
      <w:r w:rsidRPr="00DE30A6">
        <w:rPr>
          <w:b w:val="0"/>
          <w:i/>
          <w:color w:val="000000" w:themeColor="text1"/>
          <w:sz w:val="24"/>
          <w:szCs w:val="24"/>
        </w:rPr>
        <w:t>legitimaris</w:t>
      </w:r>
      <w:r w:rsidRPr="00DE30A6">
        <w:rPr>
          <w:b w:val="0"/>
          <w:color w:val="000000" w:themeColor="text1"/>
          <w:sz w:val="24"/>
          <w:szCs w:val="24"/>
        </w:rPr>
        <w:t xml:space="preserve"> memiliki hak terhadap bagian mutlak harta peninggalan pewaris. Dalam KUHPerdata terdapat suatu asas bahwa hak itu boleh dipergunakan atau tidak tergantung dari pemilik hak. Sehingga perlindungan terhadap ahli waris </w:t>
      </w:r>
      <w:r w:rsidRPr="00DE30A6">
        <w:rPr>
          <w:b w:val="0"/>
          <w:i/>
          <w:color w:val="000000" w:themeColor="text1"/>
          <w:sz w:val="24"/>
          <w:szCs w:val="24"/>
        </w:rPr>
        <w:t>legitimaris</w:t>
      </w:r>
      <w:r w:rsidRPr="00DE30A6">
        <w:rPr>
          <w:b w:val="0"/>
          <w:color w:val="000000" w:themeColor="text1"/>
          <w:sz w:val="24"/>
          <w:szCs w:val="24"/>
        </w:rPr>
        <w:t xml:space="preserve"> hanya berlaku jika mereka melakukan penuntutan untuk memperoleh hak tersebut. Mengenai hal ini maka yang dapat menjadi </w:t>
      </w:r>
      <w:r w:rsidRPr="00DE30A6">
        <w:rPr>
          <w:b w:val="0"/>
          <w:color w:val="000000" w:themeColor="text1"/>
          <w:sz w:val="24"/>
          <w:szCs w:val="24"/>
        </w:rPr>
        <w:lastRenderedPageBreak/>
        <w:t xml:space="preserve">pilihan oleh </w:t>
      </w:r>
      <w:r w:rsidRPr="00DE30A6">
        <w:rPr>
          <w:b w:val="0"/>
          <w:i/>
          <w:color w:val="000000" w:themeColor="text1"/>
          <w:sz w:val="24"/>
          <w:szCs w:val="24"/>
        </w:rPr>
        <w:t>legitimaris</w:t>
      </w:r>
      <w:r w:rsidRPr="00DE30A6">
        <w:rPr>
          <w:b w:val="0"/>
          <w:color w:val="000000" w:themeColor="text1"/>
          <w:sz w:val="24"/>
          <w:szCs w:val="24"/>
        </w:rPr>
        <w:t xml:space="preserve"> yakni keberatan dengan bagian mutlaknya yang terlanggar ataupun menerima. </w:t>
      </w:r>
    </w:p>
    <w:p w:rsidR="00A818BB" w:rsidRPr="00DE30A6" w:rsidRDefault="00A818BB" w:rsidP="00A818BB">
      <w:pPr>
        <w:pStyle w:val="BodyTextIndent"/>
        <w:autoSpaceDE w:val="0"/>
        <w:autoSpaceDN w:val="0"/>
        <w:adjustRightInd w:val="0"/>
        <w:spacing w:line="480" w:lineRule="auto"/>
        <w:ind w:right="18" w:firstLine="720"/>
        <w:jc w:val="both"/>
        <w:rPr>
          <w:b w:val="0"/>
          <w:color w:val="000000" w:themeColor="text1"/>
          <w:sz w:val="24"/>
          <w:szCs w:val="24"/>
        </w:rPr>
      </w:pPr>
      <w:r w:rsidRPr="00DE30A6">
        <w:rPr>
          <w:b w:val="0"/>
          <w:color w:val="000000" w:themeColor="text1"/>
          <w:sz w:val="24"/>
          <w:szCs w:val="24"/>
        </w:rPr>
        <w:t>Bagian untuk ahli waris menurut Undang-Undang diberikan bagian tertentu Maksud yang diinginkan oleh Undang-undang agar tidak ada pelanggaran wasiat kepada mereka. Undang-Undang bermaksud bahwa mereka yang termasuk dalam ahli waris tanpa wasiat memiliki kedekatan dengan pewaris maka tidak baik ketika mereka tidak memiliki bagian dalam harta peninggalan tersebut</w:t>
      </w:r>
      <w:r w:rsidRPr="00DE30A6">
        <w:rPr>
          <w:b w:val="0"/>
          <w:color w:val="000000" w:themeColor="text1"/>
          <w:sz w:val="24"/>
          <w:szCs w:val="24"/>
          <w:lang w:val="en-US"/>
        </w:rPr>
        <w:t>, s</w:t>
      </w:r>
      <w:r w:rsidRPr="00DE30A6">
        <w:rPr>
          <w:b w:val="0"/>
          <w:color w:val="000000" w:themeColor="text1"/>
          <w:sz w:val="24"/>
          <w:szCs w:val="24"/>
        </w:rPr>
        <w:t xml:space="preserve">ehingga dapat dikatan bahwa ahli waris yang mempunyai hak untuk memperoleh </w:t>
      </w:r>
      <w:r w:rsidRPr="00DE30A6">
        <w:rPr>
          <w:b w:val="0"/>
          <w:i/>
          <w:iCs/>
          <w:color w:val="000000" w:themeColor="text1"/>
          <w:sz w:val="24"/>
          <w:szCs w:val="24"/>
        </w:rPr>
        <w:t xml:space="preserve">Legitime portie </w:t>
      </w:r>
      <w:r w:rsidRPr="00DE30A6">
        <w:rPr>
          <w:b w:val="0"/>
          <w:color w:val="000000" w:themeColor="text1"/>
          <w:sz w:val="24"/>
          <w:szCs w:val="24"/>
        </w:rPr>
        <w:t xml:space="preserve">yaitu ahli waris </w:t>
      </w:r>
      <w:r w:rsidRPr="00DE30A6">
        <w:rPr>
          <w:b w:val="0"/>
          <w:i/>
          <w:color w:val="000000" w:themeColor="text1"/>
          <w:sz w:val="24"/>
          <w:szCs w:val="24"/>
        </w:rPr>
        <w:t>ab intestato</w:t>
      </w:r>
      <w:r w:rsidRPr="00DE30A6">
        <w:rPr>
          <w:b w:val="0"/>
          <w:color w:val="000000" w:themeColor="text1"/>
          <w:sz w:val="24"/>
          <w:szCs w:val="24"/>
        </w:rPr>
        <w:t xml:space="preserve"> dan berada pada garis lurus</w:t>
      </w:r>
      <w:r w:rsidRPr="00DE30A6">
        <w:rPr>
          <w:rStyle w:val="FootnoteReference"/>
          <w:b w:val="0"/>
          <w:color w:val="000000" w:themeColor="text1"/>
        </w:rPr>
        <w:footnoteReference w:id="40"/>
      </w:r>
      <w:r w:rsidRPr="00DE30A6">
        <w:rPr>
          <w:b w:val="0"/>
          <w:color w:val="000000" w:themeColor="text1"/>
          <w:sz w:val="24"/>
          <w:szCs w:val="24"/>
        </w:rPr>
        <w:t xml:space="preserve">. Selain itu juga mencakup anak diluar nikah yang diakui secara sah sebagaimana ketentuan Undang-Undang. Dalam KUHPerdata terdapat perlindungan terhadap ahli waris </w:t>
      </w:r>
      <w:r w:rsidRPr="00DE30A6">
        <w:rPr>
          <w:b w:val="0"/>
          <w:i/>
          <w:iCs/>
          <w:color w:val="000000" w:themeColor="text1"/>
          <w:sz w:val="24"/>
          <w:szCs w:val="24"/>
        </w:rPr>
        <w:t xml:space="preserve">legitimaris </w:t>
      </w:r>
      <w:r w:rsidRPr="00DE30A6">
        <w:rPr>
          <w:b w:val="0"/>
          <w:color w:val="000000" w:themeColor="text1"/>
          <w:sz w:val="24"/>
          <w:szCs w:val="24"/>
        </w:rPr>
        <w:t xml:space="preserve">untuk mendapatkan hak mutlaknya. Sehingga pemberian hibah wasiat tidak boleh melanggar </w:t>
      </w:r>
      <w:r w:rsidRPr="00DE30A6">
        <w:rPr>
          <w:b w:val="0"/>
          <w:i/>
          <w:iCs/>
          <w:color w:val="000000" w:themeColor="text1"/>
          <w:sz w:val="24"/>
          <w:szCs w:val="24"/>
        </w:rPr>
        <w:t xml:space="preserve">Legitime portie </w:t>
      </w:r>
      <w:r w:rsidRPr="00DE30A6">
        <w:rPr>
          <w:b w:val="0"/>
          <w:color w:val="000000" w:themeColor="text1"/>
          <w:sz w:val="24"/>
          <w:szCs w:val="24"/>
        </w:rPr>
        <w:t xml:space="preserve">mereka. </w:t>
      </w:r>
    </w:p>
    <w:p w:rsidR="00A818BB" w:rsidRPr="00DE30A6" w:rsidRDefault="00A818BB" w:rsidP="00A818BB">
      <w:pPr>
        <w:autoSpaceDE w:val="0"/>
        <w:autoSpaceDN w:val="0"/>
        <w:adjustRightInd w:val="0"/>
        <w:spacing w:line="516" w:lineRule="auto"/>
        <w:ind w:firstLine="709"/>
        <w:jc w:val="both"/>
        <w:rPr>
          <w:noProof w:val="0"/>
          <w:color w:val="000000" w:themeColor="text1"/>
          <w:lang w:val="en-US" w:eastAsia="id-ID"/>
        </w:rPr>
      </w:pPr>
      <w:r w:rsidRPr="00DE30A6">
        <w:rPr>
          <w:color w:val="000000" w:themeColor="text1"/>
        </w:rPr>
        <w:t xml:space="preserve">Terdapat ketentuan bahwa ahli waris </w:t>
      </w:r>
      <w:r w:rsidRPr="00DE30A6">
        <w:rPr>
          <w:i/>
          <w:color w:val="000000" w:themeColor="text1"/>
        </w:rPr>
        <w:t>legitimaris</w:t>
      </w:r>
      <w:r w:rsidRPr="00DE30A6">
        <w:rPr>
          <w:color w:val="000000" w:themeColor="text1"/>
        </w:rPr>
        <w:t xml:space="preserve"> memiliki hak untuk melakukan penuntutan ataupun tidak terhadap bagian mutlak tersebut sebagaimana dalam suatu asas hak adalah hak. Benda yang di hibah wasiatkan harus merupakan milik sipewaris sebagaimana yang telah diatur dalam pasal 966 KUHPerdata dan apabila barang tersebut miliki orang lain maka hibah wasiat tersebut batal. Dan keadaan benda yang dihibah wasiatkan harus sesuai dengan </w:t>
      </w:r>
      <w:r w:rsidRPr="00DE30A6">
        <w:rPr>
          <w:color w:val="000000" w:themeColor="text1"/>
        </w:rPr>
        <w:lastRenderedPageBreak/>
        <w:t>keadaan pada hari pewaris wafat agar tidak terjadi kecurangan yang bisa saja dilakukan oleh ahli waris.</w:t>
      </w:r>
      <w:r w:rsidRPr="00DE30A6">
        <w:rPr>
          <w:rStyle w:val="FootnoteReference"/>
          <w:color w:val="000000" w:themeColor="text1"/>
        </w:rPr>
        <w:footnoteReference w:id="41"/>
      </w:r>
    </w:p>
    <w:p w:rsidR="00CB5D13" w:rsidRPr="00A818BB" w:rsidRDefault="001B2064" w:rsidP="00A818BB">
      <w:bookmarkStart w:id="19" w:name="_GoBack"/>
      <w:bookmarkEnd w:id="19"/>
    </w:p>
    <w:sectPr w:rsidR="00CB5D13" w:rsidRPr="00A818BB" w:rsidSect="0009163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064" w:rsidRDefault="001B2064" w:rsidP="00C756CF">
      <w:r>
        <w:separator/>
      </w:r>
    </w:p>
  </w:endnote>
  <w:endnote w:type="continuationSeparator" w:id="1">
    <w:p w:rsidR="001B2064" w:rsidRDefault="001B2064"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roman"/>
    <w:notTrueType/>
    <w:pitch w:val="variable"/>
    <w:sig w:usb0="01000001" w:usb1="00000000" w:usb2="00000000" w:usb3="00000000" w:csb0="0001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AC" w:rsidRDefault="00F20C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AC" w:rsidRDefault="00F20C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AC" w:rsidRDefault="00F20C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064" w:rsidRDefault="001B2064" w:rsidP="00C756CF">
      <w:r>
        <w:separator/>
      </w:r>
    </w:p>
  </w:footnote>
  <w:footnote w:type="continuationSeparator" w:id="1">
    <w:p w:rsidR="001B2064" w:rsidRDefault="001B2064" w:rsidP="00C756CF">
      <w:r>
        <w:continuationSeparator/>
      </w:r>
    </w:p>
  </w:footnote>
  <w:footnote w:id="2">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bookmarkStart w:id="1" w:name="_Hlk129800625"/>
      <w:r w:rsidRPr="00CD65CF">
        <w:rPr>
          <w:bCs/>
          <w:noProof w:val="0"/>
          <w:color w:val="000000" w:themeColor="text1"/>
          <w:sz w:val="20"/>
          <w:szCs w:val="20"/>
          <w:lang w:val="en-US" w:eastAsia="id-ID"/>
        </w:rPr>
        <w:t>Eman Suparman,</w:t>
      </w:r>
      <w:r w:rsidRPr="00CD65CF">
        <w:rPr>
          <w:bCs/>
          <w:i/>
          <w:iCs/>
          <w:noProof w:val="0"/>
          <w:color w:val="000000" w:themeColor="text1"/>
          <w:sz w:val="20"/>
          <w:szCs w:val="20"/>
          <w:lang w:val="en-US" w:eastAsia="id-ID"/>
        </w:rPr>
        <w:t>Intisari Hukum Waris Indonesia</w:t>
      </w:r>
      <w:r w:rsidRPr="00CD65CF">
        <w:rPr>
          <w:bCs/>
          <w:noProof w:val="0"/>
          <w:color w:val="000000" w:themeColor="text1"/>
          <w:sz w:val="20"/>
          <w:szCs w:val="20"/>
          <w:lang w:val="en-US" w:eastAsia="id-ID"/>
        </w:rPr>
        <w:t xml:space="preserve"> Mandar Maju. Bandung, 2015</w:t>
      </w:r>
      <w:bookmarkEnd w:id="1"/>
      <w:r w:rsidRPr="00CD65CF">
        <w:rPr>
          <w:bCs/>
          <w:noProof w:val="0"/>
          <w:color w:val="000000" w:themeColor="text1"/>
          <w:sz w:val="20"/>
          <w:szCs w:val="20"/>
          <w:lang w:val="en-US" w:eastAsia="id-ID"/>
        </w:rPr>
        <w:t>, h. 73</w:t>
      </w:r>
    </w:p>
  </w:footnote>
  <w:footnote w:id="3">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bookmarkStart w:id="2" w:name="_Hlk129800841"/>
      <w:r w:rsidRPr="00CD65CF">
        <w:rPr>
          <w:noProof w:val="0"/>
          <w:color w:val="000000" w:themeColor="text1"/>
          <w:lang w:val="en-US" w:eastAsia="id-ID"/>
        </w:rPr>
        <w:t xml:space="preserve">Abdul Manan, </w:t>
      </w:r>
      <w:r w:rsidRPr="00CD65CF">
        <w:rPr>
          <w:i/>
          <w:iCs/>
          <w:noProof w:val="0"/>
          <w:color w:val="000000" w:themeColor="text1"/>
          <w:lang w:val="en-US" w:eastAsia="id-ID"/>
        </w:rPr>
        <w:t>Aneka Masalah Hukum Perdata Islam Di Indonesia,</w:t>
      </w:r>
      <w:r w:rsidRPr="00CD65CF">
        <w:rPr>
          <w:noProof w:val="0"/>
          <w:color w:val="000000" w:themeColor="text1"/>
          <w:lang w:val="en-US" w:eastAsia="id-ID"/>
        </w:rPr>
        <w:t>Prenada Media Group, Jakarta, 2018</w:t>
      </w:r>
      <w:bookmarkEnd w:id="2"/>
      <w:r w:rsidRPr="00CD65CF">
        <w:rPr>
          <w:noProof w:val="0"/>
          <w:color w:val="000000" w:themeColor="text1"/>
          <w:lang w:val="en-US" w:eastAsia="id-ID"/>
        </w:rPr>
        <w:t>, h.132</w:t>
      </w:r>
    </w:p>
  </w:footnote>
  <w:footnote w:id="4">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bookmarkStart w:id="3" w:name="_Hlk129800757"/>
      <w:r w:rsidRPr="00CD65CF">
        <w:rPr>
          <w:noProof w:val="0"/>
          <w:color w:val="000000" w:themeColor="text1"/>
          <w:lang w:val="en-US" w:eastAsia="id-ID"/>
        </w:rPr>
        <w:t xml:space="preserve">Anisitus Amanat. </w:t>
      </w:r>
      <w:r w:rsidRPr="00CD65CF">
        <w:rPr>
          <w:i/>
          <w:iCs/>
          <w:noProof w:val="0"/>
          <w:color w:val="000000" w:themeColor="text1"/>
          <w:lang w:val="en-US" w:eastAsia="id-ID"/>
        </w:rPr>
        <w:t>Membagi Warisan Berdasarkan Pasal–Pasal Hukum Perdata BW</w:t>
      </w:r>
      <w:r w:rsidRPr="00CD65CF">
        <w:rPr>
          <w:noProof w:val="0"/>
          <w:color w:val="000000" w:themeColor="text1"/>
          <w:lang w:val="en-US" w:eastAsia="id-ID"/>
        </w:rPr>
        <w:t>. Raja Grafindo Persada, Jakarta, 2011</w:t>
      </w:r>
      <w:bookmarkEnd w:id="3"/>
      <w:r w:rsidRPr="00CD65CF">
        <w:rPr>
          <w:noProof w:val="0"/>
          <w:color w:val="000000" w:themeColor="text1"/>
          <w:lang w:val="en-US" w:eastAsia="id-ID"/>
        </w:rPr>
        <w:t>, h. 70.</w:t>
      </w:r>
    </w:p>
  </w:footnote>
  <w:footnote w:id="5">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bookmarkStart w:id="4" w:name="_Hlk129801458"/>
      <w:r w:rsidRPr="00CD65CF">
        <w:rPr>
          <w:noProof w:val="0"/>
          <w:color w:val="000000" w:themeColor="text1"/>
          <w:sz w:val="20"/>
          <w:szCs w:val="20"/>
          <w:lang w:val="en-US" w:eastAsia="id-ID"/>
        </w:rPr>
        <w:t xml:space="preserve">Eko Haryanti, “Pembatalan Akta Hibah Wasiat Yang Dibuat Dihadapan Notaris dan Akibat Hukumnya, </w:t>
      </w:r>
      <w:r w:rsidRPr="00CD65CF">
        <w:rPr>
          <w:i/>
          <w:noProof w:val="0"/>
          <w:color w:val="000000" w:themeColor="text1"/>
          <w:sz w:val="20"/>
          <w:szCs w:val="20"/>
          <w:lang w:val="en-US" w:eastAsia="id-ID"/>
        </w:rPr>
        <w:t>Jurnal Repertori</w:t>
      </w:r>
      <w:r w:rsidRPr="00CD65CF">
        <w:rPr>
          <w:noProof w:val="0"/>
          <w:color w:val="000000" w:themeColor="text1"/>
          <w:sz w:val="20"/>
          <w:szCs w:val="20"/>
          <w:lang w:val="en-US" w:eastAsia="id-ID"/>
        </w:rPr>
        <w:t xml:space="preserve"> Edisi 3 Januari-Juni 2015</w:t>
      </w:r>
      <w:bookmarkEnd w:id="4"/>
      <w:r w:rsidRPr="00CD65CF">
        <w:rPr>
          <w:noProof w:val="0"/>
          <w:color w:val="000000" w:themeColor="text1"/>
          <w:sz w:val="20"/>
          <w:szCs w:val="20"/>
          <w:lang w:val="en-US" w:eastAsia="id-ID"/>
        </w:rPr>
        <w:t>. h. 176</w:t>
      </w:r>
    </w:p>
  </w:footnote>
  <w:footnote w:id="6">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bookmarkStart w:id="5" w:name="_Hlk129801569"/>
      <w:r w:rsidRPr="00CD65CF">
        <w:rPr>
          <w:color w:val="000000" w:themeColor="text1"/>
          <w:sz w:val="20"/>
          <w:szCs w:val="20"/>
          <w:lang w:val="en-US"/>
        </w:rPr>
        <w:t>R.</w:t>
      </w:r>
      <w:r w:rsidRPr="00CD65CF">
        <w:rPr>
          <w:noProof w:val="0"/>
          <w:color w:val="000000" w:themeColor="text1"/>
          <w:sz w:val="20"/>
          <w:szCs w:val="20"/>
          <w:lang w:val="en-US" w:eastAsia="id-ID"/>
        </w:rPr>
        <w:t xml:space="preserve"> Subekti, </w:t>
      </w:r>
      <w:r w:rsidRPr="00CD65CF">
        <w:rPr>
          <w:i/>
          <w:noProof w:val="0"/>
          <w:color w:val="000000" w:themeColor="text1"/>
          <w:sz w:val="20"/>
          <w:szCs w:val="20"/>
          <w:lang w:val="en-US" w:eastAsia="id-ID"/>
        </w:rPr>
        <w:t>Pokok-Pokok Hukum Perdata</w:t>
      </w:r>
      <w:r w:rsidRPr="00CD65CF">
        <w:rPr>
          <w:noProof w:val="0"/>
          <w:color w:val="000000" w:themeColor="text1"/>
          <w:sz w:val="20"/>
          <w:szCs w:val="20"/>
          <w:lang w:val="en-US" w:eastAsia="id-ID"/>
        </w:rPr>
        <w:t>,  Intermasa, Jakarta, 2018</w:t>
      </w:r>
      <w:bookmarkEnd w:id="5"/>
      <w:r w:rsidRPr="00CD65CF">
        <w:rPr>
          <w:noProof w:val="0"/>
          <w:color w:val="000000" w:themeColor="text1"/>
          <w:sz w:val="20"/>
          <w:szCs w:val="20"/>
          <w:lang w:val="en-US" w:eastAsia="id-ID"/>
        </w:rPr>
        <w:t>, h. 107</w:t>
      </w:r>
    </w:p>
  </w:footnote>
  <w:footnote w:id="7">
    <w:p w:rsidR="00A818BB" w:rsidRPr="00CD65CF" w:rsidRDefault="00A818BB" w:rsidP="00A818BB">
      <w:pPr>
        <w:pStyle w:val="Default"/>
        <w:ind w:firstLine="720"/>
        <w:jc w:val="both"/>
        <w:rPr>
          <w:color w:val="000000" w:themeColor="text1"/>
          <w:sz w:val="20"/>
          <w:szCs w:val="20"/>
        </w:rPr>
      </w:pPr>
      <w:r w:rsidRPr="00CD65CF">
        <w:rPr>
          <w:rStyle w:val="FootnoteReference"/>
          <w:color w:val="000000" w:themeColor="text1"/>
          <w:sz w:val="20"/>
          <w:szCs w:val="20"/>
        </w:rPr>
        <w:footnoteRef/>
      </w:r>
      <w:r w:rsidRPr="00CD65CF">
        <w:rPr>
          <w:color w:val="000000" w:themeColor="text1"/>
          <w:sz w:val="20"/>
          <w:szCs w:val="20"/>
          <w:lang w:eastAsia="id-ID"/>
        </w:rPr>
        <w:t xml:space="preserve">M. Yahya Harahap, </w:t>
      </w:r>
      <w:r w:rsidRPr="00CD65CF">
        <w:rPr>
          <w:i/>
          <w:iCs/>
          <w:color w:val="000000" w:themeColor="text1"/>
          <w:sz w:val="20"/>
          <w:szCs w:val="20"/>
        </w:rPr>
        <w:t xml:space="preserve">Segi-Segi Hukum Perjanjian, </w:t>
      </w:r>
      <w:r w:rsidRPr="00CD65CF">
        <w:rPr>
          <w:color w:val="000000" w:themeColor="text1"/>
          <w:sz w:val="20"/>
          <w:szCs w:val="20"/>
        </w:rPr>
        <w:t>Alumni</w:t>
      </w:r>
      <w:r w:rsidRPr="00CD65CF">
        <w:rPr>
          <w:color w:val="000000" w:themeColor="text1"/>
          <w:sz w:val="20"/>
          <w:szCs w:val="20"/>
          <w:lang w:eastAsia="id-ID"/>
        </w:rPr>
        <w:t xml:space="preserve">, </w:t>
      </w:r>
      <w:r w:rsidRPr="00CD65CF">
        <w:rPr>
          <w:color w:val="000000" w:themeColor="text1"/>
          <w:sz w:val="20"/>
          <w:szCs w:val="20"/>
        </w:rPr>
        <w:t xml:space="preserve">Bandung, 2016, </w:t>
      </w:r>
      <w:r w:rsidRPr="00CD65CF">
        <w:rPr>
          <w:color w:val="000000" w:themeColor="text1"/>
          <w:sz w:val="20"/>
          <w:szCs w:val="20"/>
          <w:lang w:eastAsia="id-ID"/>
        </w:rPr>
        <w:t>h. 273.</w:t>
      </w:r>
    </w:p>
  </w:footnote>
  <w:footnote w:id="8">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color w:val="000000" w:themeColor="text1"/>
          <w:lang w:val="en-US"/>
        </w:rPr>
        <w:t xml:space="preserve">R. </w:t>
      </w:r>
      <w:r w:rsidRPr="00CD65CF">
        <w:rPr>
          <w:noProof w:val="0"/>
          <w:color w:val="000000" w:themeColor="text1"/>
          <w:lang w:val="en-US" w:eastAsia="id-ID"/>
        </w:rPr>
        <w:t xml:space="preserve">Subekti, </w:t>
      </w:r>
      <w:r w:rsidRPr="00CD65CF">
        <w:rPr>
          <w:i/>
          <w:iCs/>
          <w:noProof w:val="0"/>
          <w:color w:val="000000" w:themeColor="text1"/>
          <w:lang w:val="en-US" w:eastAsia="id-ID"/>
        </w:rPr>
        <w:t>Op. Cit</w:t>
      </w:r>
      <w:r w:rsidRPr="00CD65CF">
        <w:rPr>
          <w:noProof w:val="0"/>
          <w:color w:val="000000" w:themeColor="text1"/>
          <w:lang w:val="en-US" w:eastAsia="id-ID"/>
        </w:rPr>
        <w:t>, h. 95</w:t>
      </w:r>
    </w:p>
  </w:footnote>
  <w:footnote w:id="9">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i/>
          <w:iCs/>
          <w:noProof w:val="0"/>
          <w:color w:val="000000" w:themeColor="text1"/>
          <w:lang w:val="en-US" w:eastAsia="id-ID"/>
        </w:rPr>
        <w:t xml:space="preserve">Ibid, </w:t>
      </w:r>
      <w:r w:rsidRPr="00CD65CF">
        <w:rPr>
          <w:noProof w:val="0"/>
          <w:color w:val="000000" w:themeColor="text1"/>
          <w:lang w:val="en-US" w:eastAsia="id-ID"/>
        </w:rPr>
        <w:t>h</w:t>
      </w:r>
      <w:r w:rsidRPr="00CD65CF">
        <w:rPr>
          <w:i/>
          <w:iCs/>
          <w:noProof w:val="0"/>
          <w:color w:val="000000" w:themeColor="text1"/>
          <w:lang w:val="en-US" w:eastAsia="id-ID"/>
        </w:rPr>
        <w:t xml:space="preserve">. </w:t>
      </w:r>
      <w:r w:rsidRPr="00CD65CF">
        <w:rPr>
          <w:noProof w:val="0"/>
          <w:color w:val="000000" w:themeColor="text1"/>
          <w:lang w:val="en-US" w:eastAsia="id-ID"/>
        </w:rPr>
        <w:t>95</w:t>
      </w:r>
      <w:r w:rsidRPr="00CD65CF">
        <w:rPr>
          <w:i/>
          <w:iCs/>
          <w:noProof w:val="0"/>
          <w:color w:val="000000" w:themeColor="text1"/>
          <w:lang w:val="en-US" w:eastAsia="id-ID"/>
        </w:rPr>
        <w:t>.</w:t>
      </w:r>
    </w:p>
  </w:footnote>
  <w:footnote w:id="10">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noProof w:val="0"/>
          <w:color w:val="000000" w:themeColor="text1"/>
          <w:lang w:val="en-US" w:eastAsia="id-ID"/>
        </w:rPr>
        <w:t xml:space="preserve">M. Yahya Harahap, </w:t>
      </w:r>
      <w:r w:rsidRPr="00CD65CF">
        <w:rPr>
          <w:i/>
          <w:iCs/>
          <w:noProof w:val="0"/>
          <w:color w:val="000000" w:themeColor="text1"/>
          <w:lang w:val="en-US" w:eastAsia="id-ID"/>
        </w:rPr>
        <w:t>Op.Cit</w:t>
      </w:r>
      <w:r w:rsidRPr="00CD65CF">
        <w:rPr>
          <w:iCs/>
          <w:noProof w:val="0"/>
          <w:color w:val="000000" w:themeColor="text1"/>
          <w:lang w:val="en-US" w:eastAsia="id-ID"/>
        </w:rPr>
        <w:t>, h.274.</w:t>
      </w:r>
    </w:p>
  </w:footnote>
  <w:footnote w:id="11">
    <w:p w:rsidR="00A818BB" w:rsidRPr="00CD65CF" w:rsidRDefault="00A818BB" w:rsidP="00A818BB">
      <w:pPr>
        <w:pStyle w:val="Default"/>
        <w:ind w:firstLine="720"/>
        <w:jc w:val="both"/>
        <w:rPr>
          <w:color w:val="000000" w:themeColor="text1"/>
          <w:sz w:val="20"/>
          <w:szCs w:val="20"/>
        </w:rPr>
      </w:pPr>
      <w:bookmarkStart w:id="6" w:name="_Hlk129802212"/>
      <w:r w:rsidRPr="00CD65CF">
        <w:rPr>
          <w:rStyle w:val="FootnoteReference"/>
          <w:color w:val="000000" w:themeColor="text1"/>
          <w:sz w:val="20"/>
          <w:szCs w:val="20"/>
        </w:rPr>
        <w:footnoteRef/>
      </w:r>
      <w:r w:rsidRPr="00CD65CF">
        <w:rPr>
          <w:color w:val="000000" w:themeColor="text1"/>
          <w:sz w:val="20"/>
          <w:szCs w:val="20"/>
        </w:rPr>
        <w:t xml:space="preserve"> R.</w:t>
      </w:r>
      <w:r w:rsidRPr="00CD65CF">
        <w:rPr>
          <w:color w:val="000000" w:themeColor="text1"/>
          <w:sz w:val="20"/>
          <w:szCs w:val="20"/>
          <w:lang w:eastAsia="id-ID"/>
        </w:rPr>
        <w:t xml:space="preserve">Wirjono Projodikoro, </w:t>
      </w:r>
      <w:r w:rsidRPr="00CD65CF">
        <w:rPr>
          <w:i/>
          <w:color w:val="000000" w:themeColor="text1"/>
          <w:sz w:val="20"/>
          <w:szCs w:val="20"/>
        </w:rPr>
        <w:t>Asas-asas Hukum Perjanjian</w:t>
      </w:r>
      <w:r w:rsidRPr="00CD65CF">
        <w:rPr>
          <w:color w:val="000000" w:themeColor="text1"/>
          <w:sz w:val="20"/>
          <w:szCs w:val="20"/>
        </w:rPr>
        <w:t xml:space="preserve"> Bale, Bandung , 2014</w:t>
      </w:r>
      <w:bookmarkEnd w:id="6"/>
      <w:r w:rsidRPr="00CD65CF">
        <w:rPr>
          <w:color w:val="000000" w:themeColor="text1"/>
          <w:sz w:val="20"/>
          <w:szCs w:val="20"/>
        </w:rPr>
        <w:t>, h</w:t>
      </w:r>
      <w:r w:rsidRPr="00CD65CF">
        <w:rPr>
          <w:color w:val="000000" w:themeColor="text1"/>
          <w:sz w:val="20"/>
          <w:szCs w:val="20"/>
          <w:lang w:eastAsia="id-ID"/>
        </w:rPr>
        <w:t>. 116</w:t>
      </w:r>
    </w:p>
  </w:footnote>
  <w:footnote w:id="12">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i/>
          <w:iCs/>
          <w:noProof w:val="0"/>
          <w:color w:val="000000" w:themeColor="text1"/>
          <w:lang w:val="en-US" w:eastAsia="id-ID"/>
        </w:rPr>
        <w:t xml:space="preserve">Ibid, </w:t>
      </w:r>
      <w:r w:rsidRPr="00CD65CF">
        <w:rPr>
          <w:noProof w:val="0"/>
          <w:color w:val="000000" w:themeColor="text1"/>
          <w:lang w:val="en-US" w:eastAsia="id-ID"/>
        </w:rPr>
        <w:t>h. 117.</w:t>
      </w:r>
    </w:p>
  </w:footnote>
  <w:footnote w:id="13">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i/>
          <w:iCs/>
          <w:noProof w:val="0"/>
          <w:color w:val="000000" w:themeColor="text1"/>
          <w:lang w:val="en-US" w:eastAsia="id-ID"/>
        </w:rPr>
        <w:t xml:space="preserve">Ibid, </w:t>
      </w:r>
      <w:r w:rsidRPr="00CD65CF">
        <w:rPr>
          <w:noProof w:val="0"/>
          <w:color w:val="000000" w:themeColor="text1"/>
          <w:lang w:val="en-US" w:eastAsia="id-ID"/>
        </w:rPr>
        <w:t>h. 118</w:t>
      </w:r>
    </w:p>
  </w:footnote>
  <w:footnote w:id="14">
    <w:p w:rsidR="00A818BB" w:rsidRPr="00CD65CF" w:rsidRDefault="00A818BB" w:rsidP="00A818BB">
      <w:pPr>
        <w:pStyle w:val="FootnoteText"/>
        <w:ind w:firstLine="720"/>
        <w:jc w:val="both"/>
        <w:rPr>
          <w:i/>
          <w:color w:val="000000" w:themeColor="text1"/>
          <w:lang w:val="en-US"/>
        </w:rPr>
      </w:pPr>
      <w:r w:rsidRPr="00CD65CF">
        <w:rPr>
          <w:rStyle w:val="FootnoteReference"/>
          <w:color w:val="000000" w:themeColor="text1"/>
        </w:rPr>
        <w:footnoteRef/>
      </w:r>
      <w:r w:rsidRPr="00CD65CF">
        <w:rPr>
          <w:i/>
          <w:color w:val="000000" w:themeColor="text1"/>
          <w:lang w:val="en-US"/>
        </w:rPr>
        <w:t>Ibid.</w:t>
      </w:r>
    </w:p>
  </w:footnote>
  <w:footnote w:id="15">
    <w:p w:rsidR="00A818BB" w:rsidRPr="00CD65CF" w:rsidRDefault="00A818BB" w:rsidP="00A818BB">
      <w:pPr>
        <w:pStyle w:val="FootnoteText"/>
        <w:ind w:firstLine="720"/>
        <w:jc w:val="both"/>
        <w:rPr>
          <w:i/>
          <w:color w:val="000000" w:themeColor="text1"/>
          <w:lang w:val="en-US"/>
        </w:rPr>
      </w:pPr>
      <w:r w:rsidRPr="00CD65CF">
        <w:rPr>
          <w:rStyle w:val="FootnoteReference"/>
          <w:color w:val="000000" w:themeColor="text1"/>
        </w:rPr>
        <w:footnoteRef/>
      </w:r>
      <w:r w:rsidRPr="00CD65CF">
        <w:rPr>
          <w:i/>
          <w:color w:val="000000" w:themeColor="text1"/>
          <w:lang w:val="en-US"/>
        </w:rPr>
        <w:t>Ibid.</w:t>
      </w:r>
    </w:p>
  </w:footnote>
  <w:footnote w:id="16">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noProof w:val="0"/>
          <w:color w:val="000000" w:themeColor="text1"/>
          <w:lang w:val="en-US" w:eastAsia="id-ID"/>
        </w:rPr>
        <w:t xml:space="preserve">Subekti, </w:t>
      </w:r>
      <w:r w:rsidRPr="00CD65CF">
        <w:rPr>
          <w:i/>
          <w:iCs/>
          <w:noProof w:val="0"/>
          <w:color w:val="000000" w:themeColor="text1"/>
          <w:lang w:val="en-US" w:eastAsia="id-ID"/>
        </w:rPr>
        <w:t xml:space="preserve">Op. Cit, </w:t>
      </w:r>
      <w:r w:rsidRPr="00CD65CF">
        <w:rPr>
          <w:noProof w:val="0"/>
          <w:color w:val="000000" w:themeColor="text1"/>
          <w:lang w:val="en-US" w:eastAsia="id-ID"/>
        </w:rPr>
        <w:t>h. 95</w:t>
      </w:r>
    </w:p>
  </w:footnote>
  <w:footnote w:id="17">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color w:val="000000" w:themeColor="text1"/>
        </w:rPr>
        <w:t>Anisitus Amanat</w:t>
      </w:r>
      <w:r w:rsidRPr="00CD65CF">
        <w:rPr>
          <w:noProof w:val="0"/>
          <w:color w:val="000000" w:themeColor="text1"/>
          <w:lang w:val="en-US" w:eastAsia="id-ID"/>
        </w:rPr>
        <w:t xml:space="preserve">, </w:t>
      </w:r>
      <w:r w:rsidRPr="00CD65CF">
        <w:rPr>
          <w:i/>
          <w:iCs/>
          <w:noProof w:val="0"/>
          <w:color w:val="000000" w:themeColor="text1"/>
          <w:lang w:val="en-US" w:eastAsia="id-ID"/>
        </w:rPr>
        <w:t xml:space="preserve">Op.Cit, </w:t>
      </w:r>
      <w:r w:rsidRPr="00CD65CF">
        <w:rPr>
          <w:noProof w:val="0"/>
          <w:color w:val="000000" w:themeColor="text1"/>
          <w:lang w:val="en-US" w:eastAsia="id-ID"/>
        </w:rPr>
        <w:t>h. 60</w:t>
      </w:r>
    </w:p>
  </w:footnote>
  <w:footnote w:id="18">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bookmarkStart w:id="7" w:name="_Hlk129802339"/>
      <w:r w:rsidRPr="00CD65CF">
        <w:rPr>
          <w:color w:val="000000" w:themeColor="text1"/>
          <w:sz w:val="20"/>
          <w:szCs w:val="20"/>
          <w:lang w:val="en-US"/>
        </w:rPr>
        <w:t xml:space="preserve">N. </w:t>
      </w:r>
      <w:r w:rsidRPr="00CD65CF">
        <w:rPr>
          <w:noProof w:val="0"/>
          <w:color w:val="000000" w:themeColor="text1"/>
          <w:sz w:val="20"/>
          <w:szCs w:val="20"/>
          <w:lang w:val="en-US" w:eastAsia="id-ID"/>
        </w:rPr>
        <w:t xml:space="preserve">Mandasari, “Cacat Hukum dalam Hibah sebagai Perjanjian Sepihak dan Implikasinya”, </w:t>
      </w:r>
      <w:r w:rsidRPr="00CD65CF">
        <w:rPr>
          <w:i/>
          <w:noProof w:val="0"/>
          <w:color w:val="000000" w:themeColor="text1"/>
          <w:sz w:val="20"/>
          <w:szCs w:val="20"/>
          <w:lang w:val="en-US" w:eastAsia="id-ID"/>
        </w:rPr>
        <w:t xml:space="preserve"> Jurnal </w:t>
      </w:r>
      <w:r w:rsidRPr="00CD65CF">
        <w:rPr>
          <w:i/>
          <w:iCs/>
          <w:noProof w:val="0"/>
          <w:color w:val="000000" w:themeColor="text1"/>
          <w:sz w:val="20"/>
          <w:szCs w:val="20"/>
          <w:lang w:val="en-US" w:eastAsia="id-ID"/>
        </w:rPr>
        <w:t>Notarius</w:t>
      </w:r>
      <w:r w:rsidRPr="00CD65CF">
        <w:rPr>
          <w:noProof w:val="0"/>
          <w:color w:val="000000" w:themeColor="text1"/>
          <w:sz w:val="20"/>
          <w:szCs w:val="20"/>
          <w:lang w:val="en-US" w:eastAsia="id-ID"/>
        </w:rPr>
        <w:t xml:space="preserve">, Vol. </w:t>
      </w:r>
      <w:r w:rsidRPr="00CD65CF">
        <w:rPr>
          <w:iCs/>
          <w:noProof w:val="0"/>
          <w:color w:val="000000" w:themeColor="text1"/>
          <w:sz w:val="20"/>
          <w:szCs w:val="20"/>
          <w:lang w:val="en-US" w:eastAsia="id-ID"/>
        </w:rPr>
        <w:t xml:space="preserve">11 Nomor </w:t>
      </w:r>
      <w:r w:rsidRPr="00CD65CF">
        <w:rPr>
          <w:noProof w:val="0"/>
          <w:color w:val="000000" w:themeColor="text1"/>
          <w:sz w:val="20"/>
          <w:szCs w:val="20"/>
          <w:lang w:val="en-US" w:eastAsia="id-ID"/>
        </w:rPr>
        <w:t>1 (2019</w:t>
      </w:r>
      <w:bookmarkEnd w:id="7"/>
      <w:r w:rsidRPr="00CD65CF">
        <w:rPr>
          <w:noProof w:val="0"/>
          <w:color w:val="000000" w:themeColor="text1"/>
          <w:sz w:val="20"/>
          <w:szCs w:val="20"/>
          <w:lang w:val="en-US" w:eastAsia="id-ID"/>
        </w:rPr>
        <w:t>), h.100</w:t>
      </w:r>
    </w:p>
  </w:footnote>
  <w:footnote w:id="19">
    <w:p w:rsidR="00A818BB" w:rsidRPr="00CD65CF" w:rsidRDefault="00A818BB" w:rsidP="00A818BB">
      <w:pPr>
        <w:autoSpaceDE w:val="0"/>
        <w:autoSpaceDN w:val="0"/>
        <w:adjustRightInd w:val="0"/>
        <w:ind w:firstLine="720"/>
        <w:jc w:val="both"/>
        <w:rPr>
          <w:color w:val="000000" w:themeColor="text1"/>
          <w:sz w:val="20"/>
          <w:szCs w:val="20"/>
          <w:lang w:val="en-US"/>
        </w:rPr>
      </w:pPr>
      <w:bookmarkStart w:id="8" w:name="_Hlk129802375"/>
      <w:r w:rsidRPr="00CD65CF">
        <w:rPr>
          <w:rStyle w:val="FootnoteReference"/>
          <w:color w:val="000000" w:themeColor="text1"/>
          <w:sz w:val="20"/>
          <w:szCs w:val="20"/>
        </w:rPr>
        <w:footnoteRef/>
      </w:r>
      <w:r w:rsidRPr="00CD65CF">
        <w:rPr>
          <w:noProof w:val="0"/>
          <w:color w:val="000000" w:themeColor="text1"/>
          <w:sz w:val="20"/>
          <w:szCs w:val="20"/>
          <w:lang w:val="en-US" w:eastAsia="id-ID"/>
        </w:rPr>
        <w:t>Anggreni dan IN Subanda, “Implementasi Kebijakan Penyaluran Hibah dan Bantuan Sosial Kemasyarakatan di Kabupaten Buleleng”.</w:t>
      </w:r>
      <w:r w:rsidRPr="00CD65CF">
        <w:rPr>
          <w:i/>
          <w:iCs/>
          <w:noProof w:val="0"/>
          <w:color w:val="000000" w:themeColor="text1"/>
          <w:sz w:val="20"/>
          <w:szCs w:val="20"/>
          <w:lang w:val="en-US" w:eastAsia="id-ID"/>
        </w:rPr>
        <w:t>Jurnal Ilmiah MEA (Manajemen, Ekonomi, &amp; Akuntansi)</w:t>
      </w:r>
      <w:r w:rsidRPr="00CD65CF">
        <w:rPr>
          <w:noProof w:val="0"/>
          <w:color w:val="000000" w:themeColor="text1"/>
          <w:sz w:val="20"/>
          <w:szCs w:val="20"/>
          <w:lang w:val="en-US" w:eastAsia="id-ID"/>
        </w:rPr>
        <w:t xml:space="preserve">, Vol. </w:t>
      </w:r>
      <w:r w:rsidRPr="00CD65CF">
        <w:rPr>
          <w:iCs/>
          <w:noProof w:val="0"/>
          <w:color w:val="000000" w:themeColor="text1"/>
          <w:sz w:val="20"/>
          <w:szCs w:val="20"/>
          <w:lang w:val="en-US" w:eastAsia="id-ID"/>
        </w:rPr>
        <w:t>4</w:t>
      </w:r>
      <w:r w:rsidRPr="00CD65CF">
        <w:rPr>
          <w:noProof w:val="0"/>
          <w:color w:val="000000" w:themeColor="text1"/>
          <w:sz w:val="20"/>
          <w:szCs w:val="20"/>
          <w:lang w:val="en-US" w:eastAsia="id-ID"/>
        </w:rPr>
        <w:t xml:space="preserve"> No.2 (2018</w:t>
      </w:r>
      <w:bookmarkEnd w:id="8"/>
      <w:r w:rsidRPr="00CD65CF">
        <w:rPr>
          <w:noProof w:val="0"/>
          <w:color w:val="000000" w:themeColor="text1"/>
          <w:sz w:val="20"/>
          <w:szCs w:val="20"/>
          <w:lang w:val="en-US" w:eastAsia="id-ID"/>
        </w:rPr>
        <w:t>), h., 98-</w:t>
      </w:r>
    </w:p>
  </w:footnote>
  <w:footnote w:id="20">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bookmarkStart w:id="9" w:name="_Hlk129802455"/>
      <w:r w:rsidRPr="00CD65CF">
        <w:rPr>
          <w:noProof w:val="0"/>
          <w:color w:val="000000" w:themeColor="text1"/>
          <w:sz w:val="20"/>
          <w:szCs w:val="20"/>
          <w:lang w:val="en-US" w:eastAsia="id-ID"/>
        </w:rPr>
        <w:t xml:space="preserve">M., Abbas, Malahayati  dan D. Dahlan, “Kekuatan Hukum Akta Hibah untuk Anak Angkat”. </w:t>
      </w:r>
      <w:r w:rsidRPr="00CD65CF">
        <w:rPr>
          <w:i/>
          <w:iCs/>
          <w:noProof w:val="0"/>
          <w:color w:val="000000" w:themeColor="text1"/>
          <w:sz w:val="20"/>
          <w:szCs w:val="20"/>
          <w:lang w:val="en-US" w:eastAsia="id-ID"/>
        </w:rPr>
        <w:t>Kanun Jurnal Ilmu Hukum</w:t>
      </w:r>
      <w:r w:rsidRPr="00CD65CF">
        <w:rPr>
          <w:noProof w:val="0"/>
          <w:color w:val="000000" w:themeColor="text1"/>
          <w:sz w:val="20"/>
          <w:szCs w:val="20"/>
          <w:lang w:val="en-US" w:eastAsia="id-ID"/>
        </w:rPr>
        <w:t>, Vol.</w:t>
      </w:r>
      <w:r w:rsidRPr="00CD65CF">
        <w:rPr>
          <w:iCs/>
          <w:noProof w:val="0"/>
          <w:color w:val="000000" w:themeColor="text1"/>
          <w:sz w:val="20"/>
          <w:szCs w:val="20"/>
          <w:lang w:val="en-US" w:eastAsia="id-ID"/>
        </w:rPr>
        <w:t xml:space="preserve">21 No. </w:t>
      </w:r>
      <w:r w:rsidRPr="00CD65CF">
        <w:rPr>
          <w:noProof w:val="0"/>
          <w:color w:val="000000" w:themeColor="text1"/>
          <w:sz w:val="20"/>
          <w:szCs w:val="20"/>
          <w:lang w:val="en-US" w:eastAsia="id-ID"/>
        </w:rPr>
        <w:t>2 (2019</w:t>
      </w:r>
      <w:bookmarkEnd w:id="9"/>
      <w:r w:rsidRPr="00CD65CF">
        <w:rPr>
          <w:noProof w:val="0"/>
          <w:color w:val="000000" w:themeColor="text1"/>
          <w:sz w:val="20"/>
          <w:szCs w:val="20"/>
          <w:lang w:val="en-US" w:eastAsia="id-ID"/>
        </w:rPr>
        <w:t>), h.187-</w:t>
      </w:r>
    </w:p>
  </w:footnote>
  <w:footnote w:id="21">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i/>
          <w:color w:val="000000" w:themeColor="text1"/>
          <w:lang w:val="en-US"/>
        </w:rPr>
        <w:t>Ibid</w:t>
      </w:r>
      <w:r w:rsidRPr="00CD65CF">
        <w:rPr>
          <w:color w:val="000000" w:themeColor="text1"/>
          <w:lang w:val="en-US"/>
        </w:rPr>
        <w:t>, h.188.</w:t>
      </w:r>
    </w:p>
  </w:footnote>
  <w:footnote w:id="22">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bookmarkStart w:id="10" w:name="_Hlk129802509"/>
      <w:r w:rsidRPr="00CD65CF">
        <w:rPr>
          <w:color w:val="000000" w:themeColor="text1"/>
          <w:sz w:val="20"/>
          <w:szCs w:val="20"/>
          <w:lang w:val="en-US"/>
        </w:rPr>
        <w:t xml:space="preserve">Y. </w:t>
      </w:r>
      <w:r w:rsidRPr="00CD65CF">
        <w:rPr>
          <w:noProof w:val="0"/>
          <w:color w:val="000000" w:themeColor="text1"/>
          <w:sz w:val="20"/>
          <w:szCs w:val="20"/>
          <w:lang w:val="en-US" w:eastAsia="id-ID"/>
        </w:rPr>
        <w:t xml:space="preserve">Yuvita, “Hibah Orang Tua Kepada Anak Menurut Perspektif Hukum Perdata DanHukum Islam Pada Masyarakat Di Kelurahan Betungan Kota Bengkulu”. </w:t>
      </w:r>
      <w:r w:rsidRPr="00CD65CF">
        <w:rPr>
          <w:i/>
          <w:iCs/>
          <w:noProof w:val="0"/>
          <w:color w:val="000000" w:themeColor="text1"/>
          <w:sz w:val="20"/>
          <w:szCs w:val="20"/>
          <w:lang w:val="en-US" w:eastAsia="id-ID"/>
        </w:rPr>
        <w:t>Qiyas: Jurnal Hukum Islam dan Peradilan</w:t>
      </w:r>
      <w:r w:rsidRPr="00CD65CF">
        <w:rPr>
          <w:noProof w:val="0"/>
          <w:color w:val="000000" w:themeColor="text1"/>
          <w:sz w:val="20"/>
          <w:szCs w:val="20"/>
          <w:lang w:val="en-US" w:eastAsia="id-ID"/>
        </w:rPr>
        <w:t>, Vol.</w:t>
      </w:r>
      <w:r w:rsidRPr="00CD65CF">
        <w:rPr>
          <w:i/>
          <w:iCs/>
          <w:noProof w:val="0"/>
          <w:color w:val="000000" w:themeColor="text1"/>
          <w:sz w:val="20"/>
          <w:szCs w:val="20"/>
          <w:lang w:val="en-US" w:eastAsia="id-ID"/>
        </w:rPr>
        <w:t>3</w:t>
      </w:r>
      <w:r w:rsidRPr="00CD65CF">
        <w:rPr>
          <w:noProof w:val="0"/>
          <w:color w:val="000000" w:themeColor="text1"/>
          <w:sz w:val="20"/>
          <w:szCs w:val="20"/>
          <w:lang w:val="en-US" w:eastAsia="id-ID"/>
        </w:rPr>
        <w:t xml:space="preserve"> No. 1 (2020</w:t>
      </w:r>
      <w:bookmarkEnd w:id="10"/>
      <w:r w:rsidRPr="00CD65CF">
        <w:rPr>
          <w:noProof w:val="0"/>
          <w:color w:val="000000" w:themeColor="text1"/>
          <w:sz w:val="20"/>
          <w:szCs w:val="20"/>
          <w:lang w:val="en-US" w:eastAsia="id-ID"/>
        </w:rPr>
        <w:t>),h. 63.</w:t>
      </w:r>
    </w:p>
  </w:footnote>
  <w:footnote w:id="23">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r w:rsidRPr="00CD65CF">
        <w:rPr>
          <w:noProof w:val="0"/>
          <w:color w:val="000000" w:themeColor="text1"/>
          <w:sz w:val="20"/>
          <w:szCs w:val="20"/>
          <w:lang w:val="en-US" w:eastAsia="id-ID"/>
        </w:rPr>
        <w:t xml:space="preserve">M.Idris Ramulyo, </w:t>
      </w:r>
      <w:r w:rsidRPr="00CD65CF">
        <w:rPr>
          <w:i/>
          <w:iCs/>
          <w:noProof w:val="0"/>
          <w:color w:val="000000" w:themeColor="text1"/>
          <w:sz w:val="20"/>
          <w:szCs w:val="20"/>
          <w:lang w:val="en-US" w:eastAsia="id-ID"/>
        </w:rPr>
        <w:t>Perbandingan Hukum Kewarisan Islam Dengan Kewarisan Kitab Undang-Undang Hukum Perdata</w:t>
      </w:r>
      <w:r w:rsidRPr="00CD65CF">
        <w:rPr>
          <w:noProof w:val="0"/>
          <w:color w:val="000000" w:themeColor="text1"/>
          <w:sz w:val="20"/>
          <w:szCs w:val="20"/>
          <w:lang w:val="en-US" w:eastAsia="id-ID"/>
        </w:rPr>
        <w:t>, Sinar Grafika, Jakarta, 2014, h. 116</w:t>
      </w:r>
    </w:p>
  </w:footnote>
  <w:footnote w:id="24">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bookmarkStart w:id="11" w:name="_Hlk129802704"/>
      <w:r w:rsidRPr="00CD65CF">
        <w:rPr>
          <w:noProof w:val="0"/>
          <w:color w:val="000000" w:themeColor="text1"/>
          <w:sz w:val="20"/>
          <w:szCs w:val="20"/>
          <w:lang w:val="en-US" w:eastAsia="id-ID"/>
        </w:rPr>
        <w:t xml:space="preserve">R. Soetojo Prawirohamodjojo, </w:t>
      </w:r>
      <w:r w:rsidRPr="00CD65CF">
        <w:rPr>
          <w:i/>
          <w:noProof w:val="0"/>
          <w:color w:val="000000" w:themeColor="text1"/>
          <w:sz w:val="20"/>
          <w:szCs w:val="20"/>
          <w:lang w:val="en-US" w:eastAsia="id-ID"/>
        </w:rPr>
        <w:t>Hukum Waris Kodifikasi</w:t>
      </w:r>
      <w:r w:rsidRPr="00CD65CF">
        <w:rPr>
          <w:noProof w:val="0"/>
          <w:color w:val="000000" w:themeColor="text1"/>
          <w:sz w:val="20"/>
          <w:szCs w:val="20"/>
          <w:lang w:val="en-US" w:eastAsia="id-ID"/>
        </w:rPr>
        <w:t>, Airlangga University Press, Surabaya, 2011</w:t>
      </w:r>
      <w:bookmarkEnd w:id="11"/>
      <w:r w:rsidRPr="00CD65CF">
        <w:rPr>
          <w:noProof w:val="0"/>
          <w:color w:val="000000" w:themeColor="text1"/>
          <w:sz w:val="20"/>
          <w:szCs w:val="20"/>
          <w:lang w:val="en-US" w:eastAsia="id-ID"/>
        </w:rPr>
        <w:t>, h.80</w:t>
      </w:r>
    </w:p>
  </w:footnote>
  <w:footnote w:id="25">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bookmarkStart w:id="12" w:name="_Hlk129802874"/>
      <w:r w:rsidRPr="00CD65CF">
        <w:rPr>
          <w:color w:val="000000" w:themeColor="text1"/>
        </w:rPr>
        <w:t>Abdul Ghofur</w:t>
      </w:r>
      <w:r w:rsidRPr="00CD65CF">
        <w:rPr>
          <w:color w:val="000000" w:themeColor="text1"/>
          <w:lang w:val="en-US"/>
        </w:rPr>
        <w:t xml:space="preserve">, </w:t>
      </w:r>
      <w:r w:rsidRPr="00CD65CF">
        <w:rPr>
          <w:bCs/>
          <w:i/>
          <w:color w:val="000000" w:themeColor="text1"/>
        </w:rPr>
        <w:t>Lembaga Kenotariatan Indonesia: Perspektif Hukum dan Etika</w:t>
      </w:r>
      <w:r w:rsidRPr="00CD65CF">
        <w:rPr>
          <w:color w:val="000000" w:themeColor="text1"/>
        </w:rPr>
        <w:t>, UIIPres, Yogyakarta</w:t>
      </w:r>
      <w:r w:rsidRPr="00CD65CF">
        <w:rPr>
          <w:color w:val="000000" w:themeColor="text1"/>
          <w:lang w:val="en-US"/>
        </w:rPr>
        <w:t>, 2017</w:t>
      </w:r>
      <w:bookmarkEnd w:id="12"/>
      <w:r w:rsidRPr="00CD65CF">
        <w:rPr>
          <w:color w:val="000000" w:themeColor="text1"/>
          <w:lang w:val="en-US"/>
        </w:rPr>
        <w:t>, h.40.</w:t>
      </w:r>
    </w:p>
  </w:footnote>
  <w:footnote w:id="26">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bookmarkStart w:id="13" w:name="_Hlk129803036"/>
      <w:r w:rsidRPr="00CD65CF">
        <w:rPr>
          <w:noProof w:val="0"/>
          <w:color w:val="000000" w:themeColor="text1"/>
          <w:sz w:val="20"/>
          <w:szCs w:val="20"/>
          <w:lang w:val="en-US" w:eastAsia="id-ID"/>
        </w:rPr>
        <w:t xml:space="preserve">JJ. Adolf, dan W. Handoko, “Eksistensi Wewenang Notaris Dalam Pembuatan Akta Bidang Pertanahan”, </w:t>
      </w:r>
      <w:r w:rsidRPr="00CD65CF">
        <w:rPr>
          <w:i/>
          <w:noProof w:val="0"/>
          <w:color w:val="000000" w:themeColor="text1"/>
          <w:sz w:val="20"/>
          <w:szCs w:val="20"/>
          <w:lang w:val="en-US" w:eastAsia="id-ID"/>
        </w:rPr>
        <w:t xml:space="preserve"> Jurnal  Notarius</w:t>
      </w:r>
      <w:r w:rsidRPr="00CD65CF">
        <w:rPr>
          <w:noProof w:val="0"/>
          <w:color w:val="000000" w:themeColor="text1"/>
          <w:sz w:val="20"/>
          <w:szCs w:val="20"/>
          <w:lang w:val="en-US" w:eastAsia="id-ID"/>
        </w:rPr>
        <w:t xml:space="preserve">, Vol. </w:t>
      </w:r>
      <w:r w:rsidRPr="00CD65CF">
        <w:rPr>
          <w:iCs/>
          <w:noProof w:val="0"/>
          <w:color w:val="000000" w:themeColor="text1"/>
          <w:sz w:val="20"/>
          <w:szCs w:val="20"/>
          <w:lang w:val="en-US" w:eastAsia="id-ID"/>
        </w:rPr>
        <w:t>13</w:t>
      </w:r>
      <w:r w:rsidRPr="00CD65CF">
        <w:rPr>
          <w:noProof w:val="0"/>
          <w:color w:val="000000" w:themeColor="text1"/>
          <w:sz w:val="20"/>
          <w:szCs w:val="20"/>
          <w:lang w:val="en-US" w:eastAsia="id-ID"/>
        </w:rPr>
        <w:t xml:space="preserve"> No. 1 (2020</w:t>
      </w:r>
      <w:bookmarkEnd w:id="13"/>
      <w:r w:rsidRPr="00CD65CF">
        <w:rPr>
          <w:noProof w:val="0"/>
          <w:color w:val="000000" w:themeColor="text1"/>
          <w:sz w:val="20"/>
          <w:szCs w:val="20"/>
          <w:lang w:val="en-US" w:eastAsia="id-ID"/>
        </w:rPr>
        <w:t>), h. 181</w:t>
      </w:r>
    </w:p>
  </w:footnote>
  <w:footnote w:id="27">
    <w:p w:rsidR="00A818BB" w:rsidRPr="00CD65CF" w:rsidRDefault="00A818BB" w:rsidP="00A818BB">
      <w:pPr>
        <w:pStyle w:val="Default"/>
        <w:ind w:firstLine="720"/>
        <w:jc w:val="both"/>
        <w:rPr>
          <w:color w:val="000000" w:themeColor="text1"/>
          <w:sz w:val="20"/>
          <w:szCs w:val="20"/>
        </w:rPr>
      </w:pPr>
      <w:r w:rsidRPr="00CD65CF">
        <w:rPr>
          <w:rStyle w:val="FootnoteReference"/>
          <w:color w:val="000000" w:themeColor="text1"/>
          <w:sz w:val="20"/>
          <w:szCs w:val="20"/>
        </w:rPr>
        <w:footnoteRef/>
      </w:r>
      <w:bookmarkStart w:id="14" w:name="_Hlk129624153"/>
      <w:r w:rsidRPr="00CD65CF">
        <w:rPr>
          <w:color w:val="000000" w:themeColor="text1"/>
          <w:sz w:val="20"/>
          <w:szCs w:val="20"/>
        </w:rPr>
        <w:t xml:space="preserve">Nurul Aqidatul Izzah, “ </w:t>
      </w:r>
      <w:r w:rsidRPr="00CD65CF">
        <w:rPr>
          <w:bCs/>
          <w:i/>
          <w:iCs/>
          <w:color w:val="000000" w:themeColor="text1"/>
          <w:sz w:val="20"/>
          <w:szCs w:val="20"/>
        </w:rPr>
        <w:t xml:space="preserve">Legitime Portie </w:t>
      </w:r>
      <w:r w:rsidRPr="00CD65CF">
        <w:rPr>
          <w:bCs/>
          <w:color w:val="000000" w:themeColor="text1"/>
          <w:sz w:val="20"/>
          <w:szCs w:val="20"/>
        </w:rPr>
        <w:t xml:space="preserve">dalam Pemberian Hibah Wasiat”, </w:t>
      </w:r>
      <w:r w:rsidRPr="00CD65CF">
        <w:rPr>
          <w:bCs/>
          <w:i/>
          <w:color w:val="000000" w:themeColor="text1"/>
          <w:sz w:val="20"/>
          <w:szCs w:val="20"/>
        </w:rPr>
        <w:t xml:space="preserve"> Jurnal Litigasi, </w:t>
      </w:r>
      <w:r w:rsidRPr="00CD65CF">
        <w:rPr>
          <w:bCs/>
          <w:color w:val="000000" w:themeColor="text1"/>
          <w:sz w:val="20"/>
          <w:szCs w:val="20"/>
          <w:lang w:eastAsia="id-ID"/>
        </w:rPr>
        <w:t>Volume 9 Nomor 2 Februari 2022</w:t>
      </w:r>
      <w:bookmarkEnd w:id="14"/>
      <w:r w:rsidRPr="00CD65CF">
        <w:rPr>
          <w:bCs/>
          <w:color w:val="000000" w:themeColor="text1"/>
          <w:sz w:val="20"/>
          <w:szCs w:val="20"/>
          <w:lang w:eastAsia="id-ID"/>
        </w:rPr>
        <w:t>, h.146.</w:t>
      </w:r>
    </w:p>
  </w:footnote>
  <w:footnote w:id="28">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color w:val="000000" w:themeColor="text1"/>
        </w:rPr>
        <w:t>Nurul Aqidatul Izzah</w:t>
      </w:r>
      <w:r w:rsidRPr="00CD65CF">
        <w:rPr>
          <w:color w:val="000000" w:themeColor="text1"/>
          <w:lang w:val="en-US"/>
        </w:rPr>
        <w:t xml:space="preserve">, </w:t>
      </w:r>
      <w:r w:rsidRPr="00CD65CF">
        <w:rPr>
          <w:i/>
          <w:color w:val="000000" w:themeColor="text1"/>
          <w:lang w:val="en-US"/>
        </w:rPr>
        <w:t>Op.Cit</w:t>
      </w:r>
      <w:r w:rsidRPr="00CD65CF">
        <w:rPr>
          <w:color w:val="000000" w:themeColor="text1"/>
          <w:lang w:val="en-US"/>
        </w:rPr>
        <w:t>, h.147.</w:t>
      </w:r>
    </w:p>
  </w:footnote>
  <w:footnote w:id="29">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bookmarkStart w:id="15" w:name="_Hlk129804106"/>
      <w:r w:rsidRPr="00CD65CF">
        <w:rPr>
          <w:color w:val="000000" w:themeColor="text1"/>
          <w:sz w:val="20"/>
          <w:szCs w:val="20"/>
          <w:lang w:val="en-US"/>
        </w:rPr>
        <w:t xml:space="preserve">Ali  </w:t>
      </w:r>
      <w:r w:rsidRPr="00CD65CF">
        <w:rPr>
          <w:noProof w:val="0"/>
          <w:color w:val="000000" w:themeColor="text1"/>
          <w:sz w:val="20"/>
          <w:szCs w:val="20"/>
          <w:lang w:val="en-US" w:eastAsia="id-ID"/>
        </w:rPr>
        <w:t xml:space="preserve">Afandi, </w:t>
      </w:r>
      <w:r w:rsidRPr="00CD65CF">
        <w:rPr>
          <w:i/>
          <w:iCs/>
          <w:noProof w:val="0"/>
          <w:color w:val="000000" w:themeColor="text1"/>
          <w:sz w:val="20"/>
          <w:szCs w:val="20"/>
          <w:lang w:val="en-US" w:eastAsia="id-ID"/>
        </w:rPr>
        <w:t>Hukum Waris, Hukum Keluarga, Hukum Pembuktian</w:t>
      </w:r>
      <w:r w:rsidRPr="00CD65CF">
        <w:rPr>
          <w:noProof w:val="0"/>
          <w:color w:val="000000" w:themeColor="text1"/>
          <w:sz w:val="20"/>
          <w:szCs w:val="20"/>
          <w:lang w:val="en-US" w:eastAsia="id-ID"/>
        </w:rPr>
        <w:t>. Rineka Cipta, Jakarta, 2011</w:t>
      </w:r>
      <w:bookmarkEnd w:id="15"/>
      <w:r w:rsidRPr="00CD65CF">
        <w:rPr>
          <w:noProof w:val="0"/>
          <w:color w:val="000000" w:themeColor="text1"/>
          <w:sz w:val="20"/>
          <w:szCs w:val="20"/>
          <w:lang w:val="en-US" w:eastAsia="id-ID"/>
        </w:rPr>
        <w:t>, h.81</w:t>
      </w:r>
    </w:p>
  </w:footnote>
  <w:footnote w:id="30">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i/>
          <w:color w:val="000000" w:themeColor="text1"/>
          <w:lang w:val="en-US"/>
        </w:rPr>
        <w:t>Ibid</w:t>
      </w:r>
      <w:r w:rsidRPr="00CD65CF">
        <w:rPr>
          <w:color w:val="000000" w:themeColor="text1"/>
          <w:lang w:val="en-US"/>
        </w:rPr>
        <w:t>, h.82.</w:t>
      </w:r>
    </w:p>
  </w:footnote>
  <w:footnote w:id="31">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r w:rsidRPr="00CD65CF">
        <w:rPr>
          <w:color w:val="000000" w:themeColor="text1"/>
          <w:sz w:val="20"/>
          <w:szCs w:val="20"/>
          <w:lang w:val="en-US"/>
        </w:rPr>
        <w:t xml:space="preserve">AG. </w:t>
      </w:r>
      <w:r w:rsidRPr="00CD65CF">
        <w:rPr>
          <w:noProof w:val="0"/>
          <w:color w:val="000000" w:themeColor="text1"/>
          <w:sz w:val="20"/>
          <w:szCs w:val="20"/>
          <w:lang w:val="en-US" w:eastAsia="id-ID"/>
        </w:rPr>
        <w:t xml:space="preserve">Anshori, </w:t>
      </w:r>
      <w:r w:rsidRPr="00CD65CF">
        <w:rPr>
          <w:i/>
          <w:iCs/>
          <w:noProof w:val="0"/>
          <w:color w:val="000000" w:themeColor="text1"/>
          <w:sz w:val="20"/>
          <w:szCs w:val="20"/>
          <w:lang w:val="en-US" w:eastAsia="id-ID"/>
        </w:rPr>
        <w:t>Filsafat Hukum Hibah dan Wasiat di Indonesia</w:t>
      </w:r>
      <w:r w:rsidRPr="00CD65CF">
        <w:rPr>
          <w:noProof w:val="0"/>
          <w:color w:val="000000" w:themeColor="text1"/>
          <w:sz w:val="20"/>
          <w:szCs w:val="20"/>
          <w:lang w:val="en-US" w:eastAsia="id-ID"/>
        </w:rPr>
        <w:t>. Gadjah Mada University Press, Yogyakarta, 2011, h.42</w:t>
      </w:r>
    </w:p>
  </w:footnote>
  <w:footnote w:id="32">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i/>
          <w:color w:val="000000" w:themeColor="text1"/>
          <w:lang w:val="en-US"/>
        </w:rPr>
        <w:t xml:space="preserve">Ibid, </w:t>
      </w:r>
      <w:r w:rsidRPr="00CD65CF">
        <w:rPr>
          <w:color w:val="000000" w:themeColor="text1"/>
          <w:lang w:val="en-US"/>
        </w:rPr>
        <w:t>h.43</w:t>
      </w:r>
    </w:p>
  </w:footnote>
  <w:footnote w:id="33">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color w:val="000000" w:themeColor="text1"/>
        </w:rPr>
        <w:t>Anisitus Amanat</w:t>
      </w:r>
      <w:r w:rsidRPr="00CD65CF">
        <w:rPr>
          <w:color w:val="000000" w:themeColor="text1"/>
          <w:lang w:val="en-US"/>
        </w:rPr>
        <w:t xml:space="preserve">, </w:t>
      </w:r>
      <w:r w:rsidRPr="00CD65CF">
        <w:rPr>
          <w:i/>
          <w:color w:val="000000" w:themeColor="text1"/>
          <w:lang w:val="en-US"/>
        </w:rPr>
        <w:t>Op.Cit</w:t>
      </w:r>
      <w:r w:rsidRPr="00CD65CF">
        <w:rPr>
          <w:color w:val="000000" w:themeColor="text1"/>
          <w:lang w:val="en-US"/>
        </w:rPr>
        <w:t>, h.86.</w:t>
      </w:r>
    </w:p>
  </w:footnote>
  <w:footnote w:id="34">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i/>
          <w:color w:val="000000" w:themeColor="text1"/>
          <w:lang w:val="en-US"/>
        </w:rPr>
        <w:t>Ibid</w:t>
      </w:r>
      <w:r w:rsidRPr="00CD65CF">
        <w:rPr>
          <w:color w:val="000000" w:themeColor="text1"/>
          <w:lang w:val="en-US"/>
        </w:rPr>
        <w:t>.</w:t>
      </w:r>
    </w:p>
  </w:footnote>
  <w:footnote w:id="35">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i/>
          <w:color w:val="000000" w:themeColor="text1"/>
          <w:lang w:val="en-US"/>
        </w:rPr>
        <w:t>Ibid</w:t>
      </w:r>
      <w:r w:rsidRPr="00CD65CF">
        <w:rPr>
          <w:color w:val="000000" w:themeColor="text1"/>
          <w:lang w:val="en-US"/>
        </w:rPr>
        <w:t>, h.87.</w:t>
      </w:r>
    </w:p>
  </w:footnote>
  <w:footnote w:id="36">
    <w:p w:rsidR="00A818BB" w:rsidRPr="00CD65CF" w:rsidRDefault="00A818BB" w:rsidP="00A818BB">
      <w:pPr>
        <w:autoSpaceDE w:val="0"/>
        <w:autoSpaceDN w:val="0"/>
        <w:adjustRightInd w:val="0"/>
        <w:ind w:firstLine="720"/>
        <w:jc w:val="both"/>
        <w:rPr>
          <w:color w:val="000000" w:themeColor="text1"/>
          <w:sz w:val="20"/>
          <w:szCs w:val="20"/>
          <w:lang w:val="en-US"/>
        </w:rPr>
      </w:pPr>
      <w:r w:rsidRPr="00CD65CF">
        <w:rPr>
          <w:rStyle w:val="FootnoteReference"/>
          <w:color w:val="000000" w:themeColor="text1"/>
          <w:sz w:val="20"/>
          <w:szCs w:val="20"/>
        </w:rPr>
        <w:footnoteRef/>
      </w:r>
      <w:bookmarkStart w:id="16" w:name="_Hlk129804416"/>
      <w:r w:rsidRPr="00CD65CF">
        <w:rPr>
          <w:noProof w:val="0"/>
          <w:color w:val="000000" w:themeColor="text1"/>
          <w:sz w:val="20"/>
          <w:szCs w:val="20"/>
          <w:lang w:val="en-US" w:eastAsia="id-ID"/>
        </w:rPr>
        <w:t xml:space="preserve">Moh. Muhibbin, </w:t>
      </w:r>
      <w:r w:rsidRPr="00CD65CF">
        <w:rPr>
          <w:i/>
          <w:noProof w:val="0"/>
          <w:color w:val="000000" w:themeColor="text1"/>
          <w:sz w:val="20"/>
          <w:szCs w:val="20"/>
          <w:lang w:val="en-US" w:eastAsia="id-ID"/>
        </w:rPr>
        <w:t>Hukum Kewarisan Islam Sebagai Pembaharuan Hukum Positif di Indonesi</w:t>
      </w:r>
      <w:r w:rsidRPr="00CD65CF">
        <w:rPr>
          <w:noProof w:val="0"/>
          <w:color w:val="000000" w:themeColor="text1"/>
          <w:sz w:val="20"/>
          <w:szCs w:val="20"/>
          <w:lang w:val="en-US" w:eastAsia="id-ID"/>
        </w:rPr>
        <w:t>a, Sinar Grafika, Jakarta, 2017</w:t>
      </w:r>
      <w:bookmarkEnd w:id="16"/>
      <w:r w:rsidRPr="00CD65CF">
        <w:rPr>
          <w:noProof w:val="0"/>
          <w:color w:val="000000" w:themeColor="text1"/>
          <w:sz w:val="20"/>
          <w:szCs w:val="20"/>
          <w:lang w:val="en-US" w:eastAsia="id-ID"/>
        </w:rPr>
        <w:t>, h.115.</w:t>
      </w:r>
    </w:p>
  </w:footnote>
  <w:footnote w:id="37">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bookmarkStart w:id="17" w:name="_Hlk129804519"/>
      <w:r w:rsidRPr="00CD65CF">
        <w:rPr>
          <w:color w:val="000000" w:themeColor="text1"/>
        </w:rPr>
        <w:t>Widya Anggraeni</w:t>
      </w:r>
      <w:r w:rsidRPr="00CD65CF">
        <w:rPr>
          <w:color w:val="000000" w:themeColor="text1"/>
          <w:lang w:val="en-US"/>
        </w:rPr>
        <w:t xml:space="preserve">, </w:t>
      </w:r>
      <w:r w:rsidRPr="00CD65CF">
        <w:rPr>
          <w:i/>
          <w:iCs/>
          <w:color w:val="000000" w:themeColor="text1"/>
        </w:rPr>
        <w:t xml:space="preserve">Tanggung Gugat Pemberi Hibah Akibat Pembatalan Hibah, </w:t>
      </w:r>
      <w:r w:rsidRPr="00CD65CF">
        <w:rPr>
          <w:color w:val="000000" w:themeColor="text1"/>
        </w:rPr>
        <w:t>Universitas Airlangga</w:t>
      </w:r>
      <w:r w:rsidRPr="00CD65CF">
        <w:rPr>
          <w:color w:val="000000" w:themeColor="text1"/>
          <w:lang w:val="en-US"/>
        </w:rPr>
        <w:t xml:space="preserve">, </w:t>
      </w:r>
      <w:r w:rsidRPr="00CD65CF">
        <w:rPr>
          <w:color w:val="000000" w:themeColor="text1"/>
        </w:rPr>
        <w:t>Surabaya</w:t>
      </w:r>
      <w:r w:rsidRPr="00CD65CF">
        <w:rPr>
          <w:color w:val="000000" w:themeColor="text1"/>
          <w:lang w:val="en-US"/>
        </w:rPr>
        <w:t>, 2016</w:t>
      </w:r>
      <w:bookmarkEnd w:id="17"/>
      <w:r w:rsidRPr="00CD65CF">
        <w:rPr>
          <w:color w:val="000000" w:themeColor="text1"/>
          <w:lang w:val="en-US"/>
        </w:rPr>
        <w:t>, h.52</w:t>
      </w:r>
    </w:p>
  </w:footnote>
  <w:footnote w:id="38">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i/>
          <w:color w:val="000000" w:themeColor="text1"/>
          <w:lang w:val="en-US"/>
        </w:rPr>
        <w:t>Ibid</w:t>
      </w:r>
      <w:r w:rsidRPr="00CD65CF">
        <w:rPr>
          <w:color w:val="000000" w:themeColor="text1"/>
          <w:lang w:val="en-US"/>
        </w:rPr>
        <w:t>, h.53</w:t>
      </w:r>
    </w:p>
  </w:footnote>
  <w:footnote w:id="39">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noProof w:val="0"/>
          <w:color w:val="000000" w:themeColor="text1"/>
          <w:lang w:val="en-US" w:eastAsia="id-ID"/>
        </w:rPr>
        <w:t xml:space="preserve">Moh. Muhibbin, </w:t>
      </w:r>
      <w:r w:rsidRPr="00CD65CF">
        <w:rPr>
          <w:i/>
          <w:noProof w:val="0"/>
          <w:color w:val="000000" w:themeColor="text1"/>
          <w:lang w:val="en-US" w:eastAsia="id-ID"/>
        </w:rPr>
        <w:t>Op.Cit</w:t>
      </w:r>
      <w:r w:rsidRPr="00CD65CF">
        <w:rPr>
          <w:noProof w:val="0"/>
          <w:color w:val="000000" w:themeColor="text1"/>
          <w:lang w:val="en-US" w:eastAsia="id-ID"/>
        </w:rPr>
        <w:t>, h.117.</w:t>
      </w:r>
    </w:p>
  </w:footnote>
  <w:footnote w:id="40">
    <w:p w:rsidR="00A818BB" w:rsidRPr="00CD65CF" w:rsidRDefault="00A818BB" w:rsidP="00A818BB">
      <w:pPr>
        <w:pStyle w:val="FootnoteText"/>
        <w:ind w:firstLine="720"/>
        <w:jc w:val="both"/>
        <w:rPr>
          <w:color w:val="000000" w:themeColor="text1"/>
          <w:lang w:val="en-US"/>
        </w:rPr>
      </w:pPr>
      <w:r w:rsidRPr="00CD65CF">
        <w:rPr>
          <w:rStyle w:val="FootnoteReference"/>
          <w:color w:val="000000" w:themeColor="text1"/>
        </w:rPr>
        <w:footnoteRef/>
      </w:r>
      <w:r w:rsidRPr="00CD65CF">
        <w:rPr>
          <w:i/>
          <w:color w:val="000000" w:themeColor="text1"/>
          <w:lang w:val="en-US"/>
        </w:rPr>
        <w:t>Ibid</w:t>
      </w:r>
      <w:r w:rsidRPr="00CD65CF">
        <w:rPr>
          <w:color w:val="000000" w:themeColor="text1"/>
          <w:lang w:val="en-US"/>
        </w:rPr>
        <w:t>, h.89.</w:t>
      </w:r>
    </w:p>
  </w:footnote>
  <w:footnote w:id="41">
    <w:p w:rsidR="00A818BB" w:rsidRPr="00CD65CF" w:rsidRDefault="00A818BB" w:rsidP="00A818BB">
      <w:pPr>
        <w:autoSpaceDE w:val="0"/>
        <w:autoSpaceDN w:val="0"/>
        <w:adjustRightInd w:val="0"/>
        <w:ind w:firstLine="720"/>
        <w:jc w:val="both"/>
        <w:rPr>
          <w:color w:val="000000" w:themeColor="text1"/>
          <w:sz w:val="20"/>
          <w:szCs w:val="20"/>
          <w:lang w:val="en-US"/>
        </w:rPr>
      </w:pPr>
      <w:bookmarkStart w:id="18" w:name="_Hlk129804723"/>
      <w:r w:rsidRPr="00CD65CF">
        <w:rPr>
          <w:rStyle w:val="FootnoteReference"/>
          <w:color w:val="000000" w:themeColor="text1"/>
          <w:sz w:val="20"/>
          <w:szCs w:val="20"/>
        </w:rPr>
        <w:footnoteRef/>
      </w:r>
      <w:r w:rsidRPr="00CD65CF">
        <w:rPr>
          <w:noProof w:val="0"/>
          <w:color w:val="000000" w:themeColor="text1"/>
          <w:sz w:val="20"/>
          <w:szCs w:val="20"/>
          <w:lang w:val="en-US" w:eastAsia="id-ID"/>
        </w:rPr>
        <w:t xml:space="preserve">M. Anshary, </w:t>
      </w:r>
      <w:r w:rsidRPr="00CD65CF">
        <w:rPr>
          <w:i/>
          <w:noProof w:val="0"/>
          <w:color w:val="000000" w:themeColor="text1"/>
          <w:sz w:val="20"/>
          <w:szCs w:val="20"/>
          <w:lang w:val="en-US" w:eastAsia="id-ID"/>
        </w:rPr>
        <w:t>Hukum Kewarisan Islam dalam Teori dan Praktik</w:t>
      </w:r>
      <w:r w:rsidRPr="00CD65CF">
        <w:rPr>
          <w:noProof w:val="0"/>
          <w:color w:val="000000" w:themeColor="text1"/>
          <w:sz w:val="20"/>
          <w:szCs w:val="20"/>
          <w:lang w:val="en-US" w:eastAsia="id-ID"/>
        </w:rPr>
        <w:t>, Pustaka Pelajar, Jakarta, 2013</w:t>
      </w:r>
      <w:bookmarkEnd w:id="18"/>
      <w:r w:rsidRPr="00CD65CF">
        <w:rPr>
          <w:noProof w:val="0"/>
          <w:color w:val="000000" w:themeColor="text1"/>
          <w:sz w:val="20"/>
          <w:szCs w:val="20"/>
          <w:lang w:val="en-US" w:eastAsia="id-ID"/>
        </w:rPr>
        <w:t>, h.39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E77532" w:rsidP="007C2BC0">
    <w:pPr>
      <w:pStyle w:val="Header"/>
      <w:framePr w:wrap="around" w:vAnchor="text" w:hAnchor="margin" w:xAlign="right" w:y="1"/>
      <w:rPr>
        <w:rStyle w:val="PageNumber"/>
      </w:rPr>
    </w:pPr>
    <w:r w:rsidRPr="00E77532">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9A44DD">
      <w:rPr>
        <w:rStyle w:val="PageNumber"/>
      </w:rPr>
      <w:instrText xml:space="preserve">PAGE  </w:instrText>
    </w:r>
    <w:r>
      <w:rPr>
        <w:rStyle w:val="PageNumber"/>
      </w:rPr>
      <w:fldChar w:fldCharType="separate"/>
    </w:r>
    <w:r w:rsidR="009A44DD">
      <w:rPr>
        <w:rStyle w:val="PageNumber"/>
      </w:rPr>
      <w:t>4</w:t>
    </w:r>
    <w:r>
      <w:rPr>
        <w:rStyle w:val="PageNumber"/>
      </w:rPr>
      <w:fldChar w:fldCharType="end"/>
    </w:r>
  </w:p>
  <w:p w:rsidR="00DE30A6" w:rsidRDefault="001B2064" w:rsidP="007C2B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AC" w:rsidRDefault="00F20CAC" w:rsidP="00F20CAC">
    <w:pPr>
      <w:pStyle w:val="Header"/>
      <w:jc w:val="right"/>
    </w:pPr>
    <w:r w:rsidRPr="003F6B53">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6996" o:sp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t>PUBLISH: 20/11/2025 15:55:37</w:t>
    </w:r>
  </w:p>
  <w:p w:rsidR="00DE30A6" w:rsidRDefault="00E77532" w:rsidP="007C2BC0">
    <w:pPr>
      <w:pStyle w:val="Header"/>
      <w:ind w:right="360"/>
    </w:pPr>
    <w:r w:rsidRPr="00E77532">
      <w:rPr>
        <w:lang w:val="en-US"/>
      </w:rPr>
      <w:pict>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E77532">
    <w:pPr>
      <w:pStyle w:val="Header"/>
    </w:pPr>
    <w:r w:rsidRPr="00E77532">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6A10B6A"/>
    <w:multiLevelType w:val="hybridMultilevel"/>
    <w:tmpl w:val="6628767C"/>
    <w:lvl w:ilvl="0" w:tplc="8FDC9230">
      <w:start w:val="1"/>
      <w:numFmt w:val="decimal"/>
      <w:lvlText w:val="%1."/>
      <w:lvlJc w:val="left"/>
      <w:pPr>
        <w:tabs>
          <w:tab w:val="num" w:pos="1005"/>
        </w:tabs>
        <w:ind w:left="1005" w:hanging="645"/>
      </w:pPr>
      <w:rPr>
        <w:rFonts w:hint="default"/>
      </w:rPr>
    </w:lvl>
    <w:lvl w:ilvl="1" w:tplc="D6CE1CB8">
      <w:start w:val="1"/>
      <w:numFmt w:val="lowerLetter"/>
      <w:lvlText w:val="%2."/>
      <w:lvlJc w:val="left"/>
      <w:pPr>
        <w:ind w:left="1440" w:hanging="360"/>
      </w:pPr>
      <w:rPr>
        <w:rFonts w:ascii="Times New Roman" w:hAnsi="Times New Roman" w:cs="Times New Roman" w:hint="default"/>
        <w:sz w:val="24"/>
        <w:szCs w:val="24"/>
      </w:rPr>
    </w:lvl>
    <w:lvl w:ilvl="2" w:tplc="42980EB4">
      <w:start w:val="1"/>
      <w:numFmt w:val="upperLetter"/>
      <w:lvlText w:val="%3."/>
      <w:lvlJc w:val="left"/>
      <w:pPr>
        <w:ind w:left="2340" w:hanging="360"/>
      </w:pPr>
      <w:rPr>
        <w:rFonts w:hint="default"/>
        <w:b/>
      </w:rPr>
    </w:lvl>
    <w:lvl w:ilvl="3" w:tplc="0409000F">
      <w:start w:val="1"/>
      <w:numFmt w:val="decimal"/>
      <w:lvlText w:val="%4."/>
      <w:lvlJc w:val="left"/>
      <w:pPr>
        <w:tabs>
          <w:tab w:val="num" w:pos="2880"/>
        </w:tabs>
        <w:ind w:left="2880" w:hanging="360"/>
      </w:pPr>
    </w:lvl>
    <w:lvl w:ilvl="4" w:tplc="025E439C">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1826B862">
      <w:start w:val="1"/>
      <w:numFmt w:val="decimal"/>
      <w:lvlText w:val="%8."/>
      <w:lvlJc w:val="left"/>
      <w:pPr>
        <w:tabs>
          <w:tab w:val="num" w:pos="5760"/>
        </w:tabs>
        <w:ind w:left="5760" w:hanging="360"/>
      </w:pPr>
      <w:rPr>
        <w:rFonts w:ascii="Times New Roman" w:eastAsia="Calibri" w:hAnsi="Times New Roman" w:cs="Times New Roman"/>
      </w:rPr>
    </w:lvl>
    <w:lvl w:ilvl="8" w:tplc="0409001B" w:tentative="1">
      <w:start w:val="1"/>
      <w:numFmt w:val="lowerRoman"/>
      <w:lvlText w:val="%9."/>
      <w:lvlJc w:val="right"/>
      <w:pPr>
        <w:tabs>
          <w:tab w:val="num" w:pos="6480"/>
        </w:tabs>
        <w:ind w:left="6480" w:hanging="180"/>
      </w:pPr>
    </w:lvl>
  </w:abstractNum>
  <w:abstractNum w:abstractNumId="2">
    <w:nsid w:val="09D158F7"/>
    <w:multiLevelType w:val="hybridMultilevel"/>
    <w:tmpl w:val="81E6DD18"/>
    <w:lvl w:ilvl="0" w:tplc="0409000F">
      <w:start w:val="1"/>
      <w:numFmt w:val="decimal"/>
      <w:lvlText w:val="%1."/>
      <w:lvlJc w:val="left"/>
      <w:pPr>
        <w:ind w:left="720" w:hanging="360"/>
      </w:pPr>
    </w:lvl>
    <w:lvl w:ilvl="1" w:tplc="72E43362">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B317D"/>
    <w:multiLevelType w:val="hybridMultilevel"/>
    <w:tmpl w:val="912A70F8"/>
    <w:lvl w:ilvl="0" w:tplc="841466F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B654C"/>
    <w:multiLevelType w:val="hybridMultilevel"/>
    <w:tmpl w:val="C0F063BE"/>
    <w:lvl w:ilvl="0" w:tplc="0409000F">
      <w:start w:val="1"/>
      <w:numFmt w:val="decimal"/>
      <w:lvlText w:val="%1."/>
      <w:lvlJc w:val="left"/>
      <w:pPr>
        <w:tabs>
          <w:tab w:val="num" w:pos="720"/>
        </w:tabs>
        <w:ind w:left="720" w:hanging="360"/>
      </w:pPr>
      <w:rPr>
        <w:rFonts w:hint="default"/>
      </w:rPr>
    </w:lvl>
    <w:lvl w:ilvl="1" w:tplc="4A0C13B0">
      <w:start w:val="1"/>
      <w:numFmt w:val="lowerLetter"/>
      <w:lvlText w:val="%2."/>
      <w:lvlJc w:val="left"/>
      <w:pPr>
        <w:tabs>
          <w:tab w:val="num" w:pos="1440"/>
        </w:tabs>
        <w:ind w:left="1440" w:hanging="360"/>
      </w:pPr>
      <w:rPr>
        <w:rFonts w:hint="default"/>
        <w:i w:val="0"/>
      </w:rPr>
    </w:lvl>
    <w:lvl w:ilvl="2" w:tplc="49047326">
      <w:start w:val="1"/>
      <w:numFmt w:val="decimal"/>
      <w:lvlText w:val="%3)"/>
      <w:lvlJc w:val="left"/>
      <w:pPr>
        <w:ind w:left="2340" w:hanging="360"/>
      </w:pPr>
      <w:rPr>
        <w:rFonts w:hint="default"/>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6">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1553610"/>
    <w:multiLevelType w:val="hybridMultilevel"/>
    <w:tmpl w:val="E028F282"/>
    <w:lvl w:ilvl="0" w:tplc="13668054">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2204"/>
        </w:tabs>
        <w:ind w:left="2204" w:hanging="360"/>
      </w:pPr>
      <w:rPr>
        <w:rFonts w:hint="default"/>
      </w:rPr>
    </w:lvl>
    <w:lvl w:ilvl="2" w:tplc="103AD4F8">
      <w:start w:val="1"/>
      <w:numFmt w:val="lowerLetter"/>
      <w:lvlText w:val="%3."/>
      <w:lvlJc w:val="right"/>
      <w:pPr>
        <w:tabs>
          <w:tab w:val="num" w:pos="2160"/>
        </w:tabs>
        <w:ind w:left="2160" w:hanging="180"/>
      </w:pPr>
      <w:rPr>
        <w:rFonts w:ascii="Times New Roman" w:eastAsia="Times New Roman" w:hAnsi="Times New Roman" w:cs="Times New Roman"/>
      </w:rPr>
    </w:lvl>
    <w:lvl w:ilvl="3" w:tplc="E7DEF240">
      <w:start w:val="1"/>
      <w:numFmt w:val="decimal"/>
      <w:lvlText w:val="%4)"/>
      <w:lvlJc w:val="left"/>
      <w:pPr>
        <w:tabs>
          <w:tab w:val="num" w:pos="2880"/>
        </w:tabs>
        <w:ind w:left="2880" w:hanging="360"/>
      </w:pPr>
      <w:rPr>
        <w:rFonts w:ascii="Times New Roman" w:eastAsia="Calibri"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8B72E5"/>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9">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0">
    <w:nsid w:val="4633508F"/>
    <w:multiLevelType w:val="hybridMultilevel"/>
    <w:tmpl w:val="92D80D5E"/>
    <w:lvl w:ilvl="0" w:tplc="0409000F">
      <w:start w:val="1"/>
      <w:numFmt w:val="decimal"/>
      <w:lvlText w:val="%1."/>
      <w:lvlJc w:val="left"/>
      <w:pPr>
        <w:tabs>
          <w:tab w:val="num" w:pos="720"/>
        </w:tabs>
        <w:ind w:left="720" w:hanging="360"/>
      </w:pPr>
    </w:lvl>
    <w:lvl w:ilvl="1" w:tplc="4DC88486">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3020BB32">
      <w:start w:val="1"/>
      <w:numFmt w:val="lowerLetter"/>
      <w:lvlText w:val="%4."/>
      <w:lvlJc w:val="left"/>
      <w:pPr>
        <w:tabs>
          <w:tab w:val="num" w:pos="2880"/>
        </w:tabs>
        <w:ind w:left="2880" w:hanging="360"/>
      </w:pPr>
      <w:rPr>
        <w:rFonts w:ascii="Times New Roman" w:eastAsia="Calibri"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6A1156D"/>
    <w:multiLevelType w:val="hybridMultilevel"/>
    <w:tmpl w:val="631456A2"/>
    <w:lvl w:ilvl="0" w:tplc="00A05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514BC8"/>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3">
    <w:nsid w:val="62F404A9"/>
    <w:multiLevelType w:val="hybridMultilevel"/>
    <w:tmpl w:val="B16C1538"/>
    <w:lvl w:ilvl="0" w:tplc="3C40E49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813A33DC">
      <w:start w:val="1"/>
      <w:numFmt w:val="decimal"/>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666004E8">
      <w:start w:val="1"/>
      <w:numFmt w:val="decimal"/>
      <w:lvlText w:val="%4."/>
      <w:lvlJc w:val="left"/>
      <w:pPr>
        <w:ind w:left="2880" w:hanging="360"/>
      </w:pPr>
      <w:rPr>
        <w:rFonts w:ascii="Times New Roman" w:hAnsi="Times New Roman" w:cs="Times New Roman" w:hint="default"/>
        <w:sz w:val="24"/>
        <w:szCs w:val="24"/>
      </w:rPr>
    </w:lvl>
    <w:lvl w:ilvl="4" w:tplc="B6568FA6">
      <w:start w:val="1"/>
      <w:numFmt w:val="decimal"/>
      <w:lvlText w:val="%5)"/>
      <w:lvlJc w:val="left"/>
      <w:pPr>
        <w:ind w:left="3600" w:hanging="360"/>
      </w:pPr>
      <w:rPr>
        <w:rFonts w:ascii="Times New Roman" w:eastAsia="Times New Roman" w:hAnsi="Times New Roman" w:cs="Times New Roman"/>
      </w:rPr>
    </w:lvl>
    <w:lvl w:ilvl="5" w:tplc="D90AD332">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272098"/>
    <w:multiLevelType w:val="hybridMultilevel"/>
    <w:tmpl w:val="BD8E96CA"/>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98F8F600">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5242188E">
      <w:start w:val="1"/>
      <w:numFmt w:val="upperLetter"/>
      <w:lvlText w:val="%5."/>
      <w:lvlJc w:val="left"/>
      <w:pPr>
        <w:ind w:left="3600" w:hanging="360"/>
      </w:pPr>
      <w:rPr>
        <w:rFonts w:hint="default"/>
        <w:b/>
        <w:bCs/>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745203"/>
    <w:multiLevelType w:val="hybridMultilevel"/>
    <w:tmpl w:val="174C459E"/>
    <w:lvl w:ilvl="0" w:tplc="AB8C9716">
      <w:start w:val="1"/>
      <w:numFmt w:val="upperLetter"/>
      <w:lvlText w:val="%1."/>
      <w:lvlJc w:val="left"/>
      <w:pPr>
        <w:tabs>
          <w:tab w:val="num" w:pos="720"/>
        </w:tabs>
        <w:ind w:left="720" w:hanging="360"/>
      </w:pPr>
      <w:rPr>
        <w:rFonts w:hint="default"/>
      </w:rPr>
    </w:lvl>
    <w:lvl w:ilvl="1" w:tplc="3E080FB4">
      <w:start w:val="1"/>
      <w:numFmt w:val="decimal"/>
      <w:lvlText w:val="%2."/>
      <w:lvlJc w:val="left"/>
      <w:pPr>
        <w:tabs>
          <w:tab w:val="num" w:pos="1440"/>
        </w:tabs>
        <w:ind w:left="1440" w:hanging="360"/>
      </w:pPr>
      <w:rPr>
        <w:rFonts w:ascii="Times New Roman" w:eastAsia="Calibri" w:hAnsi="Times New Roman" w:cs="Times New Roman"/>
      </w:rPr>
    </w:lvl>
    <w:lvl w:ilvl="2" w:tplc="8F7E57A8">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0"/>
  </w:num>
  <w:num w:numId="4">
    <w:abstractNumId w:val="5"/>
  </w:num>
  <w:num w:numId="5">
    <w:abstractNumId w:val="8"/>
  </w:num>
  <w:num w:numId="6">
    <w:abstractNumId w:val="12"/>
  </w:num>
  <w:num w:numId="7">
    <w:abstractNumId w:val="1"/>
  </w:num>
  <w:num w:numId="8">
    <w:abstractNumId w:val="4"/>
  </w:num>
  <w:num w:numId="9">
    <w:abstractNumId w:val="15"/>
  </w:num>
  <w:num w:numId="10">
    <w:abstractNumId w:val="14"/>
  </w:num>
  <w:num w:numId="11">
    <w:abstractNumId w:val="10"/>
  </w:num>
  <w:num w:numId="12">
    <w:abstractNumId w:val="13"/>
  </w:num>
  <w:num w:numId="13">
    <w:abstractNumId w:val="7"/>
  </w:num>
  <w:num w:numId="14">
    <w:abstractNumId w:val="2"/>
  </w:num>
  <w:num w:numId="15">
    <w:abstractNumId w:val="1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wpO4h2rgOx6A1wVGMd8uNLlxUXI=" w:salt="5mGawpt/mfTdi8vZ8RGCw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91633"/>
    <w:rsid w:val="001B2064"/>
    <w:rsid w:val="00280F85"/>
    <w:rsid w:val="006C2BFC"/>
    <w:rsid w:val="009A44DD"/>
    <w:rsid w:val="00A818BB"/>
    <w:rsid w:val="00C756CF"/>
    <w:rsid w:val="00E77532"/>
    <w:rsid w:val="00F20CAC"/>
    <w:rsid w:val="00F43E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1633"/>
    <w:pPr>
      <w:tabs>
        <w:tab w:val="center" w:pos="4320"/>
        <w:tab w:val="right" w:pos="8640"/>
      </w:tabs>
    </w:pPr>
  </w:style>
  <w:style w:type="character" w:customStyle="1" w:styleId="HeaderChar">
    <w:name w:val="Header Char"/>
    <w:basedOn w:val="DefaultParagraphFont"/>
    <w:link w:val="Header"/>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99"/>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rsid w:val="00C756CF"/>
    <w:rPr>
      <w:vertAlign w:val="superscript"/>
    </w:rPr>
  </w:style>
  <w:style w:type="character" w:customStyle="1" w:styleId="markedcontent">
    <w:name w:val="markedcontent"/>
    <w:rsid w:val="00C756CF"/>
  </w:style>
  <w:style w:type="character" w:customStyle="1" w:styleId="hgkelc">
    <w:name w:val="hgkelc"/>
    <w:rsid w:val="00C75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1633"/>
    <w:pPr>
      <w:tabs>
        <w:tab w:val="center" w:pos="4320"/>
        <w:tab w:val="right" w:pos="8640"/>
      </w:tabs>
    </w:pPr>
  </w:style>
  <w:style w:type="character" w:customStyle="1" w:styleId="HeaderChar">
    <w:name w:val="Header Char"/>
    <w:basedOn w:val="DefaultParagraphFont"/>
    <w:link w:val="Header"/>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99"/>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rsid w:val="00C756CF"/>
    <w:rPr>
      <w:vertAlign w:val="superscript"/>
    </w:rPr>
  </w:style>
  <w:style w:type="character" w:customStyle="1" w:styleId="markedcontent">
    <w:name w:val="markedcontent"/>
    <w:rsid w:val="00C756CF"/>
  </w:style>
  <w:style w:type="character" w:customStyle="1" w:styleId="hgkelc">
    <w:name w:val="hgkelc"/>
    <w:rsid w:val="00C756C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5254</Words>
  <Characters>29951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2025-11-20T08:58:00Z</dcterms:created>
  <dcterms:modified xsi:type="dcterms:W3CDTF">2025-11-20T08:58:00Z</dcterms:modified>
</cp:coreProperties>
</file>