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6D" w:rsidRPr="007F479C" w:rsidRDefault="00257D6D" w:rsidP="00257D6D">
      <w:pPr>
        <w:pStyle w:val="BodyText3"/>
        <w:spacing w:after="0"/>
        <w:jc w:val="center"/>
        <w:rPr>
          <w:b/>
          <w:sz w:val="24"/>
          <w:lang w:val="en-ID"/>
        </w:rPr>
      </w:pPr>
      <w:r w:rsidRPr="007F479C">
        <w:rPr>
          <w:b/>
          <w:sz w:val="24"/>
          <w:lang w:val="en-ID"/>
        </w:rPr>
        <w:t>ABSTRAK</w:t>
      </w:r>
    </w:p>
    <w:p w:rsidR="00257D6D" w:rsidRPr="007F479C" w:rsidRDefault="00257D6D" w:rsidP="00257D6D">
      <w:pPr>
        <w:pStyle w:val="BodyText3"/>
        <w:spacing w:after="0"/>
        <w:jc w:val="center"/>
        <w:rPr>
          <w:b/>
          <w:sz w:val="24"/>
          <w:lang w:val="en-ID"/>
        </w:rPr>
      </w:pPr>
    </w:p>
    <w:p w:rsidR="00257D6D" w:rsidRPr="007F479C" w:rsidRDefault="00257D6D" w:rsidP="00257D6D">
      <w:pPr>
        <w:pStyle w:val="BodyText3"/>
        <w:spacing w:after="0"/>
        <w:jc w:val="center"/>
        <w:rPr>
          <w:b/>
          <w:sz w:val="24"/>
        </w:rPr>
      </w:pPr>
      <w:r w:rsidRPr="007F479C">
        <w:rPr>
          <w:b/>
          <w:sz w:val="24"/>
          <w:lang w:val="en-ID"/>
        </w:rPr>
        <w:t xml:space="preserve">TINJAUAN YURIDIS </w:t>
      </w:r>
      <w:r w:rsidRPr="007F479C">
        <w:rPr>
          <w:b/>
          <w:sz w:val="24"/>
        </w:rPr>
        <w:t xml:space="preserve">PENGGUNAAN TENAGA KERJA ASING DENGAN BERLAKUNYA PERATURAN PRESIDEN </w:t>
      </w:r>
    </w:p>
    <w:p w:rsidR="00257D6D" w:rsidRPr="007F479C" w:rsidRDefault="00257D6D" w:rsidP="00257D6D">
      <w:pPr>
        <w:pStyle w:val="BodyText3"/>
        <w:spacing w:after="0"/>
        <w:jc w:val="center"/>
        <w:rPr>
          <w:b/>
          <w:sz w:val="24"/>
        </w:rPr>
      </w:pPr>
      <w:r w:rsidRPr="007F479C">
        <w:rPr>
          <w:b/>
          <w:sz w:val="24"/>
        </w:rPr>
        <w:t>NO.20 TAHUN 2018 TENTANG PENGGUNAAN</w:t>
      </w:r>
    </w:p>
    <w:p w:rsidR="00257D6D" w:rsidRPr="007F479C" w:rsidRDefault="00257D6D" w:rsidP="00257D6D">
      <w:pPr>
        <w:pStyle w:val="BodyText3"/>
        <w:spacing w:after="0"/>
        <w:jc w:val="center"/>
        <w:rPr>
          <w:b/>
          <w:sz w:val="32"/>
          <w:szCs w:val="24"/>
        </w:rPr>
      </w:pPr>
      <w:r w:rsidRPr="007F479C">
        <w:rPr>
          <w:b/>
          <w:sz w:val="24"/>
        </w:rPr>
        <w:t xml:space="preserve"> TENAGA KERJA ASING</w:t>
      </w:r>
    </w:p>
    <w:p w:rsidR="00257D6D" w:rsidRPr="007F479C" w:rsidRDefault="00257D6D" w:rsidP="00257D6D">
      <w:pPr>
        <w:pStyle w:val="BodyText3"/>
        <w:spacing w:after="0"/>
        <w:rPr>
          <w:b/>
          <w:sz w:val="24"/>
          <w:szCs w:val="24"/>
        </w:rPr>
      </w:pPr>
    </w:p>
    <w:p w:rsidR="00257D6D" w:rsidRPr="007F479C" w:rsidRDefault="00257D6D" w:rsidP="00257D6D">
      <w:pPr>
        <w:jc w:val="center"/>
        <w:rPr>
          <w:b/>
        </w:rPr>
      </w:pPr>
      <w:r w:rsidRPr="007F479C">
        <w:rPr>
          <w:b/>
        </w:rPr>
        <w:t>Monica Naomi Aurelia</w:t>
      </w:r>
    </w:p>
    <w:p w:rsidR="00257D6D" w:rsidRPr="007F479C" w:rsidRDefault="00257D6D" w:rsidP="00257D6D">
      <w:pPr>
        <w:jc w:val="center"/>
        <w:rPr>
          <w:b/>
          <w:u w:val="single"/>
        </w:rPr>
      </w:pPr>
      <w:r w:rsidRPr="007F479C">
        <w:rPr>
          <w:b/>
          <w:u w:val="single"/>
        </w:rPr>
        <w:t>(</w:t>
      </w:r>
      <w:r w:rsidRPr="007F479C">
        <w:rPr>
          <w:b/>
          <w:lang w:eastAsia="zh-CN"/>
        </w:rPr>
        <w:t>235114066)</w:t>
      </w:r>
    </w:p>
    <w:p w:rsidR="00257D6D" w:rsidRPr="007F479C" w:rsidRDefault="00257D6D" w:rsidP="00257D6D">
      <w:r w:rsidRPr="007F479C">
        <w:rPr>
          <w:b/>
        </w:rPr>
        <w:tab/>
      </w:r>
      <w:r w:rsidRPr="007F479C">
        <w:rPr>
          <w:b/>
        </w:rPr>
        <w:tab/>
      </w:r>
      <w:r w:rsidRPr="007F479C">
        <w:rPr>
          <w:b/>
        </w:rPr>
        <w:tab/>
      </w:r>
      <w:r w:rsidRPr="007F479C">
        <w:rPr>
          <w:b/>
        </w:rPr>
        <w:tab/>
      </w:r>
      <w:r w:rsidRPr="007F479C">
        <w:rPr>
          <w:b/>
        </w:rPr>
        <w:tab/>
      </w:r>
      <w:r w:rsidRPr="007F479C">
        <w:rPr>
          <w:b/>
        </w:rPr>
        <w:tab/>
      </w:r>
    </w:p>
    <w:p w:rsidR="00257D6D" w:rsidRPr="007F479C" w:rsidRDefault="00257D6D" w:rsidP="00257D6D">
      <w:pPr>
        <w:autoSpaceDE w:val="0"/>
        <w:autoSpaceDN w:val="0"/>
        <w:adjustRightInd w:val="0"/>
        <w:jc w:val="both"/>
      </w:pPr>
      <w:r w:rsidRPr="007F479C">
        <w:t>Sejatinya Negara Indonesia mengutamakanpenempatantenagakerjadalamnegeridaripada TKA sesuaiamanatKonstitusiPasal 27 ayat (2).Faktanya, keberadaan TKA masihdibutuhkanberkaitandenganinvestasi di berbagaisektor yang memerlukanteknologidankeahliankhusus yang belumdapatdipenuhiolehtenagakerja Indonesia.Problematikanya, TKA masukkesektor-sektor yang tidakmembutuhkankeahliankhusus, padahalbanyak</w:t>
      </w:r>
      <w:r w:rsidRPr="007F479C">
        <w:rPr>
          <w:i/>
          <w:iCs/>
        </w:rPr>
        <w:t xml:space="preserve">unskill workers </w:t>
      </w:r>
      <w:r w:rsidRPr="007F479C">
        <w:t>menganggur</w:t>
      </w:r>
      <w:r w:rsidRPr="007F479C">
        <w:rPr>
          <w:i/>
          <w:iCs/>
        </w:rPr>
        <w:t>.</w:t>
      </w:r>
      <w:r w:rsidRPr="007F479C">
        <w:t>UU CiptaKerjamemangkas proses perijinanpenggunaan TKA danmenghapusbeberapasanksipidanadan/ataumenggantinyadengansanksiadministratifataspelanggarannormapenggunaan TKA.  Rumusanmasalahdalamskripsiiniadalahbagaimanapegaturanhukumizinpenggunaantenagakerjaasing</w:t>
      </w:r>
      <w:r w:rsidRPr="007F479C">
        <w:rPr>
          <w:bCs/>
        </w:rPr>
        <w:t xml:space="preserve"> di Indonesia, bagaimana</w:t>
      </w:r>
      <w:r w:rsidRPr="007F479C">
        <w:t>sanksihukumterhadappelanggaranpenggunaantenagakerjaasingpascauuciptakerja, bagaimanakahpengawasanterhadappenggunaantenagakerjaasing</w:t>
      </w:r>
      <w:r w:rsidRPr="007F479C">
        <w:rPr>
          <w:bCs/>
        </w:rPr>
        <w:t xml:space="preserve"> di indonesia</w:t>
      </w:r>
      <w:r w:rsidRPr="007F479C">
        <w:t>danhambatannya. JenisPenelitianiniadalahyuridisnormatifyaitupenelitian yang didasaranpadaundang-undang</w:t>
      </w:r>
      <w:r w:rsidRPr="007F479C">
        <w:rPr>
          <w:color w:val="000000"/>
        </w:rPr>
        <w:t>Analisis data dilakukansecarakualitatif, yaknisuatubentukanalisa yang tidakbertumpupadaangka-angkamelainkanpadakalimat-kalimat.Penarikankesimpulandalamtulisaninidilakukandenganmenggunakanlogikaberfikirdeduktif-induktifyaitudilakukandenganteori yang digunakansebagaititiktolakuntukmelakukanpenelitian</w:t>
      </w:r>
      <w:r w:rsidRPr="007F479C">
        <w:t>.Hasilpenelitianmenunjukkanbahwapegaturanhukumizinpenggunaantenagakerjaasing</w:t>
      </w:r>
      <w:r w:rsidRPr="007F479C">
        <w:rPr>
          <w:bCs/>
        </w:rPr>
        <w:t xml:space="preserve"> di Indonesia </w:t>
      </w:r>
      <w:r w:rsidRPr="007F479C">
        <w:t>diperbolehkanolehundang-undangnamundenganpembatasan-pembatasan yang mencakuppengaturanmeliputimateripokoksebelummemasukihubungankerja, materipokokselamadalamhubungankerjadanmateripokoksesudahselesaihubungankerja..Sanksihukumterhadappelanggaranpenggunaantenagakerjaasingpasca UU ciptakerjaadalahketentuansanksipidanaterhadappelanggaranpenggunaan TKA dihapusdan/ataudirubaholeh UU CiptaKerjamenjadisanksiadministratif.Pengawasanterhadappenggunaantenagakerjaasing</w:t>
      </w:r>
      <w:r w:rsidRPr="007F479C">
        <w:rPr>
          <w:bCs/>
        </w:rPr>
        <w:t xml:space="preserve"> di Indonesia</w:t>
      </w:r>
      <w:r w:rsidRPr="007F479C">
        <w:t>danhambatannyaadalahjumlahpengawastenagakerjaasing yang tidaksebandingdenganjumlahtenagakerjaasing yang bekerja di perusahaan, prosedurperijinantenagakerjaasing yang rumitsehinggamenyebabkanbanyaknyaperusahaan yang mempergunakantenagakerjaasingsecarailegalsertatidakadanyaevaluasisetelahpenggunaantenagakerjaasing.</w:t>
      </w:r>
    </w:p>
    <w:p w:rsidR="00257D6D" w:rsidRPr="007F479C" w:rsidRDefault="00257D6D" w:rsidP="00257D6D">
      <w:pPr>
        <w:autoSpaceDE w:val="0"/>
        <w:autoSpaceDN w:val="0"/>
        <w:adjustRightInd w:val="0"/>
        <w:jc w:val="both"/>
      </w:pPr>
    </w:p>
    <w:p w:rsidR="00257D6D" w:rsidRPr="007F479C" w:rsidRDefault="00257D6D" w:rsidP="00257D6D">
      <w:pPr>
        <w:tabs>
          <w:tab w:val="num" w:pos="360"/>
          <w:tab w:val="num" w:pos="720"/>
        </w:tabs>
        <w:autoSpaceDE w:val="0"/>
        <w:autoSpaceDN w:val="0"/>
        <w:adjustRightInd w:val="0"/>
        <w:ind w:firstLine="720"/>
        <w:jc w:val="both"/>
      </w:pPr>
    </w:p>
    <w:p w:rsidR="00257D6D" w:rsidRPr="007F479C" w:rsidRDefault="00257D6D" w:rsidP="00257D6D">
      <w:pPr>
        <w:autoSpaceDE w:val="0"/>
        <w:autoSpaceDN w:val="0"/>
        <w:adjustRightInd w:val="0"/>
        <w:jc w:val="both"/>
        <w:rPr>
          <w:b/>
          <w:color w:val="000000"/>
        </w:rPr>
      </w:pPr>
      <w:r w:rsidRPr="007F479C">
        <w:rPr>
          <w:b/>
          <w:bCs/>
        </w:rPr>
        <w:t xml:space="preserve">Kata Kunci: </w:t>
      </w:r>
      <w:r w:rsidRPr="007F479C">
        <w:rPr>
          <w:b/>
        </w:rPr>
        <w:t>Penggunaan, TenagaKerja, Asing</w:t>
      </w:r>
    </w:p>
    <w:p w:rsidR="00257D6D" w:rsidRPr="007F479C" w:rsidRDefault="00257D6D" w:rsidP="00257D6D">
      <w:pPr>
        <w:pStyle w:val="BodyText3"/>
        <w:spacing w:after="0"/>
        <w:rPr>
          <w:b/>
          <w:sz w:val="24"/>
          <w:szCs w:val="24"/>
        </w:rPr>
      </w:pPr>
    </w:p>
    <w:p w:rsidR="00257D6D" w:rsidRPr="007F479C" w:rsidRDefault="00257D6D" w:rsidP="00257D6D">
      <w:pPr>
        <w:pStyle w:val="BodyText3"/>
        <w:spacing w:after="0"/>
        <w:jc w:val="center"/>
        <w:rPr>
          <w:b/>
          <w:i/>
          <w:sz w:val="24"/>
          <w:szCs w:val="24"/>
        </w:rPr>
      </w:pPr>
      <w:r w:rsidRPr="007F479C">
        <w:rPr>
          <w:b/>
          <w:i/>
          <w:sz w:val="24"/>
          <w:szCs w:val="24"/>
        </w:rPr>
        <w:t>ABSTRACT</w:t>
      </w:r>
    </w:p>
    <w:p w:rsidR="00257D6D" w:rsidRPr="007F479C" w:rsidRDefault="00257D6D" w:rsidP="00257D6D">
      <w:pPr>
        <w:pStyle w:val="BodyText3"/>
        <w:spacing w:after="0"/>
        <w:jc w:val="center"/>
        <w:rPr>
          <w:b/>
          <w:i/>
          <w:sz w:val="24"/>
          <w:szCs w:val="24"/>
        </w:rPr>
      </w:pPr>
    </w:p>
    <w:p w:rsidR="00257D6D" w:rsidRPr="007F479C" w:rsidRDefault="00257D6D" w:rsidP="00257D6D">
      <w:pPr>
        <w:pStyle w:val="BodyText3"/>
        <w:spacing w:after="0"/>
        <w:jc w:val="center"/>
        <w:rPr>
          <w:b/>
          <w:i/>
          <w:sz w:val="24"/>
          <w:szCs w:val="24"/>
        </w:rPr>
      </w:pPr>
      <w:r w:rsidRPr="007F479C">
        <w:rPr>
          <w:b/>
          <w:i/>
          <w:sz w:val="24"/>
          <w:szCs w:val="24"/>
        </w:rPr>
        <w:t>LEGAL REVIEW OF THE USE OF FOREIGN WORKERS WITH THE ENFORCEMENT OF PRESIDENTIAL REGULATION</w:t>
      </w:r>
    </w:p>
    <w:p w:rsidR="00257D6D" w:rsidRPr="007F479C" w:rsidRDefault="00257D6D" w:rsidP="00257D6D">
      <w:pPr>
        <w:pStyle w:val="BodyText3"/>
        <w:spacing w:after="0"/>
        <w:jc w:val="center"/>
        <w:rPr>
          <w:b/>
          <w:i/>
          <w:sz w:val="24"/>
          <w:szCs w:val="24"/>
        </w:rPr>
      </w:pPr>
      <w:r w:rsidRPr="007F479C">
        <w:rPr>
          <w:b/>
          <w:i/>
          <w:sz w:val="24"/>
          <w:szCs w:val="24"/>
        </w:rPr>
        <w:t>NO.20 OF 2018 CONCERNING THE USE OF</w:t>
      </w:r>
    </w:p>
    <w:p w:rsidR="00257D6D" w:rsidRPr="007F479C" w:rsidRDefault="00257D6D" w:rsidP="00257D6D">
      <w:pPr>
        <w:pStyle w:val="BodyText3"/>
        <w:spacing w:after="0"/>
        <w:jc w:val="center"/>
        <w:rPr>
          <w:b/>
          <w:i/>
          <w:sz w:val="24"/>
          <w:szCs w:val="24"/>
        </w:rPr>
      </w:pPr>
      <w:r w:rsidRPr="007F479C">
        <w:rPr>
          <w:b/>
          <w:i/>
          <w:sz w:val="24"/>
          <w:szCs w:val="24"/>
        </w:rPr>
        <w:t>FOREIGN WORKERS</w:t>
      </w:r>
    </w:p>
    <w:p w:rsidR="00257D6D" w:rsidRPr="007F479C" w:rsidRDefault="00257D6D" w:rsidP="00257D6D">
      <w:pPr>
        <w:pStyle w:val="BodyText3"/>
        <w:spacing w:after="0"/>
        <w:rPr>
          <w:b/>
          <w:sz w:val="24"/>
          <w:szCs w:val="24"/>
        </w:rPr>
      </w:pPr>
    </w:p>
    <w:p w:rsidR="00257D6D" w:rsidRPr="007F479C" w:rsidRDefault="00257D6D" w:rsidP="00257D6D">
      <w:pPr>
        <w:pStyle w:val="BodyText3"/>
        <w:spacing w:after="0"/>
        <w:jc w:val="center"/>
        <w:rPr>
          <w:b/>
          <w:sz w:val="24"/>
          <w:szCs w:val="24"/>
        </w:rPr>
      </w:pPr>
      <w:r w:rsidRPr="007F479C">
        <w:rPr>
          <w:b/>
          <w:sz w:val="24"/>
          <w:szCs w:val="24"/>
        </w:rPr>
        <w:t>Monica Naomi Aurelia</w:t>
      </w:r>
    </w:p>
    <w:p w:rsidR="00257D6D" w:rsidRPr="007F479C" w:rsidRDefault="00257D6D" w:rsidP="00257D6D">
      <w:pPr>
        <w:pStyle w:val="BodyText3"/>
        <w:spacing w:after="0"/>
        <w:jc w:val="center"/>
        <w:rPr>
          <w:b/>
          <w:sz w:val="24"/>
          <w:szCs w:val="24"/>
        </w:rPr>
      </w:pPr>
      <w:r w:rsidRPr="007F479C">
        <w:rPr>
          <w:b/>
          <w:sz w:val="24"/>
          <w:szCs w:val="24"/>
        </w:rPr>
        <w:t>(235114066)</w:t>
      </w:r>
    </w:p>
    <w:p w:rsidR="00257D6D" w:rsidRPr="007F479C" w:rsidRDefault="00257D6D" w:rsidP="00257D6D">
      <w:pPr>
        <w:pStyle w:val="BodyText3"/>
        <w:spacing w:after="0"/>
        <w:rPr>
          <w:b/>
          <w:sz w:val="24"/>
          <w:szCs w:val="24"/>
        </w:rPr>
      </w:pPr>
    </w:p>
    <w:p w:rsidR="00257D6D" w:rsidRPr="007F479C" w:rsidRDefault="00257D6D" w:rsidP="00257D6D">
      <w:pPr>
        <w:pStyle w:val="BodyText3"/>
        <w:spacing w:after="0"/>
        <w:jc w:val="both"/>
        <w:rPr>
          <w:i/>
          <w:sz w:val="24"/>
          <w:szCs w:val="24"/>
        </w:rPr>
      </w:pPr>
      <w:r w:rsidRPr="007F479C">
        <w:rPr>
          <w:i/>
          <w:sz w:val="24"/>
          <w:szCs w:val="24"/>
        </w:rPr>
        <w:t>In fact, the Republic of Indonesia prioritizes the placement of domestic workers rather than foreign workers according to the mandate of the Constitution Article 27 paragraph (2). In fact, the existence of foreign workers is still needed in relation to investment in various sectors that require technology and special skills that cannot yet be met by Indonesian workers. The problem is that foreign workers enter sectors that do not require special skills, even though many unskilled workers are unemployed. The Job Creation Law cuts the licensing process for the use of foreign workers and eliminates several criminal sanctions and/or replaces them with administrative sanctions for violations of foreign worker use norms. The formulation of the problem in this thesis is how are the legal regulations for permits to use foreign workers in Indonesia, what are the legal sanctions for violations of the use of foreign workers after the Job Creation Law, how is the supervision of the use of foreign workers in Indonesia and its obstacles. This type of research is normative juridical, namely research based on laws. Data analysis is carried out qualitatively, namely a form of analysis that does not rely on numbers but on sentences. The conclusion in this paper is carried out using deductive-inductive thinking logic, namely using a theory that is used as a starting point for conducting research. The results of the study show that the legal regulations for permits to use foreign workers in Indonesia are permitted by law but with limitations that include regulations covering the main material before entering an employment relationship, the main material during the employment relationship and the main material after the end of the employment relationship. Legal sanctions for violations of the use of foreign workers after the Job Creation Law are provisions on criminal sanctions for violations of the use of foreign workers are removed and/or changed by the Job Creation Law to administrative sanctions. Supervision of the use of foreign workers in Indonesia and its obstacles are the number of foreign labor supervisors that are not comparable to the number of foreign workers working in the company, complicated foreign labor licensing procedures that cause many companies to use foreign workers illegally and the absence of evaluation after the use of foreign workers.</w:t>
      </w:r>
    </w:p>
    <w:p w:rsidR="00257D6D" w:rsidRPr="007F479C" w:rsidRDefault="00257D6D" w:rsidP="00257D6D">
      <w:pPr>
        <w:pStyle w:val="BodyText3"/>
        <w:spacing w:after="0"/>
        <w:rPr>
          <w:b/>
          <w:sz w:val="24"/>
          <w:szCs w:val="24"/>
        </w:rPr>
      </w:pPr>
    </w:p>
    <w:p w:rsidR="00257D6D" w:rsidRPr="007F479C" w:rsidRDefault="00257D6D" w:rsidP="00257D6D">
      <w:pPr>
        <w:pStyle w:val="BodyText3"/>
        <w:spacing w:after="0"/>
        <w:rPr>
          <w:b/>
          <w:sz w:val="24"/>
          <w:szCs w:val="24"/>
        </w:rPr>
      </w:pPr>
      <w:r w:rsidRPr="007F479C">
        <w:rPr>
          <w:b/>
          <w:sz w:val="24"/>
          <w:szCs w:val="24"/>
        </w:rPr>
        <w:lastRenderedPageBreak/>
        <w:t>Keywords: Use, Labor, Foreign</w:t>
      </w:r>
    </w:p>
    <w:p w:rsidR="00257D6D" w:rsidRPr="007F479C" w:rsidRDefault="00257D6D" w:rsidP="00257D6D">
      <w:pPr>
        <w:pStyle w:val="BodyText3"/>
        <w:spacing w:after="0"/>
        <w:rPr>
          <w:b/>
          <w:sz w:val="24"/>
          <w:szCs w:val="24"/>
        </w:rPr>
      </w:pPr>
    </w:p>
    <w:p w:rsidR="00257D6D" w:rsidRPr="007F479C" w:rsidRDefault="00257D6D" w:rsidP="00257D6D">
      <w:pPr>
        <w:pStyle w:val="BodyText3"/>
        <w:spacing w:after="0"/>
        <w:rPr>
          <w:b/>
          <w:sz w:val="24"/>
          <w:szCs w:val="24"/>
        </w:rPr>
      </w:pPr>
    </w:p>
    <w:p w:rsidR="001625C8" w:rsidRPr="00257D6D" w:rsidRDefault="001625C8" w:rsidP="00257D6D">
      <w:bookmarkStart w:id="0" w:name="_GoBack"/>
      <w:bookmarkEnd w:id="0"/>
    </w:p>
    <w:sectPr w:rsidR="001625C8" w:rsidRPr="00257D6D" w:rsidSect="00C83802">
      <w:headerReference w:type="even" r:id="rId6"/>
      <w:headerReference w:type="default" r:id="rId7"/>
      <w:footerReference w:type="even"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C8F" w:rsidRDefault="00205C8F" w:rsidP="00782B6A">
      <w:r>
        <w:separator/>
      </w:r>
    </w:p>
  </w:endnote>
  <w:endnote w:type="continuationSeparator" w:id="1">
    <w:p w:rsidR="00205C8F" w:rsidRDefault="00205C8F" w:rsidP="00782B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7F" w:rsidRDefault="00294A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9FF" w:rsidRDefault="00205C8F">
    <w:pPr>
      <w:pStyle w:val="Footer"/>
      <w:jc w:val="center"/>
    </w:pPr>
  </w:p>
  <w:p w:rsidR="001E49FF" w:rsidRDefault="00205C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7F" w:rsidRDefault="00294A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C8F" w:rsidRDefault="00205C8F" w:rsidP="00782B6A">
      <w:r>
        <w:separator/>
      </w:r>
    </w:p>
  </w:footnote>
  <w:footnote w:type="continuationSeparator" w:id="1">
    <w:p w:rsidR="00205C8F" w:rsidRDefault="00205C8F" w:rsidP="00782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7F" w:rsidRDefault="00294A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7F" w:rsidRPr="00226E0B" w:rsidRDefault="00294A7F" w:rsidP="00294A7F">
    <w:pPr>
      <w:pStyle w:val="Header"/>
      <w:jc w:val="right"/>
      <w:rPr>
        <w:lang w:val="id-ID"/>
      </w:rPr>
    </w:pPr>
    <w:r>
      <w:rPr>
        <w:lang w:val="id-ID"/>
      </w:rPr>
      <w:t>PUBLISH: 20/11/2025 16:03:20</w:t>
    </w:r>
  </w:p>
  <w:p w:rsidR="001E49FF" w:rsidRDefault="00205C8F">
    <w:pPr>
      <w:pStyle w:val="Header"/>
      <w:jc w:val="right"/>
    </w:pPr>
  </w:p>
  <w:p w:rsidR="001E49FF" w:rsidRPr="007E1322" w:rsidRDefault="00257D6D" w:rsidP="001E49FF">
    <w:pPr>
      <w:tabs>
        <w:tab w:val="left" w:pos="2700"/>
        <w:tab w:val="center" w:pos="4308"/>
      </w:tabs>
      <w:spacing w:line="360" w:lineRule="auto"/>
      <w:ind w:right="-680"/>
      <w:rPr>
        <w:b/>
        <w:color w:val="00B050"/>
        <w:sz w:val="28"/>
      </w:rPr>
    </w:pPr>
    <w:r>
      <w:rPr>
        <w:b/>
        <w:color w:val="00B050"/>
      </w:rPr>
      <w:tab/>
    </w:r>
    <w:r>
      <w:rPr>
        <w:b/>
        <w:color w:val="00B050"/>
      </w:rPr>
      <w:tab/>
    </w:r>
  </w:p>
  <w:p w:rsidR="001E49FF" w:rsidRDefault="00257D6D">
    <w:pPr>
      <w:pStyle w:val="Header"/>
    </w:pPr>
    <w:r>
      <w:rPr>
        <w:noProof/>
        <w:lang w:val="id-ID" w:eastAsia="id-ID"/>
      </w:rPr>
      <w:drawing>
        <wp:anchor distT="0" distB="0" distL="114300" distR="114300" simplePos="0" relativeHeight="251661312" behindDoc="1" locked="0" layoutInCell="1" allowOverlap="1">
          <wp:simplePos x="0" y="0"/>
          <wp:positionH relativeFrom="column">
            <wp:posOffset>17145</wp:posOffset>
          </wp:positionH>
          <wp:positionV relativeFrom="paragraph">
            <wp:posOffset>2729230</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7F" w:rsidRDefault="00294A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cumentProtection w:edit="forms" w:formatting="1" w:enforcement="1" w:cryptProviderType="rsaFull" w:cryptAlgorithmClass="hash" w:cryptAlgorithmType="typeAny" w:cryptAlgorithmSid="4" w:cryptSpinCount="50000" w:hash="kKxdAQ6x/QF8kQ3ipEx6uyDbcAU=" w:salt="E1zGJrVm7jDTfqdDHGfxHQ=="/>
  <w:defaultTabStop w:val="720"/>
  <w:characterSpacingControl w:val="doNotCompress"/>
  <w:footnotePr>
    <w:footnote w:id="0"/>
    <w:footnote w:id="1"/>
  </w:footnotePr>
  <w:endnotePr>
    <w:endnote w:id="0"/>
    <w:endnote w:id="1"/>
  </w:endnotePr>
  <w:compat/>
  <w:rsids>
    <w:rsidRoot w:val="00C83802"/>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5C8F"/>
    <w:rsid w:val="00206B40"/>
    <w:rsid w:val="002124AE"/>
    <w:rsid w:val="002159EF"/>
    <w:rsid w:val="002225F3"/>
    <w:rsid w:val="00251A21"/>
    <w:rsid w:val="00256F93"/>
    <w:rsid w:val="00257D6D"/>
    <w:rsid w:val="00272376"/>
    <w:rsid w:val="00290DE2"/>
    <w:rsid w:val="00294A7F"/>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82B6A"/>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3802"/>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3802"/>
    <w:pPr>
      <w:tabs>
        <w:tab w:val="center" w:pos="4320"/>
        <w:tab w:val="right" w:pos="8640"/>
      </w:tabs>
    </w:pPr>
  </w:style>
  <w:style w:type="character" w:customStyle="1" w:styleId="FooterChar">
    <w:name w:val="Footer Char"/>
    <w:basedOn w:val="DefaultParagraphFont"/>
    <w:link w:val="Footer"/>
    <w:uiPriority w:val="99"/>
    <w:rsid w:val="00C83802"/>
    <w:rPr>
      <w:rFonts w:ascii="Times New Roman" w:eastAsia="Times New Roman" w:hAnsi="Times New Roman" w:cs="Times New Roman"/>
      <w:sz w:val="24"/>
      <w:szCs w:val="24"/>
    </w:rPr>
  </w:style>
  <w:style w:type="paragraph" w:styleId="Header">
    <w:name w:val="header"/>
    <w:basedOn w:val="Normal"/>
    <w:link w:val="HeaderChar"/>
    <w:uiPriority w:val="99"/>
    <w:rsid w:val="00C83802"/>
    <w:pPr>
      <w:tabs>
        <w:tab w:val="center" w:pos="4320"/>
        <w:tab w:val="right" w:pos="8640"/>
      </w:tabs>
    </w:pPr>
  </w:style>
  <w:style w:type="character" w:customStyle="1" w:styleId="HeaderChar">
    <w:name w:val="Header Char"/>
    <w:basedOn w:val="DefaultParagraphFont"/>
    <w:link w:val="Header"/>
    <w:uiPriority w:val="99"/>
    <w:rsid w:val="00C83802"/>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57D6D"/>
    <w:pPr>
      <w:spacing w:after="120"/>
    </w:pPr>
    <w:rPr>
      <w:sz w:val="16"/>
      <w:szCs w:val="16"/>
    </w:rPr>
  </w:style>
  <w:style w:type="character" w:customStyle="1" w:styleId="BodyText3Char">
    <w:name w:val="Body Text 3 Char"/>
    <w:basedOn w:val="DefaultParagraphFont"/>
    <w:link w:val="BodyText3"/>
    <w:uiPriority w:val="99"/>
    <w:semiHidden/>
    <w:rsid w:val="00257D6D"/>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3802"/>
    <w:pPr>
      <w:tabs>
        <w:tab w:val="center" w:pos="4320"/>
        <w:tab w:val="right" w:pos="8640"/>
      </w:tabs>
    </w:pPr>
  </w:style>
  <w:style w:type="character" w:customStyle="1" w:styleId="FooterChar">
    <w:name w:val="Footer Char"/>
    <w:basedOn w:val="DefaultParagraphFont"/>
    <w:link w:val="Footer"/>
    <w:uiPriority w:val="99"/>
    <w:rsid w:val="00C83802"/>
    <w:rPr>
      <w:rFonts w:ascii="Times New Roman" w:eastAsia="Times New Roman" w:hAnsi="Times New Roman" w:cs="Times New Roman"/>
      <w:sz w:val="24"/>
      <w:szCs w:val="24"/>
    </w:rPr>
  </w:style>
  <w:style w:type="paragraph" w:styleId="Header">
    <w:name w:val="header"/>
    <w:basedOn w:val="Normal"/>
    <w:link w:val="HeaderChar"/>
    <w:uiPriority w:val="99"/>
    <w:rsid w:val="00C83802"/>
    <w:pPr>
      <w:tabs>
        <w:tab w:val="center" w:pos="4320"/>
        <w:tab w:val="right" w:pos="8640"/>
      </w:tabs>
    </w:pPr>
  </w:style>
  <w:style w:type="character" w:customStyle="1" w:styleId="HeaderChar">
    <w:name w:val="Header Char"/>
    <w:basedOn w:val="DefaultParagraphFont"/>
    <w:link w:val="Header"/>
    <w:uiPriority w:val="99"/>
    <w:rsid w:val="00C83802"/>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57D6D"/>
    <w:pPr>
      <w:spacing w:after="120"/>
    </w:pPr>
    <w:rPr>
      <w:sz w:val="16"/>
      <w:szCs w:val="16"/>
    </w:rPr>
  </w:style>
  <w:style w:type="character" w:customStyle="1" w:styleId="BodyText3Char">
    <w:name w:val="Body Text 3 Char"/>
    <w:basedOn w:val="DefaultParagraphFont"/>
    <w:link w:val="BodyText3"/>
    <w:uiPriority w:val="99"/>
    <w:semiHidden/>
    <w:rsid w:val="00257D6D"/>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2025-11-20T09:04:00Z</dcterms:created>
  <dcterms:modified xsi:type="dcterms:W3CDTF">2025-11-20T09:04:00Z</dcterms:modified>
</cp:coreProperties>
</file>