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44E" w:rsidRPr="00EF2772" w:rsidRDefault="008A044E" w:rsidP="008A044E">
      <w:pPr>
        <w:autoSpaceDE w:val="0"/>
        <w:autoSpaceDN w:val="0"/>
        <w:adjustRightInd w:val="0"/>
        <w:spacing w:line="480" w:lineRule="auto"/>
        <w:jc w:val="center"/>
        <w:rPr>
          <w:b/>
          <w:color w:val="000000"/>
          <w:lang w:val="sv-SE"/>
        </w:rPr>
      </w:pPr>
      <w:r w:rsidRPr="00EF2772">
        <w:rPr>
          <w:b/>
          <w:color w:val="000000"/>
          <w:lang w:val="sv-SE"/>
        </w:rPr>
        <w:t>BAB IV</w:t>
      </w:r>
    </w:p>
    <w:p w:rsidR="008A044E" w:rsidRPr="00EF2772" w:rsidRDefault="008A044E" w:rsidP="008A044E">
      <w:pPr>
        <w:autoSpaceDE w:val="0"/>
        <w:autoSpaceDN w:val="0"/>
        <w:adjustRightInd w:val="0"/>
        <w:spacing w:line="480" w:lineRule="auto"/>
        <w:jc w:val="center"/>
        <w:rPr>
          <w:b/>
          <w:color w:val="000000"/>
          <w:lang w:val="sv-SE"/>
        </w:rPr>
      </w:pPr>
      <w:r w:rsidRPr="00EF2772">
        <w:rPr>
          <w:b/>
          <w:color w:val="000000"/>
          <w:lang w:val="sv-SE"/>
        </w:rPr>
        <w:t>HASIL PENELITIAN DAN PEMBAHASAN</w:t>
      </w:r>
    </w:p>
    <w:p w:rsidR="008A044E" w:rsidRPr="00EF2772" w:rsidRDefault="008A044E" w:rsidP="008A044E">
      <w:pPr>
        <w:numPr>
          <w:ilvl w:val="7"/>
          <w:numId w:val="27"/>
        </w:numPr>
        <w:tabs>
          <w:tab w:val="clear" w:pos="5400"/>
          <w:tab w:val="num" w:pos="360"/>
          <w:tab w:val="num" w:pos="5760"/>
        </w:tabs>
        <w:autoSpaceDE w:val="0"/>
        <w:autoSpaceDN w:val="0"/>
        <w:adjustRightInd w:val="0"/>
        <w:spacing w:line="480" w:lineRule="auto"/>
        <w:ind w:left="360"/>
        <w:jc w:val="both"/>
        <w:rPr>
          <w:b/>
          <w:color w:val="000000"/>
          <w:lang w:val="sv-SE"/>
        </w:rPr>
      </w:pPr>
      <w:r w:rsidRPr="00EF2772">
        <w:rPr>
          <w:b/>
          <w:color w:val="000000"/>
        </w:rPr>
        <w:t xml:space="preserve">Tujuan </w:t>
      </w:r>
      <w:bookmarkStart w:id="0" w:name="_Hlk177571586"/>
      <w:r w:rsidRPr="00EF2772">
        <w:rPr>
          <w:b/>
          <w:color w:val="000000"/>
          <w:lang w:val="id-ID"/>
        </w:rPr>
        <w:t xml:space="preserve">Pemidanaan Melalui Sanksi Pidana Penjara </w:t>
      </w:r>
      <w:r w:rsidRPr="00EF2772">
        <w:rPr>
          <w:b/>
          <w:color w:val="000000"/>
        </w:rPr>
        <w:t xml:space="preserve">dan </w:t>
      </w:r>
      <w:r w:rsidRPr="00EF2772">
        <w:rPr>
          <w:b/>
          <w:color w:val="000000"/>
          <w:lang w:val="id-ID"/>
        </w:rPr>
        <w:t xml:space="preserve">Rehabilitasi Terhadap Pecandu Narkotika </w:t>
      </w:r>
      <w:bookmarkEnd w:id="0"/>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Setiap pemidanaan pada dasarnya menyatakan perbuatan terpidana adalah salah, tidak dapat diterima oleh masyarakat dan bahwa terpidana telah bertindak melawan kewajibannya dalam masyarakat, sehingga dalam proses pemidanaan, terpidana dibantu untuk menyadari dan mengakui kesalahan yang dituduhkan atasnya.</w:t>
      </w:r>
      <w:r w:rsidRPr="00EF2772">
        <w:rPr>
          <w:rStyle w:val="FootnoteReference"/>
          <w:color w:val="000000"/>
          <w:lang w:val="id-ID" w:eastAsia="id-ID"/>
        </w:rPr>
        <w:footnoteReference w:id="2"/>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Muladi memunculkan konsep tujuan pemidanaan yang disebutnya sebagai tujuan pemidanaan yang integratif (kemanusiaan dalam sistem Pancasila). Teori tujuan pemidanaan integratif tersebut berangkat dari asumsi dasar bahwa tindak pidana merupakan gangguan terhadap keseimbangan, keselarasan dan keserasian dalam kehidupan masyarakat yang menimbulkan kerusakan individual dan masyarakat, tujuan pemidanaan adalah untuk memperbaiki kerusakan-kerusakan yang diakibatkan oleh tindak pidana.</w:t>
      </w:r>
      <w:r w:rsidRPr="00EF2772">
        <w:rPr>
          <w:rStyle w:val="FootnoteReference"/>
          <w:color w:val="000000"/>
          <w:lang w:val="id-ID" w:eastAsia="id-ID"/>
        </w:rPr>
        <w:footnoteReference w:id="3"/>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Bermuara dari konsepsi-konsepsi aliran hukum pidana, lahirlah ide individualisasi pidana yang memiliki beberapa karakteristik sebagai berikut:</w:t>
      </w:r>
    </w:p>
    <w:p w:rsidR="008A044E" w:rsidRPr="00EF2772" w:rsidRDefault="008A044E" w:rsidP="008A044E">
      <w:pPr>
        <w:numPr>
          <w:ilvl w:val="2"/>
          <w:numId w:val="26"/>
        </w:numPr>
        <w:tabs>
          <w:tab w:val="clear" w:pos="2340"/>
          <w:tab w:val="num" w:pos="1080"/>
        </w:tabs>
        <w:autoSpaceDE w:val="0"/>
        <w:autoSpaceDN w:val="0"/>
        <w:adjustRightInd w:val="0"/>
        <w:ind w:left="1080"/>
        <w:jc w:val="both"/>
        <w:rPr>
          <w:color w:val="000000"/>
          <w:lang w:val="id-ID" w:eastAsia="id-ID"/>
        </w:rPr>
      </w:pPr>
      <w:r w:rsidRPr="00EF2772">
        <w:rPr>
          <w:color w:val="000000"/>
          <w:lang w:val="id-ID" w:eastAsia="id-ID"/>
        </w:rPr>
        <w:t>Pertanggungjawaban (pidana) bersifat pribadi/perorangan (asas personal).</w:t>
      </w:r>
    </w:p>
    <w:p w:rsidR="008A044E" w:rsidRPr="00EF2772" w:rsidRDefault="008A044E" w:rsidP="008A044E">
      <w:pPr>
        <w:numPr>
          <w:ilvl w:val="2"/>
          <w:numId w:val="26"/>
        </w:numPr>
        <w:tabs>
          <w:tab w:val="clear" w:pos="2340"/>
          <w:tab w:val="num" w:pos="1080"/>
        </w:tabs>
        <w:autoSpaceDE w:val="0"/>
        <w:autoSpaceDN w:val="0"/>
        <w:adjustRightInd w:val="0"/>
        <w:ind w:left="1080"/>
        <w:jc w:val="both"/>
        <w:rPr>
          <w:color w:val="000000"/>
          <w:lang w:val="id-ID" w:eastAsia="id-ID"/>
        </w:rPr>
      </w:pPr>
      <w:r w:rsidRPr="00EF2772">
        <w:rPr>
          <w:color w:val="000000"/>
          <w:lang w:val="id-ID" w:eastAsia="id-ID"/>
        </w:rPr>
        <w:t xml:space="preserve">Pidana hanya diberikan kepada orang yang bersalah (asas </w:t>
      </w:r>
      <w:r w:rsidRPr="00EF2772">
        <w:rPr>
          <w:i/>
          <w:color w:val="000000"/>
          <w:lang w:val="id-ID" w:eastAsia="id-ID"/>
        </w:rPr>
        <w:t xml:space="preserve">culpabilitas </w:t>
      </w:r>
      <w:r w:rsidRPr="00EF2772">
        <w:rPr>
          <w:color w:val="000000"/>
          <w:lang w:val="id-ID" w:eastAsia="id-ID"/>
        </w:rPr>
        <w:t>bahwa tiada pidana tanpa kesalahan).</w:t>
      </w:r>
    </w:p>
    <w:p w:rsidR="008A044E" w:rsidRPr="00EF2772" w:rsidRDefault="008A044E" w:rsidP="008A044E">
      <w:pPr>
        <w:numPr>
          <w:ilvl w:val="2"/>
          <w:numId w:val="26"/>
        </w:numPr>
        <w:tabs>
          <w:tab w:val="clear" w:pos="2340"/>
          <w:tab w:val="num" w:pos="1080"/>
        </w:tabs>
        <w:autoSpaceDE w:val="0"/>
        <w:autoSpaceDN w:val="0"/>
        <w:adjustRightInd w:val="0"/>
        <w:ind w:left="1080"/>
        <w:jc w:val="both"/>
        <w:rPr>
          <w:color w:val="000000"/>
          <w:lang w:val="id-ID" w:eastAsia="id-ID"/>
        </w:rPr>
      </w:pPr>
      <w:r w:rsidRPr="00EF2772">
        <w:rPr>
          <w:color w:val="000000"/>
          <w:lang w:val="id-ID" w:eastAsia="id-ID"/>
        </w:rPr>
        <w:t xml:space="preserve">Pidana harus disesuaikan dengan karakteristik dan kondisi pelaku. Ini berarti harus ada kelonggaran/fleksibelitas bagi hakim dalam memilih </w:t>
      </w:r>
      <w:r w:rsidRPr="00EF2772">
        <w:rPr>
          <w:color w:val="000000"/>
          <w:lang w:val="id-ID" w:eastAsia="id-ID"/>
        </w:rPr>
        <w:lastRenderedPageBreak/>
        <w:t>sanksi pidana (jenis maupun berat ringannya sanksi) dan harus ada kemungkinan modifikasi pidana (perubahan/penyesuaian) dalam pelaksanaannya.</w:t>
      </w:r>
      <w:r w:rsidRPr="00EF2772">
        <w:rPr>
          <w:rStyle w:val="FootnoteReference"/>
          <w:color w:val="000000"/>
          <w:lang w:val="id-ID" w:eastAsia="id-ID"/>
        </w:rPr>
        <w:footnoteReference w:id="4"/>
      </w:r>
    </w:p>
    <w:p w:rsidR="008A044E" w:rsidRPr="00EF2772" w:rsidRDefault="008A044E" w:rsidP="008A044E">
      <w:pPr>
        <w:autoSpaceDE w:val="0"/>
        <w:autoSpaceDN w:val="0"/>
        <w:adjustRightInd w:val="0"/>
        <w:ind w:left="1080"/>
        <w:jc w:val="both"/>
        <w:rPr>
          <w:color w:val="000000"/>
          <w:lang w:val="id-ID" w:eastAsia="id-ID"/>
        </w:rPr>
      </w:pPr>
    </w:p>
    <w:p w:rsidR="008A044E" w:rsidRPr="00EF2772" w:rsidRDefault="008A044E" w:rsidP="008A044E">
      <w:pPr>
        <w:autoSpaceDE w:val="0"/>
        <w:autoSpaceDN w:val="0"/>
        <w:adjustRightInd w:val="0"/>
        <w:spacing w:line="504" w:lineRule="auto"/>
        <w:ind w:firstLine="720"/>
        <w:jc w:val="both"/>
        <w:rPr>
          <w:rStyle w:val="markedcontent"/>
          <w:color w:val="000000"/>
        </w:rPr>
      </w:pPr>
      <w:r w:rsidRPr="00EF2772">
        <w:rPr>
          <w:rStyle w:val="markedcontent"/>
          <w:color w:val="000000"/>
        </w:rPr>
        <w:t xml:space="preserve">Pencegahan sebagai tujuan pokok pidana yang hendak dicapai adalah </w:t>
      </w:r>
      <w:r w:rsidRPr="00EF2772">
        <w:rPr>
          <w:color w:val="000000"/>
        </w:rPr>
        <w:br/>
      </w:r>
      <w:r w:rsidRPr="00EF2772">
        <w:rPr>
          <w:rStyle w:val="markedcontent"/>
          <w:color w:val="000000"/>
        </w:rPr>
        <w:t xml:space="preserve">pencegahan ditujukan kepada khlayak ramai/kepada semua orang agar supaya </w:t>
      </w:r>
      <w:r w:rsidRPr="00EF2772">
        <w:rPr>
          <w:color w:val="000000"/>
        </w:rPr>
        <w:br/>
      </w:r>
      <w:r w:rsidRPr="00EF2772">
        <w:rPr>
          <w:rStyle w:val="markedcontent"/>
          <w:color w:val="000000"/>
        </w:rPr>
        <w:t>tidak melakukan pelanggaran terhadap ketertiban masyarakat.</w:t>
      </w:r>
      <w:r w:rsidRPr="00EF2772">
        <w:rPr>
          <w:rStyle w:val="FootnoteReference"/>
          <w:color w:val="000000"/>
        </w:rPr>
        <w:footnoteReference w:id="5"/>
      </w:r>
      <w:r w:rsidRPr="00EF2772">
        <w:rPr>
          <w:rStyle w:val="markedcontent"/>
          <w:color w:val="000000"/>
        </w:rPr>
        <w:t xml:space="preserve"> Pencegahan dalam tindak pidana narkotika dapat dibagi menjadi dua yakni pertama penerapan </w:t>
      </w:r>
      <w:r w:rsidRPr="00EF2772">
        <w:rPr>
          <w:rStyle w:val="markedcontent"/>
          <w:color w:val="000000"/>
          <w:lang w:val="id-ID"/>
        </w:rPr>
        <w:t>P</w:t>
      </w:r>
      <w:r w:rsidRPr="00EF2772">
        <w:rPr>
          <w:rStyle w:val="markedcontent"/>
          <w:color w:val="000000"/>
        </w:rPr>
        <w:t xml:space="preserve">asal 127 Undang-Undang No. 35 Tahun 2009 </w:t>
      </w:r>
      <w:r w:rsidRPr="00EF2772">
        <w:rPr>
          <w:rStyle w:val="markedcontent"/>
          <w:color w:val="000000"/>
          <w:lang w:val="id-ID"/>
        </w:rPr>
        <w:t xml:space="preserve">Tentang Narkotika </w:t>
      </w:r>
      <w:r w:rsidRPr="00EF2772">
        <w:rPr>
          <w:rStyle w:val="markedcontent"/>
          <w:color w:val="000000"/>
        </w:rPr>
        <w:t>dengan menerapkan rehabilitasi medis</w:t>
      </w:r>
      <w:r w:rsidRPr="00EF2772">
        <w:rPr>
          <w:rStyle w:val="markedcontent"/>
          <w:color w:val="000000"/>
          <w:lang w:val="id-ID"/>
        </w:rPr>
        <w:t xml:space="preserve"> d</w:t>
      </w:r>
      <w:r w:rsidRPr="00EF2772">
        <w:rPr>
          <w:rStyle w:val="markedcontent"/>
          <w:color w:val="000000"/>
        </w:rPr>
        <w:t xml:space="preserve">an sosial dan kedua melakukan berbagai upaya berupa kampanye, pendidikan dan penyuluhan mengenai narkotika sehingga narkotika menjadi barang yang tidak dikonsumsi secara tidak benar. Upaya ini pemidanaan dimaksudkan untuk memperbaiki sikap atau tingkah laku terpidana dan di pihak lain pemidanaan itu juga dimaksudkan untuk mencegah orang lain dari kemungkinan melakukan perbuatan yang serupa. Pandangan ini dikatakan berorientasi ke depan </w:t>
      </w:r>
      <w:r w:rsidRPr="00EF2772">
        <w:rPr>
          <w:rStyle w:val="markedcontent"/>
          <w:i/>
          <w:color w:val="000000"/>
        </w:rPr>
        <w:t>(forward-looking)</w:t>
      </w:r>
      <w:r w:rsidRPr="00EF2772">
        <w:rPr>
          <w:rStyle w:val="markedcontent"/>
          <w:color w:val="000000"/>
        </w:rPr>
        <w:t xml:space="preserve"> dan sekaligus mempunyai sifat pencegahan </w:t>
      </w:r>
      <w:r w:rsidRPr="00EF2772">
        <w:rPr>
          <w:rStyle w:val="markedcontent"/>
          <w:i/>
          <w:color w:val="000000"/>
        </w:rPr>
        <w:t>(detterence)</w:t>
      </w:r>
      <w:r w:rsidRPr="00EF2772">
        <w:rPr>
          <w:rStyle w:val="markedcontent"/>
          <w:color w:val="000000"/>
        </w:rPr>
        <w:t>.</w:t>
      </w:r>
      <w:r w:rsidRPr="00EF2772">
        <w:rPr>
          <w:rStyle w:val="FootnoteReference"/>
          <w:color w:val="000000"/>
        </w:rPr>
        <w:footnoteReference w:id="6"/>
      </w:r>
    </w:p>
    <w:p w:rsidR="008A044E" w:rsidRPr="00EF2772" w:rsidRDefault="008A044E" w:rsidP="008A044E">
      <w:pPr>
        <w:autoSpaceDE w:val="0"/>
        <w:autoSpaceDN w:val="0"/>
        <w:adjustRightInd w:val="0"/>
        <w:spacing w:line="504" w:lineRule="auto"/>
        <w:ind w:firstLine="720"/>
        <w:jc w:val="both"/>
        <w:rPr>
          <w:rStyle w:val="markedcontent"/>
          <w:color w:val="000000"/>
        </w:rPr>
      </w:pPr>
      <w:r w:rsidRPr="00EF2772">
        <w:rPr>
          <w:rStyle w:val="markedcontent"/>
          <w:color w:val="000000"/>
        </w:rPr>
        <w:t xml:space="preserve">Tujuan pemidanaan, yaitu pencegahan (prevention) dan retribusi (retribution). Dasar retribusi dalam just desert model menganggap bahwa pelanggar akan dinilai dengan sanksi yang patut diterima oleh mereka mengingat </w:t>
      </w:r>
      <w:r w:rsidRPr="00EF2772">
        <w:rPr>
          <w:color w:val="000000"/>
        </w:rPr>
        <w:br/>
      </w:r>
      <w:r w:rsidRPr="00EF2772">
        <w:rPr>
          <w:rStyle w:val="markedcontent"/>
          <w:color w:val="000000"/>
        </w:rPr>
        <w:t>kejahatan-kejahatan yang telah dilakukannya, sanksi yang tepat akan mencegah para kriminal melakukan tindakan-tindakan kejahatan lagi dan mencegah orang-</w:t>
      </w:r>
      <w:r w:rsidRPr="00EF2772">
        <w:rPr>
          <w:color w:val="000000"/>
        </w:rPr>
        <w:br/>
      </w:r>
      <w:r w:rsidRPr="00EF2772">
        <w:rPr>
          <w:rStyle w:val="markedcontent"/>
          <w:color w:val="000000"/>
        </w:rPr>
        <w:lastRenderedPageBreak/>
        <w:t>orang lain melakukan kejahatan yang dimasukan dalam katagori pencandu narkotika.</w:t>
      </w:r>
    </w:p>
    <w:p w:rsidR="008A044E" w:rsidRPr="00EF2772" w:rsidRDefault="008A044E" w:rsidP="008A044E">
      <w:pPr>
        <w:autoSpaceDE w:val="0"/>
        <w:autoSpaceDN w:val="0"/>
        <w:adjustRightInd w:val="0"/>
        <w:spacing w:line="480" w:lineRule="auto"/>
        <w:ind w:firstLine="720"/>
        <w:jc w:val="both"/>
        <w:rPr>
          <w:rStyle w:val="markedcontent"/>
          <w:color w:val="000000"/>
          <w:lang w:val="id-ID"/>
        </w:rPr>
      </w:pPr>
      <w:r w:rsidRPr="00EF2772">
        <w:rPr>
          <w:color w:val="000000"/>
        </w:rPr>
        <w:t xml:space="preserve">Penyalahgunaan narkotika telah dikualifikasikan sebagai tindak pidana </w:t>
      </w:r>
      <w:r w:rsidRPr="00EF2772">
        <w:rPr>
          <w:color w:val="000000"/>
          <w:lang w:val="id-ID"/>
        </w:rPr>
        <w:t>sebagaimana diatur dalam</w:t>
      </w:r>
      <w:r w:rsidRPr="00EF2772">
        <w:rPr>
          <w:color w:val="000000"/>
        </w:rPr>
        <w:t xml:space="preserve"> Pasal 1 Undang-undang Nomor 35 Tahun 2009 disebutkan penyalahguna adalah orang yang menggunakan narkotika tanpa hak atau melawan hukum. Penyalah guna narkotika dimungkinkan berstatus sebagai pecandu narkotika atau korban</w:t>
      </w:r>
      <w:r w:rsidRPr="00EF2772">
        <w:rPr>
          <w:color w:val="000000"/>
          <w:lang w:val="id-ID" w:eastAsia="id-ID"/>
        </w:rPr>
        <w:t>penyalahgunaan narkotika.</w:t>
      </w:r>
    </w:p>
    <w:p w:rsidR="008A044E" w:rsidRPr="00EF2772" w:rsidRDefault="008A044E" w:rsidP="008A044E">
      <w:pPr>
        <w:autoSpaceDE w:val="0"/>
        <w:autoSpaceDN w:val="0"/>
        <w:adjustRightInd w:val="0"/>
        <w:spacing w:line="480" w:lineRule="auto"/>
        <w:ind w:firstLine="720"/>
        <w:jc w:val="both"/>
        <w:rPr>
          <w:rStyle w:val="markedcontent"/>
          <w:color w:val="000000"/>
          <w:lang w:val="id-ID"/>
        </w:rPr>
      </w:pPr>
      <w:r w:rsidRPr="00EF2772">
        <w:rPr>
          <w:rStyle w:val="markedcontent"/>
          <w:color w:val="000000"/>
        </w:rPr>
        <w:t xml:space="preserve">Pecandu narkotika menurut Undang-Undang No. 35 Tahun 2009 ini di </w:t>
      </w:r>
      <w:r w:rsidRPr="00EF2772">
        <w:rPr>
          <w:color w:val="000000"/>
        </w:rPr>
        <w:br/>
      </w:r>
      <w:r w:rsidRPr="00EF2772">
        <w:rPr>
          <w:rStyle w:val="markedcontent"/>
          <w:color w:val="000000"/>
        </w:rPr>
        <w:t xml:space="preserve">satu sisi merupakan pelaku tindak pidana penyalahgunaan narkotika adalah </w:t>
      </w:r>
      <w:r w:rsidRPr="00EF2772">
        <w:rPr>
          <w:color w:val="000000"/>
        </w:rPr>
        <w:br/>
      </w:r>
      <w:r w:rsidRPr="00EF2772">
        <w:rPr>
          <w:rStyle w:val="markedcontent"/>
          <w:color w:val="000000"/>
        </w:rPr>
        <w:t xml:space="preserve">dengan adanya ketentuan Undang-Undang No. 35 Tahun 2009 yang mengatur </w:t>
      </w:r>
      <w:r w:rsidRPr="00EF2772">
        <w:rPr>
          <w:color w:val="000000"/>
        </w:rPr>
        <w:br/>
      </w:r>
      <w:r w:rsidRPr="00EF2772">
        <w:rPr>
          <w:rStyle w:val="markedcontent"/>
          <w:color w:val="000000"/>
        </w:rPr>
        <w:t xml:space="preserve">mengenai pidana penjara yang diberikan kepada para pelaku penyalahgunaan </w:t>
      </w:r>
      <w:r w:rsidRPr="00EF2772">
        <w:rPr>
          <w:color w:val="000000"/>
        </w:rPr>
        <w:br/>
      </w:r>
      <w:r w:rsidRPr="00EF2772">
        <w:rPr>
          <w:rStyle w:val="markedcontent"/>
          <w:color w:val="000000"/>
        </w:rPr>
        <w:t>narkotika kemudian, di sisi lainnya dapat dikatakan bahwa menurut Undang-</w:t>
      </w:r>
      <w:r w:rsidRPr="00EF2772">
        <w:rPr>
          <w:color w:val="000000"/>
        </w:rPr>
        <w:br/>
      </w:r>
      <w:r w:rsidRPr="00EF2772">
        <w:rPr>
          <w:rStyle w:val="markedcontent"/>
          <w:color w:val="000000"/>
        </w:rPr>
        <w:t xml:space="preserve">Undang No. 35 Tahun 2009, pecandu narkotika tersebut merupakan korban adalah </w:t>
      </w:r>
      <w:r w:rsidRPr="00EF2772">
        <w:rPr>
          <w:color w:val="000000"/>
        </w:rPr>
        <w:br/>
      </w:r>
      <w:r w:rsidRPr="00EF2772">
        <w:rPr>
          <w:rStyle w:val="markedcontent"/>
          <w:color w:val="000000"/>
        </w:rPr>
        <w:t xml:space="preserve">ditunjukkan dengan adanya ketentuan bahwa terhadap pecandu narkotika dapat </w:t>
      </w:r>
      <w:r w:rsidRPr="00EF2772">
        <w:rPr>
          <w:color w:val="000000"/>
        </w:rPr>
        <w:br/>
      </w:r>
      <w:r w:rsidRPr="00EF2772">
        <w:rPr>
          <w:rStyle w:val="markedcontent"/>
          <w:color w:val="000000"/>
        </w:rPr>
        <w:t>dijatuhi vonis rehabilitasi. Hal ini berarti Undang-Undang Nomor 35 Tahun 2009 disatu sisi masih menganggap pecandu narkotika sebagai pelaku tindak pidana, dan disisi lain merupakan korban dari penyalahgunaan narkotika yang dilakukan</w:t>
      </w:r>
      <w:r w:rsidRPr="00EF2772">
        <w:rPr>
          <w:rStyle w:val="markedcontent"/>
          <w:color w:val="000000"/>
          <w:lang w:val="id-ID"/>
        </w:rPr>
        <w:t>.</w:t>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 xml:space="preserve">Pelaku-pelaku penyalahgunaan narkotika bukanlah termasuk pengedar ataupun terlibat dalam sindikat peredaran gelap narkotika, sering kali motivasi menggunakan narkotika hanya karena didorong rasa penasaran, mengikuti jejak teman-temannya, mencoba mencari eksistensi diri dalam pergaulan dengan cara yang salah. Orang-orang terutama generasi muda yang menggunakan narkotika hanya sebatas coba-coba kemudian sampai mengalami ketergantungan tentunya </w:t>
      </w:r>
      <w:r w:rsidRPr="00EF2772">
        <w:rPr>
          <w:color w:val="000000"/>
          <w:lang w:val="id-ID" w:eastAsia="id-ID"/>
        </w:rPr>
        <w:lastRenderedPageBreak/>
        <w:t>juga harus dianggap sebagai korban peredaran gelap narkotika. Bermula dari coba-coba padahal penggunaan narkotika tujuannya menimbulkan kenikmatan bagi pemakai, sehingga terjadi suatu ketergantungan psikologis.</w:t>
      </w:r>
      <w:r w:rsidRPr="00EF2772">
        <w:rPr>
          <w:rStyle w:val="FootnoteReference"/>
          <w:color w:val="000000"/>
          <w:lang w:val="id-ID" w:eastAsia="id-ID"/>
        </w:rPr>
        <w:footnoteReference w:id="7"/>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 xml:space="preserve"> Ketergantungan terhadap narkotika juga menjadi salah satu penyebab munculnya perilaku melanggar hukum. Tentunya terhadap kondisi seperti ini juga harus diperlakukan berbeda dengan orang-orang yang memang sengaja mengeruk keuntungan dari peredaran gelap narkotika). Para penyalahguna narkotika, sangat dimungkinkan sudah mengalami kecanduan sehingga sulit untuk melepaskan diri dari jerat pemakaian narkotika tanpa mendapat bantuan dari ahli. </w:t>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Penerapan pidana penjara bagi penyalahguna khususnya pecandu narkotika dipandang sebagai tindakan yang kurang tepat karena pidana penjara hanya memberikan nestapa saja kepada pelaku tanpa menyembuhkan ketergantungannya dari narkotika. Selain itu, dengan dipenjaranya pecandu narkotika membuka peluang pecandu narkotika menjadi pengedar atau bahkan menjadi pelaku tindak pidana lainnya karena pidana penjara kondisi lembaga pemasyarakatan yang ada di Indonesia belum dapat maksimal dalam melakukan pembinaan terhadap warga binaannya.</w:t>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 xml:space="preserve">Penjatuhan pidana terhadap penyalahguna narkotika tentunya diharapkan tidak saja memberikan efek jera bagi pelakunya namun juga sebagai sarana penanggulangan kejahatan. Pendekatan </w:t>
      </w:r>
      <w:r w:rsidRPr="00EF2772">
        <w:rPr>
          <w:i/>
          <w:iCs/>
          <w:color w:val="000000"/>
          <w:lang w:val="id-ID" w:eastAsia="id-ID"/>
        </w:rPr>
        <w:t xml:space="preserve">humanistic </w:t>
      </w:r>
      <w:r w:rsidRPr="00EF2772">
        <w:rPr>
          <w:color w:val="000000"/>
          <w:lang w:val="id-ID" w:eastAsia="id-ID"/>
        </w:rPr>
        <w:t xml:space="preserve">juga harus diperhatikan dalam memberikan sanksi hukum kepada penyalahguna narkotika. Pendekatan yang berorientasi pada nilai </w:t>
      </w:r>
      <w:r w:rsidRPr="00EF2772">
        <w:rPr>
          <w:i/>
          <w:iCs/>
          <w:color w:val="000000"/>
          <w:lang w:val="id-ID" w:eastAsia="id-ID"/>
        </w:rPr>
        <w:t xml:space="preserve">humanistic </w:t>
      </w:r>
      <w:r w:rsidRPr="00EF2772">
        <w:rPr>
          <w:color w:val="000000"/>
          <w:lang w:val="id-ID" w:eastAsia="id-ID"/>
        </w:rPr>
        <w:t xml:space="preserve">inilah yang menghedaki diperhatikannya </w:t>
      </w:r>
      <w:r w:rsidRPr="00EF2772">
        <w:rPr>
          <w:color w:val="000000"/>
          <w:lang w:val="id-ID" w:eastAsia="id-ID"/>
        </w:rPr>
        <w:lastRenderedPageBreak/>
        <w:t>prinsip individualisasi pidana dalam penggunaan sanksi pidana sebagai salah satu sarana penanggulangan kejahatan.</w:t>
      </w:r>
      <w:r w:rsidRPr="00EF2772">
        <w:rPr>
          <w:rStyle w:val="FootnoteReference"/>
          <w:color w:val="000000"/>
          <w:lang w:val="id-ID" w:eastAsia="id-ID"/>
        </w:rPr>
        <w:footnoteReference w:id="8"/>
      </w:r>
    </w:p>
    <w:p w:rsidR="008A044E" w:rsidRPr="00EF2772" w:rsidRDefault="008A044E" w:rsidP="008A044E">
      <w:pPr>
        <w:autoSpaceDE w:val="0"/>
        <w:autoSpaceDN w:val="0"/>
        <w:adjustRightInd w:val="0"/>
        <w:spacing w:line="480" w:lineRule="auto"/>
        <w:ind w:firstLine="720"/>
        <w:jc w:val="both"/>
        <w:rPr>
          <w:color w:val="000000"/>
        </w:rPr>
      </w:pPr>
      <w:r w:rsidRPr="00EF2772">
        <w:rPr>
          <w:color w:val="000000"/>
        </w:rPr>
        <w:t>Penerapan pidana penjara bagi penyalahguna khususnya pecandu narkotika tidak akan mampu menyelesaikan akar persoalan apabila pelaku tidak diberikan perawatan sehingga mampu untuk melepaskan diri dari ketergantungan terhadap narkotika. Pecandu narkotika memerlukan treatment khusus baik secara medis maupun sosial agar yang bersangkutan dapat kembali ke dalam masyarakat secara normal.</w:t>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Pemidanaan tidak hanya berangkat pada pemikiran pembalasan kepada pelaku kejahatan atau pencegahan supaya melindungi masyarakat tetapi telah meluas hingga kepada suatu sistem pidana yang terpadu yang menyatukan berbagai sendi penegak hukum dalam melaksanakan sistem tersebut sesuai dengan yang dicita-citakan. Tanggung jawab sistem pidana sudah harus dimulai sejak dilakukannya pencegahan sejak dilakukannya kejahatan, terciptanya kejahatan oleh pelaku kejahatan, dan tahapan-tahapan lainnya hingga kepada berintegrasinya kembali pelaku kejahatan sebagai manusia yang seutuhnya di dalam masyarakat serta kuatnya penegak hukum di dalamnya.</w:t>
      </w:r>
      <w:r w:rsidRPr="00EF2772">
        <w:rPr>
          <w:rStyle w:val="FootnoteReference"/>
          <w:color w:val="000000"/>
          <w:lang w:val="id-ID" w:eastAsia="id-ID"/>
        </w:rPr>
        <w:footnoteReference w:id="9"/>
      </w:r>
    </w:p>
    <w:p w:rsidR="008A044E" w:rsidRPr="00EF2772" w:rsidRDefault="008A044E" w:rsidP="008A044E">
      <w:pPr>
        <w:autoSpaceDE w:val="0"/>
        <w:autoSpaceDN w:val="0"/>
        <w:adjustRightInd w:val="0"/>
        <w:spacing w:line="480" w:lineRule="auto"/>
        <w:ind w:firstLine="720"/>
        <w:jc w:val="both"/>
        <w:rPr>
          <w:b/>
          <w:bCs/>
          <w:color w:val="000000"/>
          <w:lang w:val="id-ID" w:eastAsia="id-ID"/>
        </w:rPr>
      </w:pPr>
      <w:r w:rsidRPr="00EF2772">
        <w:rPr>
          <w:color w:val="000000"/>
          <w:lang w:val="id-ID" w:eastAsia="id-ID"/>
        </w:rPr>
        <w:t xml:space="preserve">Tujuan pemidanaan terhadap penyalahguna narkotika sebagaimana dalam Undang-undang Nomor 35 Tahun 2009 tidak semata-mata untuk memberikan efek jera bagi pelaku maupun mencegah orang lain untuk melakukan perbuatan yang sama namun juga mengupayakan agar pelaku memperoleh perawatan </w:t>
      </w:r>
      <w:r w:rsidRPr="00EF2772">
        <w:rPr>
          <w:color w:val="000000"/>
          <w:lang w:val="id-ID" w:eastAsia="id-ID"/>
        </w:rPr>
        <w:lastRenderedPageBreak/>
        <w:t>sehingga dapat kembali ke masyarakat dalam keadaan yang baik. Tentunya pelaku dengan keadaan yang sudah terbebas dari kergantungan narkotika dengan sendirinya akan menghindarkan pelaku kembali terjerumus dalam perbuatan yang sama. Hal ini tentu saja juga berdampak pada kembalinya keadaan sosial yang sempat tercabik oleh perbuatan pelaku dan secara tidak langsung menghadirkan kedamaian di lingkungannya.</w:t>
      </w:r>
    </w:p>
    <w:p w:rsidR="008A044E" w:rsidRPr="00EF2772" w:rsidRDefault="008A044E" w:rsidP="008A044E">
      <w:pPr>
        <w:autoSpaceDE w:val="0"/>
        <w:autoSpaceDN w:val="0"/>
        <w:adjustRightInd w:val="0"/>
        <w:spacing w:line="456" w:lineRule="auto"/>
        <w:ind w:firstLine="720"/>
        <w:jc w:val="both"/>
      </w:pPr>
      <w:r w:rsidRPr="00EF2772">
        <w:t xml:space="preserve">Setiap perkara narkotika, sebenarnya para penegak hukum hingga pemutus perkaranya berangkat dari aturan yang sama yaitu Undang-Undang Nomor 35 Tahun 2009 tentang Narkotika yang merupakan regulasi khusus yang menyimpang dari sistem pemidanaan yang selama ini berlaku di Indonesia. Dikatakan khusus karena undang-undang ini menganut </w:t>
      </w:r>
      <w:r w:rsidRPr="00EF2772">
        <w:rPr>
          <w:i/>
          <w:iCs/>
        </w:rPr>
        <w:t xml:space="preserve">double tracksystem </w:t>
      </w:r>
      <w:r w:rsidRPr="00EF2772">
        <w:t>pemidanaan bagi penyalahguna untuk diri sendiri dengan kewajiban bagi seluruh lembaga pengadilan di Indonesia untuk menghukum rehabilitasi sedangkan pengedarnya dihukum penjara atau mati.</w:t>
      </w:r>
      <w:r w:rsidRPr="00EF2772">
        <w:rPr>
          <w:rStyle w:val="FootnoteReference"/>
        </w:rPr>
        <w:footnoteReference w:id="10"/>
      </w:r>
    </w:p>
    <w:p w:rsidR="008A044E" w:rsidRPr="00EF2772" w:rsidRDefault="008A044E" w:rsidP="008A044E">
      <w:pPr>
        <w:autoSpaceDE w:val="0"/>
        <w:autoSpaceDN w:val="0"/>
        <w:adjustRightInd w:val="0"/>
        <w:spacing w:line="456" w:lineRule="auto"/>
        <w:ind w:firstLine="720"/>
        <w:jc w:val="both"/>
      </w:pPr>
      <w:r w:rsidRPr="00EF2772">
        <w:t>Namun, di wilayah Indonesia masih terdapat putusan hakim terhadap penyalahguna narkotika dijatuhkan pidana penjara tidak disertai rehabilitasi. Ini tentu mengabaikan esensi dari regulasi yang sudah ada.  Efek lain dari hal tersebut menyebabkan beban bagi negara yang harus membiayai terpidana narkotika selama menjalani masa pidananya di dalam lembaga pemasyarakatan.</w:t>
      </w:r>
      <w:r w:rsidRPr="00EF2772">
        <w:rPr>
          <w:rStyle w:val="FootnoteReference"/>
        </w:rPr>
        <w:footnoteReference w:id="11"/>
      </w:r>
    </w:p>
    <w:p w:rsidR="008A044E" w:rsidRPr="00EF2772" w:rsidRDefault="008A044E" w:rsidP="008A044E">
      <w:pPr>
        <w:autoSpaceDE w:val="0"/>
        <w:autoSpaceDN w:val="0"/>
        <w:adjustRightInd w:val="0"/>
        <w:spacing w:line="480" w:lineRule="auto"/>
        <w:ind w:firstLine="720"/>
        <w:jc w:val="both"/>
      </w:pPr>
      <w:r w:rsidRPr="00EF2772">
        <w:t xml:space="preserve">Menurut Pasal 112 Undang-Undang Nomor 35 Tahun 2009 tentang Narkotika.menyatakan setiap orang yang tanpa hak atau melawan hukum memiliki, menyimpan, menguasai, atau  menyediakan Narkotika Golongan I </w:t>
      </w:r>
      <w:r w:rsidRPr="00EF2772">
        <w:lastRenderedPageBreak/>
        <w:t>bukan tanaman, dipidana dengan pidana penjara paling singkat  4 (empat) tahun, dan paling lama 12 (dua belas) tahun dan pidana  denda paling sedikit  Rp.800 juta  dan paling banyak Rp 8 milyar. Pasal itulah yang membuat para korban pengguna narkoba dapat di penjara. Hakim dalam konsep rehabilitasi dapat memutuskan pengguna narkoba untuk menjalani rehabilitasi medis maupun rehabilitasi sosial dalam upaya mengembalikan pengguna untuk hidup normal kembali.</w:t>
      </w:r>
      <w:r w:rsidRPr="00EF2772">
        <w:rPr>
          <w:rStyle w:val="FootnoteReference"/>
        </w:rPr>
        <w:footnoteReference w:id="12"/>
      </w:r>
    </w:p>
    <w:p w:rsidR="008A044E" w:rsidRPr="00EF2772" w:rsidRDefault="008A044E" w:rsidP="008A044E">
      <w:pPr>
        <w:autoSpaceDE w:val="0"/>
        <w:autoSpaceDN w:val="0"/>
        <w:adjustRightInd w:val="0"/>
        <w:spacing w:line="516" w:lineRule="auto"/>
        <w:ind w:firstLine="720"/>
        <w:jc w:val="both"/>
      </w:pPr>
      <w:r w:rsidRPr="00EF2772">
        <w:t xml:space="preserve">Rehabilitasi jauh lebih baik dari pada penjara sebab jika pengguna direhabilitasi maka akan pulih dari ketergantungannya dan tidak akan mengkonsumsi barang haram lagi. Pasalnya konstruksi  hukum di negeri ini menganut </w:t>
      </w:r>
      <w:r w:rsidRPr="00EF2772">
        <w:rPr>
          <w:i/>
          <w:iCs/>
        </w:rPr>
        <w:t>double track system</w:t>
      </w:r>
      <w:r w:rsidRPr="00EF2772">
        <w:t xml:space="preserve"> pemidanaan, yang pada intinya, pengguna yang diputus pidana maka pidananya dijalankan untuk rehabilitasi. Rehabilitasinya tidak dilaksanakan di dalam lembaga pemasyarakatan tetapi ditempat khusus untuk rehabilitasi.</w:t>
      </w:r>
      <w:r w:rsidRPr="00EF2772">
        <w:rPr>
          <w:rStyle w:val="FootnoteReference"/>
        </w:rPr>
        <w:footnoteReference w:id="13"/>
      </w:r>
    </w:p>
    <w:p w:rsidR="008A044E" w:rsidRPr="00EF2772" w:rsidRDefault="008A044E" w:rsidP="008A044E">
      <w:pPr>
        <w:autoSpaceDE w:val="0"/>
        <w:autoSpaceDN w:val="0"/>
        <w:adjustRightInd w:val="0"/>
        <w:spacing w:line="516" w:lineRule="auto"/>
        <w:ind w:firstLine="720"/>
        <w:jc w:val="both"/>
      </w:pPr>
      <w:r w:rsidRPr="00EF2772">
        <w:t xml:space="preserve">Rehabilitasi merupakan salah satu cara untuk menyelamatkan korban pengguna narkotika dari ketergantungan. Pasal  54 Undang-Undang Nomor 35 Tahun 2009 tentang Narkotika disebutkan bahwa pecandu narkotika dan korban penyalahgunaan narkotika wajib menjalani rehabilitasi medis dan sosial. Pasal 103 Undang-Undang Nomor 35 Tahun 2009 tentang Narkotika.memberi kewenangan hakim memerintahkan pecandu dan korban penyalahguna narkotika </w:t>
      </w:r>
      <w:r w:rsidRPr="00EF2772">
        <w:lastRenderedPageBreak/>
        <w:t>sebagai terdakwa menjalani rehabilitasi melalui putusannya jika mereka terbukti bersalah menyalahgunakan narkotika.</w:t>
      </w:r>
      <w:r w:rsidRPr="00EF2772">
        <w:rPr>
          <w:rStyle w:val="FootnoteReference"/>
        </w:rPr>
        <w:footnoteReference w:id="14"/>
      </w:r>
    </w:p>
    <w:p w:rsidR="008A044E" w:rsidRPr="00EF2772" w:rsidRDefault="008A044E" w:rsidP="008A044E">
      <w:pPr>
        <w:autoSpaceDE w:val="0"/>
        <w:autoSpaceDN w:val="0"/>
        <w:adjustRightInd w:val="0"/>
        <w:spacing w:line="480" w:lineRule="auto"/>
        <w:ind w:firstLine="720"/>
        <w:jc w:val="both"/>
      </w:pPr>
      <w:r w:rsidRPr="00EF2772">
        <w:t>Terkait penerapan Pasal 103 Undang-Undang Nomor 35 Tahun 2009 tentang Narkotika.ini, Mahkama Agung mengeluarkan SEMA Nomor 4 Tahun 2010  </w:t>
      </w:r>
      <w:r w:rsidRPr="00EF2772">
        <w:rPr>
          <w:rStyle w:val="Emphasis"/>
        </w:rPr>
        <w:t>jo </w:t>
      </w:r>
      <w:r w:rsidRPr="00EF2772">
        <w:t>SEMA Nomor 3 Tahun 2011 tentang Penempatan Penyalahguna, Korban Penyalahgunaan, dan Pecandu Narkotika dalam Lembaga Rehabilitasi Medis dan Rehabilitasi Sosial. Menurut SEMA Nomor 4 Tahun 2010 yang dapat dijatuhkan tindakan rehabilitasi yakni terdakwa tertangkap tangan penyidik Polri dan BNN, saat tertangkap tangan ditemukan barang bukti pemakaian 1 (satu) hari, adanya surat keterangan uji laboratorium positif menggunakan narkotika berdasarkan permintaan penyidik, adanya surat keterangan dari psikiater pemerintah yang ditunjuk hakim, tidak terbukti yang bersangkutan terlibat dalam peredaran gelap narkotika.</w:t>
      </w:r>
      <w:r w:rsidRPr="00EF2772">
        <w:rPr>
          <w:rStyle w:val="FootnoteReference"/>
        </w:rPr>
        <w:footnoteReference w:id="15"/>
      </w:r>
    </w:p>
    <w:p w:rsidR="008A044E" w:rsidRPr="00EF2772" w:rsidRDefault="008A044E" w:rsidP="008A044E">
      <w:pPr>
        <w:autoSpaceDE w:val="0"/>
        <w:autoSpaceDN w:val="0"/>
        <w:adjustRightInd w:val="0"/>
        <w:spacing w:line="444" w:lineRule="auto"/>
        <w:ind w:firstLine="720"/>
        <w:jc w:val="both"/>
      </w:pPr>
      <w:r w:rsidRPr="00EF2772">
        <w:t>Syarat tersangka, terdakwa yang dapat direhabilitasi medis atau sosial dalam perspektif jaksa penuntut umum yakni positif menggunakan narkotika (BAP hasil laboratorium), ada rekomendasi Tim Asesmen Terpadu, tidak berperan sebagai bandar, pengedar, kurir atau produsen; bukan merupakan residivis kasus narkotika dan saat ditangkap atau tertangkap tangan tanpa barang bukti atau dengan barang bukti yang tidak melebihi jumlah tertentu.</w:t>
      </w:r>
      <w:r w:rsidRPr="00EF2772">
        <w:rPr>
          <w:rStyle w:val="FootnoteReference"/>
        </w:rPr>
        <w:footnoteReference w:id="16"/>
      </w:r>
    </w:p>
    <w:p w:rsidR="008A044E" w:rsidRPr="00EF2772" w:rsidRDefault="008A044E" w:rsidP="008A044E">
      <w:pPr>
        <w:autoSpaceDE w:val="0"/>
        <w:autoSpaceDN w:val="0"/>
        <w:adjustRightInd w:val="0"/>
        <w:spacing w:line="480" w:lineRule="auto"/>
        <w:ind w:firstLine="720"/>
        <w:jc w:val="both"/>
        <w:rPr>
          <w:color w:val="000000"/>
          <w:lang w:eastAsia="id-ID"/>
        </w:rPr>
      </w:pPr>
      <w:r w:rsidRPr="00EF2772">
        <w:t xml:space="preserve">Pidana penjara bagi korban penyalahgunaan narkotika merupakan perampasan kemerdekaan dan mengandung sisi negatif sehingga tujuan </w:t>
      </w:r>
      <w:r w:rsidRPr="00EF2772">
        <w:lastRenderedPageBreak/>
        <w:t>pemidanaan tidak dapat diwujudkan secara maksimal sedangkan rehabilitasi dimaksudkan agar penyalahgumaan yang dikategorikan pecandu ini bebas dari ketergantungannya. Bukannya lepas atau pun bebas dari pemidanaan seperti halnya penjara, tapi dibina. Jika di dalam penjara bukannya terjadi pembinaan di lembaga pemasyarakatan tetapi penyalahguna makin parah dan hasilnya putusan hakim tidak membawa manfaat bagi penyalahguna dan kemudian orang tersebut kembali kemasyarakat tidak akan menjadi orang yang lebih baik.</w:t>
      </w:r>
      <w:r w:rsidRPr="00EF2772">
        <w:rPr>
          <w:rStyle w:val="FootnoteReference"/>
        </w:rPr>
        <w:footnoteReference w:id="17"/>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 xml:space="preserve">Pemenjaraan pengguna narkotika dan obat berbahaya terbukti tidak efektif. Salah satu tindakan yang diperkenankan ialah tindakan rehabilitasi bagi pengguna narkotika bahwa pemakai (penyalahguna) juga dapat dipidana. Namun demikian pembuat undang-undang juga sudah mengakomodir tindakan terhadap pemakai (pengguna). Hakim dalam memutus perkara setiap penyalahgunan narkotika wajib memperhatikan ketentuan sebagaimana dimaksud dalam Pasal 54, Pasal 55, dan Pasal 103 </w:t>
      </w:r>
      <w:r w:rsidRPr="00EF2772">
        <w:rPr>
          <w:color w:val="000000"/>
        </w:rPr>
        <w:t>Undang-Undang Nomor 35 Tahun 2009 Tentang Narkotika</w:t>
      </w:r>
      <w:r w:rsidRPr="00EF2772">
        <w:rPr>
          <w:color w:val="000000"/>
          <w:lang w:val="id-ID" w:eastAsia="id-ID"/>
        </w:rPr>
        <w:t xml:space="preserve">. Pasal 54 </w:t>
      </w:r>
      <w:r w:rsidRPr="00EF2772">
        <w:rPr>
          <w:color w:val="000000"/>
        </w:rPr>
        <w:t>Undang-Undang Nomor 35 Tahun 2009 Tentang Narkotika</w:t>
      </w:r>
      <w:r w:rsidRPr="00EF2772">
        <w:rPr>
          <w:color w:val="000000"/>
          <w:lang w:val="id-ID" w:eastAsia="id-ID"/>
        </w:rPr>
        <w:t xml:space="preserve"> memuat pecandu narkotika dan korban penyalahgunaan narkotika wajib menjalani rehabilitasi medis dan rehabilitasi sosiai.</w:t>
      </w:r>
      <w:r w:rsidRPr="00EF2772">
        <w:rPr>
          <w:rStyle w:val="FootnoteReference"/>
          <w:color w:val="000000"/>
          <w:lang w:val="id-ID" w:eastAsia="id-ID"/>
        </w:rPr>
        <w:footnoteReference w:id="18"/>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 xml:space="preserve">Pasal 55 </w:t>
      </w:r>
      <w:r w:rsidRPr="00EF2772">
        <w:rPr>
          <w:color w:val="000000"/>
        </w:rPr>
        <w:t>Undang-Undang Nomor 35 Tahun 2009 Tentang Narkotika</w:t>
      </w:r>
      <w:r w:rsidRPr="00EF2772">
        <w:rPr>
          <w:color w:val="000000"/>
          <w:lang w:val="id-ID" w:eastAsia="id-ID"/>
        </w:rPr>
        <w:t xml:space="preserve"> memuat Orang tua atau wali dan pecandu narkotika yang belum cukup umur wajib melaporkan kepada pusat kesehatan masyarakat, rumah sakit, dan/atau lembaga rehabilitasi medis dan rehabilitasi sosiai yang ditunjuk oleh Pemerintah untuk mendapatkan pengobatan dan/atau perawatan melalui rehabilitasi medis dan </w:t>
      </w:r>
      <w:r w:rsidRPr="00EF2772">
        <w:rPr>
          <w:color w:val="000000"/>
          <w:lang w:val="id-ID" w:eastAsia="id-ID"/>
        </w:rPr>
        <w:lastRenderedPageBreak/>
        <w:t>rehabilitasi sosiai. Selanjutnya dalam Pasal 127 ayat (3)</w:t>
      </w:r>
      <w:r w:rsidRPr="00EF2772">
        <w:rPr>
          <w:color w:val="000000"/>
        </w:rPr>
        <w:t xml:space="preserve"> Undang-Undang Nomor 35 Tahun 2009 Tentang Narkotika</w:t>
      </w:r>
      <w:r w:rsidRPr="00EF2772">
        <w:rPr>
          <w:color w:val="000000"/>
          <w:lang w:val="id-ID" w:eastAsia="id-ID"/>
        </w:rPr>
        <w:t xml:space="preserve"> memuat tentang dalam hal pemakai (penyalahguna) dapat dibuktikan atau terbukti sebagai korban penyalahgunaan narkotika  wajib menjalani rehabilitasi medis dan rehabilitasi sosial.</w:t>
      </w:r>
      <w:r w:rsidRPr="00EF2772">
        <w:rPr>
          <w:rStyle w:val="FootnoteReference"/>
          <w:color w:val="000000"/>
          <w:lang w:val="id-ID" w:eastAsia="id-ID"/>
        </w:rPr>
        <w:footnoteReference w:id="19"/>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Masyarakat takut melaporkan secara sukarela untuk memperoleh perawatan medis dan yang masih menjadi kendala adalah kadang para pengguna narkoba baru memikirkan tentang rehabilitasi setelah mereka terjerat hukum, padahal seharusnya mau itu terjerat hukum atau tidak, setiap pengguna narkoba harus segera mendapatkan pertologan melalui suatu rehabilitasi. Oleh karena itu perlu adanya perhatian dari lingkungan sekitar terutama keluarga sebagai lingkungan terdekat agar peka terhadap anggota keluarga mereka , bila ada yang terkena kasus penyalahgunaan narkoba, segera bertindak dengan mulai mencari suatu lembaga rehabilitasi bagi para pecandu NAPZA.</w:t>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Tingginya ancaman hukuman bagi pengguna narkotika dengan kurangnya pengaturan akses pendekatan kesehatan dan sosial melalui rehabilitasi bagi pengguna, mengakibatkan banyak pengguna narkotika yang harus dihukum tanpa diberikan akses kesehatan dan rehabilitasi. Upaya pendekatan pemidanaan tanpa memperhitungkan akses rehabilitasi medis dan sosial di dalamnya, tidak menyelesaikan permasalahan peredaran gelap narkotika, karena siklus akan terulang setelah pengguna keluar dari penjara. Lebih parah, upaya pendekatan pemidanaan menimbulkan permasalahan beralih ke tempat-tempat penahanan di mana akhirnya peredaran gelap narkotika di dalam tahanan semakin berkembang.</w:t>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lastRenderedPageBreak/>
        <w:t>Tindakan hukum yang dikenakan terhadap korban penyalahgunaan narkotika dalam pemidanaan dikenai tindakan berupa rehabilitasi karena rehabilitasi merupakan salah satu upaya pemerintah dalam menanggulangi penyalahgunaan narkotika.</w:t>
      </w:r>
      <w:r w:rsidRPr="00EF2772">
        <w:rPr>
          <w:rStyle w:val="FootnoteReference"/>
          <w:color w:val="000000"/>
          <w:lang w:val="id-ID" w:eastAsia="id-ID"/>
        </w:rPr>
        <w:footnoteReference w:id="20"/>
      </w:r>
      <w:r w:rsidRPr="00EF2772">
        <w:rPr>
          <w:color w:val="000000"/>
          <w:lang w:val="id-ID" w:eastAsia="id-ID"/>
        </w:rPr>
        <w:t xml:space="preserve"> Penetapan rehabilitasi bagi korban penyalahgunaan narkotika merupakan pidana alternatif yang dijatuhkan oleh hakim dan diperhitungkan sebagai masa menjalani hukuman. Tindakan hukum yang berupa rehabilitasi ialah suatu proses pemulihan klien gangguan penggunaan narkoba baik dalam jangka waktu tertentu yang bertujuan mengubah prilaku untuk mengubah fungsi individu dimasyarakat sebagaimana sebelum mereka mengkonsumsi narkotika.</w:t>
      </w:r>
      <w:r w:rsidRPr="00EF2772">
        <w:rPr>
          <w:rStyle w:val="FootnoteReference"/>
          <w:color w:val="000000"/>
          <w:lang w:val="id-ID" w:eastAsia="id-ID"/>
        </w:rPr>
        <w:footnoteReference w:id="21"/>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Tindakan hukum yang dikenakan terhadap korban penyalahgunaan narkotika tercermin dalam Surat Edaran No.04 Tahun 2010 yang pada prinsipnya dalam hal hakim menjatuhkan pemidanaan berupa perintah untuk dilakukan tindakan hukum berupa rehabilitasi atas diri terdakwa, Majelis Hakim harus menunjuk secara tegas dan jelas tempat rehabilitasi yang terdekat dalam amar putusannya.</w:t>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 xml:space="preserve">Menjatuhkan sanksi pidana dalam tindak pidana narkotika dikenal pula sistim </w:t>
      </w:r>
      <w:r w:rsidRPr="00EF2772">
        <w:rPr>
          <w:i/>
          <w:iCs/>
          <w:color w:val="000000"/>
          <w:lang w:val="id-ID" w:eastAsia="id-ID"/>
        </w:rPr>
        <w:t xml:space="preserve">double track system, </w:t>
      </w:r>
      <w:r w:rsidRPr="00EF2772">
        <w:rPr>
          <w:color w:val="000000"/>
          <w:lang w:val="id-ID" w:eastAsia="id-ID"/>
        </w:rPr>
        <w:t xml:space="preserve">bermakna berbicara tentang gagasan dasar mengenai sistem sanksi yang menjadi dasar kebijakan dan penggunaan sanksi dalam hukum pidana. Dalam hal ini, sistem </w:t>
      </w:r>
      <w:r w:rsidRPr="00EF2772">
        <w:rPr>
          <w:i/>
          <w:iCs/>
          <w:color w:val="000000"/>
          <w:lang w:val="id-ID" w:eastAsia="id-ID"/>
        </w:rPr>
        <w:t xml:space="preserve">dua jalur </w:t>
      </w:r>
      <w:r w:rsidRPr="00EF2772">
        <w:rPr>
          <w:color w:val="000000"/>
          <w:lang w:val="id-ID" w:eastAsia="id-ID"/>
        </w:rPr>
        <w:t xml:space="preserve">mengenai sanksi dalam hukum pidana. Meski dalam literatur yang ada tidak pernah ditemukan penegasan eksplisit soal gagasan dasar </w:t>
      </w:r>
      <w:r w:rsidRPr="00EF2772">
        <w:rPr>
          <w:i/>
          <w:iCs/>
          <w:color w:val="000000"/>
          <w:lang w:val="id-ID" w:eastAsia="id-ID"/>
        </w:rPr>
        <w:t xml:space="preserve">double track </w:t>
      </w:r>
      <w:r w:rsidRPr="00EF2772">
        <w:rPr>
          <w:color w:val="000000"/>
          <w:lang w:val="id-ID" w:eastAsia="id-ID"/>
        </w:rPr>
        <w:t xml:space="preserve">system, namun dilihat dari latar belakang </w:t>
      </w:r>
      <w:r w:rsidRPr="00EF2772">
        <w:rPr>
          <w:color w:val="000000"/>
          <w:lang w:val="id-ID" w:eastAsia="id-ID"/>
        </w:rPr>
        <w:lastRenderedPageBreak/>
        <w:t>kemunculannya dapat disimpulkan bahwa ide dasar sistem tersebut adalah kesetaraan antara sanksi pidana dan sanksi tindakan. Ide kesetaraan ini dapat ditelusuri lewat perkembangan yang terjadi dalam sistem sanksi hukum pidana dari aliran klasik ke aliran modern dan aliran neo-klasik.</w:t>
      </w:r>
      <w:r w:rsidRPr="00EF2772">
        <w:rPr>
          <w:rStyle w:val="FootnoteReference"/>
          <w:color w:val="000000"/>
          <w:lang w:val="id-ID" w:eastAsia="id-ID"/>
        </w:rPr>
        <w:footnoteReference w:id="22"/>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Demikian pula dengan rehabilitasi dan prevensi (sebagai tujuan mama dari jenis sanksi tindakan/treatment). Meski cara ini memiliki keistimewaan dari segi proses resosialisasi pelaku sehingga diharapkan mampu memulihkan kualitas sosial dan moral seseorang agar dapat berintegrasi lagi dalam masyarakat, namun terbukti kurang efektif memperbaiki seorang penjahat karena dianggap terlalu memanjakannya. Justru seperti dikatakan oleh C.S. Lewis, bahwa rehabilitasi yang pendekatannya melalui treatment telah mengundang tirani individu dan penolakan terhadap hak asasi manusia.</w:t>
      </w:r>
      <w:r w:rsidRPr="00EF2772">
        <w:rPr>
          <w:rStyle w:val="FootnoteReference"/>
          <w:color w:val="000000"/>
          <w:lang w:val="id-ID" w:eastAsia="id-ID"/>
        </w:rPr>
        <w:footnoteReference w:id="23"/>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 xml:space="preserve">Atas kesadaran itulah, maka </w:t>
      </w:r>
      <w:r w:rsidRPr="00EF2772">
        <w:rPr>
          <w:i/>
          <w:iCs/>
          <w:color w:val="000000"/>
          <w:lang w:val="id-ID" w:eastAsia="id-ID"/>
        </w:rPr>
        <w:t xml:space="preserve">double track </w:t>
      </w:r>
      <w:r w:rsidRPr="00EF2772">
        <w:rPr>
          <w:color w:val="000000"/>
          <w:lang w:val="id-ID" w:eastAsia="id-ID"/>
        </w:rPr>
        <w:t xml:space="preserve">system menghendaki agar unsur pencelaan/penderitaan dan unsur pembinaan sama-sama diakomodasi dalam sistem sanksi hukum pidana. Inilah yang menjadi dasar penjelasan mengapa dalam </w:t>
      </w:r>
      <w:r w:rsidRPr="00EF2772">
        <w:rPr>
          <w:i/>
          <w:iCs/>
          <w:color w:val="000000"/>
          <w:lang w:val="id-ID" w:eastAsia="id-ID"/>
        </w:rPr>
        <w:t xml:space="preserve">double track system </w:t>
      </w:r>
      <w:r w:rsidRPr="00EF2772">
        <w:rPr>
          <w:color w:val="000000"/>
          <w:lang w:val="id-ID" w:eastAsia="id-ID"/>
        </w:rPr>
        <w:t>dituntut adanya kesetaraan antara sanksi pidana dan sanksi tindakan.</w:t>
      </w:r>
      <w:r w:rsidRPr="00EF2772">
        <w:rPr>
          <w:rStyle w:val="FootnoteReference"/>
          <w:color w:val="000000"/>
          <w:lang w:val="id-ID" w:eastAsia="id-ID"/>
        </w:rPr>
        <w:footnoteReference w:id="24"/>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 xml:space="preserve">Sanksi tindakan dapat mengwujudkan tujuan pemidanaan sebagai rehabilitasi. Teori tujuan menganggap pula pemidanaan sebagai jalan untuk mencapai reformasi atau rehabilitasi pada terpidana. Kesalahan atau tindakan kejahatan dianggap sebagai suatu penyakit sosial yang disintegratif dalam masyarakat. Kejahatan itu dibaca pula sebagai simpton disharmoni mental atau </w:t>
      </w:r>
      <w:r w:rsidRPr="00EF2772">
        <w:rPr>
          <w:color w:val="000000"/>
          <w:lang w:val="id-ID" w:eastAsia="id-ID"/>
        </w:rPr>
        <w:lastRenderedPageBreak/>
        <w:t xml:space="preserve">ketidakseimbangan personal yang membutuhkan terapi psikiatris, </w:t>
      </w:r>
      <w:r w:rsidRPr="00EF2772">
        <w:rPr>
          <w:i/>
          <w:iCs/>
          <w:color w:val="000000"/>
          <w:lang w:val="id-ID" w:eastAsia="id-ID"/>
        </w:rPr>
        <w:t xml:space="preserve">conselling, </w:t>
      </w:r>
      <w:r w:rsidRPr="00EF2772">
        <w:rPr>
          <w:color w:val="000000"/>
          <w:lang w:val="id-ID" w:eastAsia="id-ID"/>
        </w:rPr>
        <w:t>latihan-latihan spiritual, dan sebagainya.</w:t>
      </w:r>
      <w:r w:rsidRPr="00EF2772">
        <w:rPr>
          <w:rStyle w:val="FootnoteReference"/>
          <w:color w:val="000000"/>
          <w:lang w:val="id-ID" w:eastAsia="id-ID"/>
        </w:rPr>
        <w:footnoteReference w:id="25"/>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Itulah sebabnya ciri khas dari pandangan tersebut ialah pemidanaan merupakan proses pengobatan sosial dan moral bagi seorang terpidana agar kembali berintegrasi dalam komunitas atau masyarakatnya secara wajar. Dalam bahasa utilitarianisme dapat dikatakan bahwa efek preventif dalam proses rehabilitasi ini terutama terpusat pada terpidana.</w:t>
      </w:r>
      <w:r w:rsidRPr="00EF2772">
        <w:rPr>
          <w:rStyle w:val="FootnoteReference"/>
          <w:color w:val="000000"/>
          <w:lang w:val="id-ID" w:eastAsia="id-ID"/>
        </w:rPr>
        <w:footnoteReference w:id="26"/>
      </w:r>
      <w:r w:rsidRPr="00EF2772">
        <w:rPr>
          <w:color w:val="000000"/>
          <w:lang w:val="id-ID" w:eastAsia="id-ID"/>
        </w:rPr>
        <w:t xml:space="preserve"> Pemidanaan berupa tindakan hukum berupa rehabilitasi merupakan proses pengobatan sosial dan moral bagi seorang terpidana agar kembali berintegrasi dalam komunitas atau masyarakatnya secara wajar. </w:t>
      </w:r>
      <w:r w:rsidRPr="00EF2772">
        <w:rPr>
          <w:rStyle w:val="FootnoteReference"/>
          <w:color w:val="000000"/>
          <w:lang w:val="id-ID" w:eastAsia="id-ID"/>
        </w:rPr>
        <w:footnoteReference w:id="27"/>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Undang-Undang Nomor 35 Tahun 2009 Tentang Narkotika menentukan bahwa pemidanaan berupa tindakan sebagai berikut :</w:t>
      </w:r>
    </w:p>
    <w:p w:rsidR="008A044E" w:rsidRPr="00EF2772" w:rsidRDefault="008A044E" w:rsidP="008A044E">
      <w:pPr>
        <w:numPr>
          <w:ilvl w:val="4"/>
          <w:numId w:val="17"/>
        </w:numPr>
        <w:autoSpaceDE w:val="0"/>
        <w:autoSpaceDN w:val="0"/>
        <w:adjustRightInd w:val="0"/>
        <w:spacing w:line="480" w:lineRule="auto"/>
        <w:ind w:left="1080"/>
        <w:jc w:val="both"/>
        <w:rPr>
          <w:color w:val="000000"/>
          <w:lang w:val="id-ID" w:eastAsia="id-ID"/>
        </w:rPr>
      </w:pPr>
      <w:r w:rsidRPr="00EF2772">
        <w:rPr>
          <w:color w:val="000000"/>
          <w:lang w:val="id-ID" w:eastAsia="id-ID"/>
        </w:rPr>
        <w:t>Hakim yang memeriksa perkara pecandu narkotika dapat :</w:t>
      </w:r>
    </w:p>
    <w:p w:rsidR="008A044E" w:rsidRPr="00EF2772" w:rsidRDefault="008A044E" w:rsidP="008A044E">
      <w:pPr>
        <w:numPr>
          <w:ilvl w:val="7"/>
          <w:numId w:val="16"/>
        </w:numPr>
        <w:tabs>
          <w:tab w:val="clear" w:pos="5400"/>
          <w:tab w:val="num" w:pos="1440"/>
        </w:tabs>
        <w:autoSpaceDE w:val="0"/>
        <w:autoSpaceDN w:val="0"/>
        <w:adjustRightInd w:val="0"/>
        <w:ind w:left="1440"/>
        <w:jc w:val="both"/>
        <w:rPr>
          <w:color w:val="000000"/>
          <w:lang w:val="id-ID" w:eastAsia="id-ID"/>
        </w:rPr>
      </w:pPr>
      <w:r w:rsidRPr="00EF2772">
        <w:rPr>
          <w:color w:val="000000"/>
          <w:lang w:val="id-ID" w:eastAsia="id-ID"/>
        </w:rPr>
        <w:t xml:space="preserve">Memutus untuk memerintahkan yang bersangkutan menjalani pengobatan dan/atau perawatan melalui rehabilitasi jika pecandu narkotika tersebut terbukti bersalah melakukan tindak pidana Narkotika; </w:t>
      </w:r>
    </w:p>
    <w:p w:rsidR="008A044E" w:rsidRPr="00EF2772" w:rsidRDefault="008A044E" w:rsidP="008A044E">
      <w:pPr>
        <w:numPr>
          <w:ilvl w:val="7"/>
          <w:numId w:val="16"/>
        </w:numPr>
        <w:tabs>
          <w:tab w:val="clear" w:pos="5400"/>
          <w:tab w:val="num" w:pos="1440"/>
        </w:tabs>
        <w:autoSpaceDE w:val="0"/>
        <w:autoSpaceDN w:val="0"/>
        <w:adjustRightInd w:val="0"/>
        <w:ind w:left="1440"/>
        <w:jc w:val="both"/>
        <w:rPr>
          <w:color w:val="000000"/>
          <w:lang w:val="id-ID" w:eastAsia="id-ID"/>
        </w:rPr>
      </w:pPr>
      <w:r w:rsidRPr="00EF2772">
        <w:rPr>
          <w:color w:val="000000"/>
          <w:lang w:val="id-ID" w:eastAsia="id-ID"/>
        </w:rPr>
        <w:t>Menetapkan untuk memerintahkan yang bersangkutan menjalani pengobatan dan/atau perawatan melalui rehabilitasi jika pecandu narkotika tersebut tidak terbukti bersalah melakukan tindak pidana narkotika.</w:t>
      </w:r>
    </w:p>
    <w:p w:rsidR="008A044E" w:rsidRPr="00EF2772" w:rsidRDefault="008A044E" w:rsidP="008A044E">
      <w:pPr>
        <w:numPr>
          <w:ilvl w:val="0"/>
          <w:numId w:val="16"/>
        </w:numPr>
        <w:tabs>
          <w:tab w:val="clear" w:pos="360"/>
        </w:tabs>
        <w:autoSpaceDE w:val="0"/>
        <w:autoSpaceDN w:val="0"/>
        <w:adjustRightInd w:val="0"/>
        <w:ind w:left="1134" w:hanging="425"/>
        <w:jc w:val="both"/>
        <w:rPr>
          <w:color w:val="000000"/>
          <w:lang w:val="id-ID" w:eastAsia="id-ID"/>
        </w:rPr>
      </w:pPr>
      <w:r w:rsidRPr="00EF2772">
        <w:rPr>
          <w:color w:val="000000"/>
          <w:lang w:val="id-ID" w:eastAsia="id-ID"/>
        </w:rPr>
        <w:t>Masa menjalani pengobatan dan/atau perawatan bagi pecandu narkotika sebagaimana dimaksud pada ayat (1) huruf a diperhitungkan sebagai masa menjalani hukuman.</w:t>
      </w:r>
      <w:r w:rsidRPr="00EF2772">
        <w:rPr>
          <w:rStyle w:val="FootnoteReference"/>
          <w:color w:val="000000"/>
          <w:lang w:val="id-ID" w:eastAsia="id-ID"/>
        </w:rPr>
        <w:footnoteReference w:id="28"/>
      </w:r>
    </w:p>
    <w:p w:rsidR="008A044E" w:rsidRPr="00EF2772" w:rsidRDefault="008A044E" w:rsidP="008A044E">
      <w:pPr>
        <w:autoSpaceDE w:val="0"/>
        <w:autoSpaceDN w:val="0"/>
        <w:adjustRightInd w:val="0"/>
        <w:rPr>
          <w:color w:val="000000"/>
          <w:lang w:val="id-ID" w:eastAsia="id-ID"/>
        </w:rPr>
      </w:pP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 xml:space="preserve">Hal tersebut di atas telah mencerminkan bentuk pemidanaan terhadap pelaku sebagai pecandu narkotika.  Bentuk tindakan hukum yang dikenakan </w:t>
      </w:r>
      <w:r w:rsidRPr="00EF2772">
        <w:rPr>
          <w:color w:val="000000"/>
          <w:lang w:val="id-ID" w:eastAsia="id-ID"/>
        </w:rPr>
        <w:lastRenderedPageBreak/>
        <w:t>terhadap korban penyalahgunaan narkotika dalam pemidanaan dikenai tindakan berupa rehabilitasi yang merupakan salah satu upaya pemerintah dalam menanggulangi penyalahgunaan narkotika. Penetapan rehabilitasi bagi korban penyalahgunaan narkotika merupakan pidana alternatif yang dijatuhkan oleh hakim dan diperhitungkan sebagai masa menjalani hukuman. Tindakan hukum yang berupa rehabilitasi ialah suatu proses pemulihan klien gangguan penggunaan narkoba baik dalam jangka waktu tertentu yang bertujuan mengubah prilaku untuk mengubah fungsi individu dimasyarakat sebagaimana sebelum mereka mengkonsumsi narkotika.</w:t>
      </w:r>
      <w:r w:rsidRPr="00EF2772">
        <w:rPr>
          <w:rStyle w:val="FootnoteReference"/>
          <w:color w:val="000000"/>
          <w:lang w:val="id-ID" w:eastAsia="id-ID"/>
        </w:rPr>
        <w:footnoteReference w:id="29"/>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Prosedur tindakan diatur dalam Surat Edaran Mahkamah Agung No. 04 Tahun 2010 Tentang Penempatan Penyalahgunaan, Korban Penyalahgunaan dan Pecandu Narkotika ke Dalam Lembaga Rehabilitasi Medis dan Rehabilitasi Sosial yang ditujukan kepada Ketua Pengadilan Tinggi dan Pengadilan Negeri diseluruh Indonesia mengenai penerapan pemidanaan sebagaimana yang dimaksud dalam Pasal 103 huruf a dan b Undang-Undang No. 35 Tahun 2009 Tentang Narkotika hanya dapat dijatuhkan pada klasifikasi tindak pidana sebagai berikut :</w:t>
      </w:r>
    </w:p>
    <w:p w:rsidR="008A044E" w:rsidRPr="00EF2772" w:rsidRDefault="008A044E" w:rsidP="008A044E">
      <w:pPr>
        <w:numPr>
          <w:ilvl w:val="3"/>
          <w:numId w:val="16"/>
        </w:numPr>
        <w:tabs>
          <w:tab w:val="clear" w:pos="2520"/>
          <w:tab w:val="num" w:pos="1080"/>
        </w:tabs>
        <w:autoSpaceDE w:val="0"/>
        <w:autoSpaceDN w:val="0"/>
        <w:adjustRightInd w:val="0"/>
        <w:ind w:left="1080"/>
        <w:jc w:val="both"/>
        <w:rPr>
          <w:color w:val="000000"/>
          <w:lang w:val="id-ID" w:eastAsia="id-ID"/>
        </w:rPr>
      </w:pPr>
      <w:r w:rsidRPr="00EF2772">
        <w:rPr>
          <w:color w:val="000000"/>
          <w:lang w:val="id-ID" w:eastAsia="id-ID"/>
        </w:rPr>
        <w:t>Terdakwa pada saat ditangkap oleh penyidik Polri dan BNN dalam kondisi tertangkap tangan.</w:t>
      </w:r>
    </w:p>
    <w:p w:rsidR="008A044E" w:rsidRPr="00EF2772" w:rsidRDefault="008A044E" w:rsidP="008A044E">
      <w:pPr>
        <w:numPr>
          <w:ilvl w:val="3"/>
          <w:numId w:val="16"/>
        </w:numPr>
        <w:tabs>
          <w:tab w:val="clear" w:pos="2520"/>
          <w:tab w:val="num" w:pos="1080"/>
        </w:tabs>
        <w:autoSpaceDE w:val="0"/>
        <w:autoSpaceDN w:val="0"/>
        <w:adjustRightInd w:val="0"/>
        <w:ind w:left="1080"/>
        <w:jc w:val="both"/>
        <w:rPr>
          <w:color w:val="000000"/>
          <w:lang w:val="id-ID" w:eastAsia="id-ID"/>
        </w:rPr>
      </w:pPr>
      <w:r w:rsidRPr="00EF2772">
        <w:rPr>
          <w:color w:val="000000"/>
          <w:lang w:val="id-ID" w:eastAsia="id-ID"/>
        </w:rPr>
        <w:t>Pada saat tertangkap tangan sesuai butir a di atas ditemukan barang bukti pemakaian 1 (satu) hari dengan perincian antara lain sebagai berikut :</w:t>
      </w:r>
    </w:p>
    <w:p w:rsidR="008A044E" w:rsidRPr="00EF2772" w:rsidRDefault="008A044E" w:rsidP="008A044E">
      <w:pPr>
        <w:numPr>
          <w:ilvl w:val="4"/>
          <w:numId w:val="16"/>
        </w:numPr>
        <w:tabs>
          <w:tab w:val="clear" w:pos="3240"/>
          <w:tab w:val="num" w:pos="1440"/>
        </w:tabs>
        <w:autoSpaceDE w:val="0"/>
        <w:autoSpaceDN w:val="0"/>
        <w:adjustRightInd w:val="0"/>
        <w:ind w:left="1440"/>
        <w:jc w:val="both"/>
        <w:rPr>
          <w:color w:val="000000"/>
          <w:lang w:val="id-ID" w:eastAsia="id-ID"/>
        </w:rPr>
      </w:pPr>
      <w:r w:rsidRPr="00EF2772">
        <w:rPr>
          <w:color w:val="000000"/>
          <w:lang w:val="id-ID" w:eastAsia="id-ID"/>
        </w:rPr>
        <w:t>Kelompok metamphetamine (shabu) 1 gram.</w:t>
      </w:r>
    </w:p>
    <w:p w:rsidR="008A044E" w:rsidRPr="00EF2772" w:rsidRDefault="008A044E" w:rsidP="008A044E">
      <w:pPr>
        <w:numPr>
          <w:ilvl w:val="4"/>
          <w:numId w:val="16"/>
        </w:numPr>
        <w:tabs>
          <w:tab w:val="clear" w:pos="3240"/>
          <w:tab w:val="num" w:pos="1440"/>
        </w:tabs>
        <w:autoSpaceDE w:val="0"/>
        <w:autoSpaceDN w:val="0"/>
        <w:adjustRightInd w:val="0"/>
        <w:ind w:left="1440"/>
        <w:jc w:val="both"/>
        <w:rPr>
          <w:color w:val="000000"/>
          <w:lang w:val="id-ID" w:eastAsia="id-ID"/>
        </w:rPr>
      </w:pPr>
      <w:r w:rsidRPr="00EF2772">
        <w:rPr>
          <w:color w:val="000000"/>
          <w:lang w:val="id-ID" w:eastAsia="id-ID"/>
        </w:rPr>
        <w:t>Kelompok MDMA (ekstasi) 2.4 gram.</w:t>
      </w:r>
    </w:p>
    <w:p w:rsidR="008A044E" w:rsidRPr="00EF2772" w:rsidRDefault="008A044E" w:rsidP="008A044E">
      <w:pPr>
        <w:numPr>
          <w:ilvl w:val="4"/>
          <w:numId w:val="16"/>
        </w:numPr>
        <w:tabs>
          <w:tab w:val="clear" w:pos="3240"/>
          <w:tab w:val="num" w:pos="1440"/>
        </w:tabs>
        <w:autoSpaceDE w:val="0"/>
        <w:autoSpaceDN w:val="0"/>
        <w:adjustRightInd w:val="0"/>
        <w:ind w:left="1440"/>
        <w:jc w:val="both"/>
        <w:rPr>
          <w:color w:val="000000"/>
          <w:lang w:val="id-ID" w:eastAsia="id-ID"/>
        </w:rPr>
      </w:pPr>
      <w:r w:rsidRPr="00EF2772">
        <w:rPr>
          <w:color w:val="000000"/>
          <w:lang w:val="id-ID" w:eastAsia="id-ID"/>
        </w:rPr>
        <w:t>Kelompok Heroin 1.8 gram.</w:t>
      </w:r>
    </w:p>
    <w:p w:rsidR="008A044E" w:rsidRPr="00EF2772" w:rsidRDefault="008A044E" w:rsidP="008A044E">
      <w:pPr>
        <w:numPr>
          <w:ilvl w:val="4"/>
          <w:numId w:val="16"/>
        </w:numPr>
        <w:tabs>
          <w:tab w:val="clear" w:pos="3240"/>
          <w:tab w:val="num" w:pos="1440"/>
        </w:tabs>
        <w:autoSpaceDE w:val="0"/>
        <w:autoSpaceDN w:val="0"/>
        <w:adjustRightInd w:val="0"/>
        <w:ind w:left="1440"/>
        <w:jc w:val="both"/>
        <w:rPr>
          <w:color w:val="000000"/>
          <w:lang w:val="id-ID" w:eastAsia="id-ID"/>
        </w:rPr>
      </w:pPr>
      <w:r w:rsidRPr="00EF2772">
        <w:rPr>
          <w:color w:val="000000"/>
          <w:lang w:val="id-ID" w:eastAsia="id-ID"/>
        </w:rPr>
        <w:t>Kelompok Kokain 1.8 gram.</w:t>
      </w:r>
    </w:p>
    <w:p w:rsidR="008A044E" w:rsidRPr="00EF2772" w:rsidRDefault="008A044E" w:rsidP="008A044E">
      <w:pPr>
        <w:numPr>
          <w:ilvl w:val="4"/>
          <w:numId w:val="16"/>
        </w:numPr>
        <w:tabs>
          <w:tab w:val="clear" w:pos="3240"/>
          <w:tab w:val="num" w:pos="1440"/>
        </w:tabs>
        <w:autoSpaceDE w:val="0"/>
        <w:autoSpaceDN w:val="0"/>
        <w:adjustRightInd w:val="0"/>
        <w:ind w:left="1440"/>
        <w:jc w:val="both"/>
        <w:rPr>
          <w:color w:val="000000"/>
          <w:lang w:val="id-ID" w:eastAsia="id-ID"/>
        </w:rPr>
      </w:pPr>
      <w:r w:rsidRPr="00EF2772">
        <w:rPr>
          <w:color w:val="000000"/>
          <w:lang w:val="id-ID" w:eastAsia="id-ID"/>
        </w:rPr>
        <w:t>Kelompok Ganja 5 gram.</w:t>
      </w:r>
    </w:p>
    <w:p w:rsidR="008A044E" w:rsidRPr="00EF2772" w:rsidRDefault="008A044E" w:rsidP="008A044E">
      <w:pPr>
        <w:numPr>
          <w:ilvl w:val="4"/>
          <w:numId w:val="16"/>
        </w:numPr>
        <w:tabs>
          <w:tab w:val="clear" w:pos="3240"/>
          <w:tab w:val="num" w:pos="1440"/>
        </w:tabs>
        <w:autoSpaceDE w:val="0"/>
        <w:autoSpaceDN w:val="0"/>
        <w:adjustRightInd w:val="0"/>
        <w:ind w:left="1440"/>
        <w:jc w:val="both"/>
        <w:rPr>
          <w:color w:val="000000"/>
          <w:lang w:val="id-ID" w:eastAsia="id-ID"/>
        </w:rPr>
      </w:pPr>
      <w:r w:rsidRPr="00EF2772">
        <w:rPr>
          <w:color w:val="000000"/>
          <w:lang w:val="id-ID" w:eastAsia="id-ID"/>
        </w:rPr>
        <w:t>Daun Koka 5 gram.</w:t>
      </w:r>
    </w:p>
    <w:p w:rsidR="008A044E" w:rsidRPr="00EF2772" w:rsidRDefault="008A044E" w:rsidP="008A044E">
      <w:pPr>
        <w:numPr>
          <w:ilvl w:val="4"/>
          <w:numId w:val="16"/>
        </w:numPr>
        <w:tabs>
          <w:tab w:val="clear" w:pos="3240"/>
          <w:tab w:val="num" w:pos="1440"/>
        </w:tabs>
        <w:autoSpaceDE w:val="0"/>
        <w:autoSpaceDN w:val="0"/>
        <w:adjustRightInd w:val="0"/>
        <w:ind w:left="1440"/>
        <w:jc w:val="both"/>
        <w:rPr>
          <w:color w:val="000000"/>
          <w:lang w:val="id-ID" w:eastAsia="id-ID"/>
        </w:rPr>
      </w:pPr>
      <w:r w:rsidRPr="00EF2772">
        <w:rPr>
          <w:color w:val="000000"/>
          <w:lang w:val="id-ID" w:eastAsia="id-ID"/>
        </w:rPr>
        <w:t>Meskalin 5 gram.</w:t>
      </w:r>
    </w:p>
    <w:p w:rsidR="008A044E" w:rsidRPr="00EF2772" w:rsidRDefault="008A044E" w:rsidP="008A044E">
      <w:pPr>
        <w:numPr>
          <w:ilvl w:val="4"/>
          <w:numId w:val="16"/>
        </w:numPr>
        <w:tabs>
          <w:tab w:val="clear" w:pos="3240"/>
          <w:tab w:val="num" w:pos="1440"/>
        </w:tabs>
        <w:autoSpaceDE w:val="0"/>
        <w:autoSpaceDN w:val="0"/>
        <w:adjustRightInd w:val="0"/>
        <w:ind w:left="1440"/>
        <w:jc w:val="both"/>
        <w:rPr>
          <w:color w:val="000000"/>
          <w:lang w:val="id-ID" w:eastAsia="id-ID"/>
        </w:rPr>
      </w:pPr>
      <w:r w:rsidRPr="00EF2772">
        <w:rPr>
          <w:color w:val="000000"/>
          <w:lang w:val="id-ID" w:eastAsia="id-ID"/>
        </w:rPr>
        <w:lastRenderedPageBreak/>
        <w:t xml:space="preserve">Kelompok Fentamil 1 gram. </w:t>
      </w:r>
    </w:p>
    <w:p w:rsidR="008A044E" w:rsidRPr="00EF2772" w:rsidRDefault="008A044E" w:rsidP="008A044E">
      <w:pPr>
        <w:numPr>
          <w:ilvl w:val="4"/>
          <w:numId w:val="16"/>
        </w:numPr>
        <w:tabs>
          <w:tab w:val="clear" w:pos="3240"/>
          <w:tab w:val="num" w:pos="1440"/>
        </w:tabs>
        <w:autoSpaceDE w:val="0"/>
        <w:autoSpaceDN w:val="0"/>
        <w:adjustRightInd w:val="0"/>
        <w:ind w:left="1440"/>
        <w:jc w:val="both"/>
        <w:rPr>
          <w:color w:val="000000"/>
          <w:lang w:val="id-ID" w:eastAsia="id-ID"/>
        </w:rPr>
      </w:pPr>
      <w:r w:rsidRPr="00EF2772">
        <w:rPr>
          <w:color w:val="000000"/>
          <w:lang w:val="id-ID" w:eastAsia="id-ID"/>
        </w:rPr>
        <w:t>Kelompok Metadon 0.5 gram.</w:t>
      </w:r>
    </w:p>
    <w:p w:rsidR="008A044E" w:rsidRPr="00EF2772" w:rsidRDefault="008A044E" w:rsidP="008A044E">
      <w:pPr>
        <w:numPr>
          <w:ilvl w:val="4"/>
          <w:numId w:val="16"/>
        </w:numPr>
        <w:tabs>
          <w:tab w:val="clear" w:pos="3240"/>
          <w:tab w:val="num" w:pos="1440"/>
        </w:tabs>
        <w:autoSpaceDE w:val="0"/>
        <w:autoSpaceDN w:val="0"/>
        <w:adjustRightInd w:val="0"/>
        <w:ind w:left="1440"/>
        <w:jc w:val="both"/>
        <w:rPr>
          <w:color w:val="000000"/>
          <w:lang w:val="id-ID" w:eastAsia="id-ID"/>
        </w:rPr>
      </w:pPr>
      <w:r w:rsidRPr="00EF2772">
        <w:rPr>
          <w:color w:val="000000"/>
          <w:lang w:val="id-ID" w:eastAsia="id-ID"/>
        </w:rPr>
        <w:t>Kelompok morfin 1.8 gram.</w:t>
      </w:r>
    </w:p>
    <w:p w:rsidR="008A044E" w:rsidRPr="00EF2772" w:rsidRDefault="008A044E" w:rsidP="008A044E">
      <w:pPr>
        <w:numPr>
          <w:ilvl w:val="4"/>
          <w:numId w:val="16"/>
        </w:numPr>
        <w:tabs>
          <w:tab w:val="clear" w:pos="3240"/>
          <w:tab w:val="num" w:pos="1440"/>
        </w:tabs>
        <w:autoSpaceDE w:val="0"/>
        <w:autoSpaceDN w:val="0"/>
        <w:adjustRightInd w:val="0"/>
        <w:ind w:left="1440"/>
        <w:jc w:val="both"/>
        <w:rPr>
          <w:color w:val="000000"/>
          <w:lang w:val="id-ID" w:eastAsia="id-ID"/>
        </w:rPr>
      </w:pPr>
      <w:r w:rsidRPr="00EF2772">
        <w:rPr>
          <w:color w:val="000000"/>
          <w:lang w:val="id-ID" w:eastAsia="id-ID"/>
        </w:rPr>
        <w:t>Kelompok Petidin 0.96 gram.</w:t>
      </w:r>
    </w:p>
    <w:p w:rsidR="008A044E" w:rsidRPr="00EF2772" w:rsidRDefault="008A044E" w:rsidP="008A044E">
      <w:pPr>
        <w:numPr>
          <w:ilvl w:val="4"/>
          <w:numId w:val="16"/>
        </w:numPr>
        <w:tabs>
          <w:tab w:val="clear" w:pos="3240"/>
          <w:tab w:val="num" w:pos="1440"/>
        </w:tabs>
        <w:autoSpaceDE w:val="0"/>
        <w:autoSpaceDN w:val="0"/>
        <w:adjustRightInd w:val="0"/>
        <w:ind w:left="1440"/>
        <w:jc w:val="both"/>
        <w:rPr>
          <w:color w:val="000000"/>
          <w:lang w:val="id-ID" w:eastAsia="id-ID"/>
        </w:rPr>
      </w:pPr>
      <w:r w:rsidRPr="00EF2772">
        <w:rPr>
          <w:color w:val="000000"/>
          <w:lang w:val="id-ID" w:eastAsia="id-ID"/>
        </w:rPr>
        <w:t>Kelompok Kodein 72 gram.</w:t>
      </w:r>
    </w:p>
    <w:p w:rsidR="008A044E" w:rsidRPr="00EF2772" w:rsidRDefault="008A044E" w:rsidP="008A044E">
      <w:pPr>
        <w:numPr>
          <w:ilvl w:val="4"/>
          <w:numId w:val="16"/>
        </w:numPr>
        <w:tabs>
          <w:tab w:val="clear" w:pos="3240"/>
          <w:tab w:val="num" w:pos="1440"/>
        </w:tabs>
        <w:autoSpaceDE w:val="0"/>
        <w:autoSpaceDN w:val="0"/>
        <w:adjustRightInd w:val="0"/>
        <w:ind w:left="1440"/>
        <w:jc w:val="both"/>
        <w:rPr>
          <w:color w:val="000000"/>
          <w:lang w:val="id-ID" w:eastAsia="id-ID"/>
        </w:rPr>
      </w:pPr>
      <w:r w:rsidRPr="00EF2772">
        <w:rPr>
          <w:color w:val="000000"/>
          <w:lang w:val="id-ID" w:eastAsia="id-ID"/>
        </w:rPr>
        <w:t>Kelompok Bufrenorfin 32 mg.</w:t>
      </w:r>
    </w:p>
    <w:p w:rsidR="008A044E" w:rsidRPr="00EF2772" w:rsidRDefault="008A044E" w:rsidP="008A044E">
      <w:pPr>
        <w:numPr>
          <w:ilvl w:val="3"/>
          <w:numId w:val="16"/>
        </w:numPr>
        <w:tabs>
          <w:tab w:val="clear" w:pos="2520"/>
          <w:tab w:val="num" w:pos="1080"/>
        </w:tabs>
        <w:autoSpaceDE w:val="0"/>
        <w:autoSpaceDN w:val="0"/>
        <w:adjustRightInd w:val="0"/>
        <w:ind w:left="1080"/>
        <w:jc w:val="both"/>
        <w:rPr>
          <w:color w:val="000000"/>
          <w:lang w:val="id-ID" w:eastAsia="id-ID"/>
        </w:rPr>
      </w:pPr>
      <w:r w:rsidRPr="00EF2772">
        <w:rPr>
          <w:color w:val="000000"/>
          <w:lang w:val="id-ID" w:eastAsia="id-ID"/>
        </w:rPr>
        <w:t>Surat uji Laboratorium positif menggunakan narkotika berdasarkan permintaan penyidik.</w:t>
      </w:r>
    </w:p>
    <w:p w:rsidR="008A044E" w:rsidRPr="00EF2772" w:rsidRDefault="008A044E" w:rsidP="008A044E">
      <w:pPr>
        <w:numPr>
          <w:ilvl w:val="3"/>
          <w:numId w:val="16"/>
        </w:numPr>
        <w:tabs>
          <w:tab w:val="clear" w:pos="2520"/>
          <w:tab w:val="num" w:pos="1080"/>
        </w:tabs>
        <w:autoSpaceDE w:val="0"/>
        <w:autoSpaceDN w:val="0"/>
        <w:adjustRightInd w:val="0"/>
        <w:ind w:left="1080"/>
        <w:jc w:val="both"/>
        <w:rPr>
          <w:color w:val="000000"/>
          <w:lang w:val="id-ID" w:eastAsia="id-ID"/>
        </w:rPr>
      </w:pPr>
      <w:r w:rsidRPr="00EF2772">
        <w:rPr>
          <w:color w:val="000000"/>
          <w:lang w:val="id-ID" w:eastAsia="id-ID"/>
        </w:rPr>
        <w:t>Perlu surat keterangan dari dokter jiwa psikiater pemerintah yang ditunjuk oleh Hakim.</w:t>
      </w:r>
    </w:p>
    <w:p w:rsidR="008A044E" w:rsidRPr="00EF2772" w:rsidRDefault="008A044E" w:rsidP="008A044E">
      <w:pPr>
        <w:numPr>
          <w:ilvl w:val="3"/>
          <w:numId w:val="16"/>
        </w:numPr>
        <w:tabs>
          <w:tab w:val="clear" w:pos="2520"/>
          <w:tab w:val="num" w:pos="1080"/>
        </w:tabs>
        <w:autoSpaceDE w:val="0"/>
        <w:autoSpaceDN w:val="0"/>
        <w:adjustRightInd w:val="0"/>
        <w:ind w:left="1080"/>
        <w:jc w:val="both"/>
        <w:rPr>
          <w:color w:val="000000"/>
          <w:lang w:val="id-ID" w:eastAsia="id-ID"/>
        </w:rPr>
      </w:pPr>
      <w:r w:rsidRPr="00EF2772">
        <w:rPr>
          <w:color w:val="000000"/>
          <w:lang w:val="id-ID" w:eastAsia="id-ID"/>
        </w:rPr>
        <w:t>Tidak terdapat bukti bahwa yang bersangkutan terlibat dalam peredaran gelap narkotika.</w:t>
      </w:r>
    </w:p>
    <w:p w:rsidR="008A044E" w:rsidRPr="00EF2772" w:rsidRDefault="008A044E" w:rsidP="008A044E">
      <w:pPr>
        <w:autoSpaceDE w:val="0"/>
        <w:autoSpaceDN w:val="0"/>
        <w:adjustRightInd w:val="0"/>
        <w:ind w:left="1080"/>
        <w:jc w:val="both"/>
        <w:rPr>
          <w:color w:val="000000"/>
          <w:lang w:val="id-ID" w:eastAsia="id-ID"/>
        </w:rPr>
      </w:pPr>
    </w:p>
    <w:p w:rsidR="008A044E" w:rsidRPr="00EF2772" w:rsidRDefault="008A044E" w:rsidP="008A044E">
      <w:pPr>
        <w:autoSpaceDE w:val="0"/>
        <w:autoSpaceDN w:val="0"/>
        <w:adjustRightInd w:val="0"/>
        <w:spacing w:line="504" w:lineRule="auto"/>
        <w:ind w:firstLine="720"/>
        <w:jc w:val="both"/>
        <w:rPr>
          <w:color w:val="000000"/>
          <w:lang w:val="id-ID" w:eastAsia="id-ID"/>
        </w:rPr>
      </w:pPr>
      <w:r w:rsidRPr="00EF2772">
        <w:rPr>
          <w:color w:val="000000"/>
          <w:lang w:val="id-ID" w:eastAsia="id-ID"/>
        </w:rPr>
        <w:t>Hakim dalam hal menjatuhkan lamanya proses rehabilitasi harus dengan sungguh-sungguh mempertimbangkan kondisi taraf kecanduan terdakwa, sehingga wajib diperlukan adanya keterangan ahli dan sebagai standar dalam proses terapi dan rehabilitasi adalah sebagai berikut :</w:t>
      </w:r>
    </w:p>
    <w:p w:rsidR="008A044E" w:rsidRPr="00EF2772" w:rsidRDefault="008A044E" w:rsidP="008A044E">
      <w:pPr>
        <w:numPr>
          <w:ilvl w:val="6"/>
          <w:numId w:val="16"/>
        </w:numPr>
        <w:tabs>
          <w:tab w:val="clear" w:pos="4680"/>
          <w:tab w:val="num" w:pos="360"/>
        </w:tabs>
        <w:autoSpaceDE w:val="0"/>
        <w:autoSpaceDN w:val="0"/>
        <w:adjustRightInd w:val="0"/>
        <w:spacing w:line="504" w:lineRule="auto"/>
        <w:ind w:left="360"/>
        <w:jc w:val="both"/>
        <w:rPr>
          <w:color w:val="000000"/>
          <w:lang w:val="id-ID" w:eastAsia="id-ID"/>
        </w:rPr>
      </w:pPr>
      <w:r w:rsidRPr="00EF2772">
        <w:rPr>
          <w:color w:val="000000"/>
          <w:lang w:val="id-ID" w:eastAsia="id-ID"/>
        </w:rPr>
        <w:t>Program Detoksifikasi dan Stabilisasi : lamanya 1 (satu) bulan.</w:t>
      </w:r>
    </w:p>
    <w:p w:rsidR="008A044E" w:rsidRPr="00EF2772" w:rsidRDefault="008A044E" w:rsidP="008A044E">
      <w:pPr>
        <w:numPr>
          <w:ilvl w:val="6"/>
          <w:numId w:val="16"/>
        </w:numPr>
        <w:tabs>
          <w:tab w:val="clear" w:pos="4680"/>
          <w:tab w:val="num" w:pos="360"/>
        </w:tabs>
        <w:autoSpaceDE w:val="0"/>
        <w:autoSpaceDN w:val="0"/>
        <w:adjustRightInd w:val="0"/>
        <w:spacing w:line="504" w:lineRule="auto"/>
        <w:ind w:left="360"/>
        <w:jc w:val="both"/>
        <w:rPr>
          <w:color w:val="000000"/>
          <w:lang w:val="id-ID" w:eastAsia="id-ID"/>
        </w:rPr>
      </w:pPr>
      <w:r w:rsidRPr="00EF2772">
        <w:rPr>
          <w:color w:val="000000"/>
          <w:lang w:val="id-ID" w:eastAsia="id-ID"/>
        </w:rPr>
        <w:t>Program Primer : lamanya 6 (enam) bulan.</w:t>
      </w:r>
    </w:p>
    <w:p w:rsidR="008A044E" w:rsidRPr="00EF2772" w:rsidRDefault="008A044E" w:rsidP="008A044E">
      <w:pPr>
        <w:numPr>
          <w:ilvl w:val="6"/>
          <w:numId w:val="16"/>
        </w:numPr>
        <w:tabs>
          <w:tab w:val="clear" w:pos="4680"/>
          <w:tab w:val="num" w:pos="360"/>
        </w:tabs>
        <w:autoSpaceDE w:val="0"/>
        <w:autoSpaceDN w:val="0"/>
        <w:adjustRightInd w:val="0"/>
        <w:spacing w:line="504" w:lineRule="auto"/>
        <w:ind w:left="360"/>
        <w:jc w:val="both"/>
        <w:rPr>
          <w:color w:val="000000"/>
          <w:lang w:val="id-ID" w:eastAsia="id-ID"/>
        </w:rPr>
      </w:pPr>
      <w:r w:rsidRPr="00EF2772">
        <w:rPr>
          <w:color w:val="000000"/>
          <w:lang w:val="id-ID" w:eastAsia="id-ID"/>
        </w:rPr>
        <w:t>Program Re-Entry.</w:t>
      </w:r>
      <w:r w:rsidRPr="00EF2772">
        <w:rPr>
          <w:rStyle w:val="FootnoteReference"/>
          <w:color w:val="000000"/>
          <w:lang w:val="id-ID" w:eastAsia="id-ID"/>
        </w:rPr>
        <w:footnoteReference w:id="30"/>
      </w:r>
    </w:p>
    <w:p w:rsidR="008A044E" w:rsidRPr="00EF2772" w:rsidRDefault="008A044E" w:rsidP="008A044E">
      <w:pPr>
        <w:autoSpaceDE w:val="0"/>
        <w:autoSpaceDN w:val="0"/>
        <w:adjustRightInd w:val="0"/>
        <w:spacing w:line="504" w:lineRule="auto"/>
        <w:ind w:firstLine="720"/>
        <w:jc w:val="both"/>
        <w:rPr>
          <w:color w:val="000000"/>
        </w:rPr>
      </w:pPr>
      <w:r w:rsidRPr="00EF2772">
        <w:rPr>
          <w:color w:val="000000"/>
        </w:rPr>
        <w:t>Penerapan tindakan rehabilitasi bagi pecandu narkotika mencerminkan pendekatan humanisti</w:t>
      </w:r>
      <w:r w:rsidRPr="00EF2772">
        <w:rPr>
          <w:color w:val="000000"/>
          <w:lang w:val="id-ID"/>
        </w:rPr>
        <w:t>k</w:t>
      </w:r>
      <w:r w:rsidRPr="00EF2772">
        <w:rPr>
          <w:color w:val="000000"/>
        </w:rPr>
        <w:t xml:space="preserve"> dalam penegakan hukum terhadap penyalahguna narkotika. </w:t>
      </w:r>
      <w:r w:rsidRPr="00EF2772">
        <w:rPr>
          <w:color w:val="000000"/>
          <w:lang w:val="id-ID" w:eastAsia="id-ID"/>
        </w:rPr>
        <w:t xml:space="preserve">Undang-Undang Nomor 35 Tahun 2009 Tentang Narkotika </w:t>
      </w:r>
      <w:r w:rsidRPr="00EF2772">
        <w:rPr>
          <w:color w:val="000000"/>
        </w:rPr>
        <w:t>menghendaki Hakim untuk dengan seksama mempertimbangkan keadaan dan kepentingan pelaku. Sanksi hukum tidak serta merta dijadikan sebagai alat pembalasan tapi juga harus mampu mengembalikan pelaku ke dalam masyarakat, dengan kata kata lain undang-undang ini juga berorientasi pada perlindungan kepentingan pelaku.</w:t>
      </w:r>
    </w:p>
    <w:p w:rsidR="008A044E" w:rsidRPr="00EF2772" w:rsidRDefault="008A044E" w:rsidP="008A044E">
      <w:pPr>
        <w:autoSpaceDE w:val="0"/>
        <w:autoSpaceDN w:val="0"/>
        <w:adjustRightInd w:val="0"/>
        <w:spacing w:line="480" w:lineRule="auto"/>
        <w:ind w:firstLine="720"/>
        <w:jc w:val="both"/>
        <w:rPr>
          <w:color w:val="000000"/>
          <w:lang w:val="id-ID"/>
        </w:rPr>
      </w:pPr>
      <w:r w:rsidRPr="00EF2772">
        <w:rPr>
          <w:color w:val="000000"/>
        </w:rPr>
        <w:lastRenderedPageBreak/>
        <w:t>Ketentuan tentang rehabilitasi tersebut juga mencerminkan prinsip individualisasi pidana. Prinsip individualisasi pidana menurut Sudarto adalah dalam memberikan sanksi pidana selalu memperhatikan sifat-sifat dan keadaan-keadaan si pembuat.</w:t>
      </w:r>
      <w:r w:rsidRPr="00EF2772">
        <w:rPr>
          <w:rStyle w:val="FootnoteReference"/>
          <w:color w:val="000000"/>
        </w:rPr>
        <w:footnoteReference w:id="31"/>
      </w:r>
      <w:r w:rsidRPr="00EF2772">
        <w:rPr>
          <w:color w:val="000000"/>
        </w:rPr>
        <w:t xml:space="preserve"> Prinsip ini bertolak dari kepentingan individu pelaku tindak pidana dalam sistem hukum pidana. Prinsip ini juga merupakan salah satu ciri dari aliran hukum modern yang berorientasi tidak hanya pada perbuatan tapi juga pada manusia/pelaku. Pendekatan ini juga disebut sebagai pendekatan mono-dualistik, dalam arti memperhatikan keseimbangan dan kepentingan antara kepentingan masyarakat dan individu</w:t>
      </w:r>
      <w:r w:rsidRPr="00EF2772">
        <w:rPr>
          <w:color w:val="000000"/>
          <w:lang w:val="id-ID"/>
        </w:rPr>
        <w:t>.</w:t>
      </w:r>
      <w:r w:rsidRPr="00EF2772">
        <w:rPr>
          <w:rStyle w:val="FootnoteReference"/>
          <w:color w:val="000000"/>
          <w:lang w:val="id-ID"/>
        </w:rPr>
        <w:footnoteReference w:id="32"/>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rPr>
        <w:t>Menurut Barda Nawawi Arief</w:t>
      </w:r>
      <w:r w:rsidRPr="00EF2772">
        <w:rPr>
          <w:color w:val="000000"/>
          <w:lang w:val="id-ID"/>
        </w:rPr>
        <w:t xml:space="preserve"> bahwa p</w:t>
      </w:r>
      <w:r w:rsidRPr="00EF2772">
        <w:rPr>
          <w:color w:val="000000"/>
        </w:rPr>
        <w:t>idana harus disesuaikan dengan karakteristik dan kondisi si pelaku; ini berarti harus ada kelonggaran/fleksibilitas bagi hakim dalam memilih sanksi pidana (jenis maupun berat ringannya sanksi) dan harus ada kemungkinan modifikasi pidana (perubahan/penyesuain) dalam pelaksanaannya</w:t>
      </w:r>
      <w:r w:rsidRPr="00EF2772">
        <w:rPr>
          <w:color w:val="000000"/>
          <w:lang w:val="id-ID"/>
        </w:rPr>
        <w:t>.</w:t>
      </w:r>
      <w:r w:rsidRPr="00EF2772">
        <w:rPr>
          <w:rStyle w:val="FootnoteReference"/>
          <w:color w:val="000000"/>
          <w:lang w:val="id-ID"/>
        </w:rPr>
        <w:footnoteReference w:id="33"/>
      </w:r>
      <w:r w:rsidRPr="00EF2772">
        <w:rPr>
          <w:color w:val="000000"/>
        </w:rPr>
        <w:t>Merujuk pendapat dari Barda Nawai Arief, maka ketentuan dalam Pasal 54 dan 103 Undang-Und</w:t>
      </w:r>
      <w:r w:rsidRPr="00EF2772">
        <w:rPr>
          <w:color w:val="000000"/>
          <w:lang w:val="id-ID"/>
        </w:rPr>
        <w:t>a</w:t>
      </w:r>
      <w:r w:rsidRPr="00EF2772">
        <w:rPr>
          <w:color w:val="000000"/>
        </w:rPr>
        <w:t>ng Nomor 35 Tahun 2009 menghendaki pidana terhadap penyalahguna narkotika harus disesuaikan dengan karakteristik dan kondisi pelaku. Para penyalahguna narkotika harus melalui serangakain pemeriksaan untuk menentukan apakah yang bersangkutan sebagai pecandu atau korban penyalahguna narkotika. Dengan demikian nantinya pidana yang dterapkan sesuai dengan kebutuhan pelaku. Pendekatan dari sisi individu pelaku selaras dengan pendapat Sudarto yang mengemukakan :”kalau membicarakan pidana, maka harus membicarakan orang yang melakukan</w:t>
      </w:r>
      <w:r w:rsidRPr="00EF2772">
        <w:rPr>
          <w:color w:val="000000"/>
          <w:lang w:val="id-ID" w:eastAsia="id-ID"/>
        </w:rPr>
        <w:t xml:space="preserve">kejahatan. Orang ini </w:t>
      </w:r>
      <w:r w:rsidRPr="00EF2772">
        <w:rPr>
          <w:color w:val="000000"/>
          <w:lang w:val="id-ID" w:eastAsia="id-ID"/>
        </w:rPr>
        <w:lastRenderedPageBreak/>
        <w:t>adalah seperti kita semua, tidak berbeda sedikitpun, kecuali bahwaia telah melakukan perbuatan yang dilarang dan dinyatakan bersalah oleh hakim. Jadi pembaharuan hukum pidana tetap berkisar kepada manusia sehingga ia tidak boleh sekali-kali meninggalkan nilai-nilai kemanusiaan, ialah kasih sayang terhadap manusia.</w:t>
      </w:r>
      <w:r w:rsidRPr="00EF2772">
        <w:rPr>
          <w:rStyle w:val="FootnoteReference"/>
          <w:color w:val="000000"/>
          <w:lang w:val="id-ID" w:eastAsia="id-ID"/>
        </w:rPr>
        <w:footnoteReference w:id="34"/>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 xml:space="preserve">Pecandu narkotika baik secara fisik maupun psikhis membutuhkan pertolongan medis dan sosial. Terapi yang digunakan untuk mengentaskan mereka dari kecanduan tidak dapat dilakukan dengan cara pemberian sanksi pidana penjara saja. Penerapan pidana penjara bagi pecandu tidak mmapu menyembuhkan ketergantungannya dari narkotika. Apalah artinya jika pecandu narkotika dipenjara tanpa diikuti dengan tindakan pengobatan, tentunya ketika pecandu ini keluar dari penjara akan tetap menjadi seorang pecandu. </w:t>
      </w:r>
      <w:r w:rsidRPr="00EF2772">
        <w:rPr>
          <w:rStyle w:val="FootnoteReference"/>
          <w:color w:val="000000"/>
          <w:lang w:val="id-ID" w:eastAsia="id-ID"/>
        </w:rPr>
        <w:footnoteReference w:id="35"/>
      </w:r>
    </w:p>
    <w:p w:rsidR="008A044E" w:rsidRPr="00EF2772" w:rsidRDefault="008A044E" w:rsidP="008A044E">
      <w:pPr>
        <w:autoSpaceDE w:val="0"/>
        <w:autoSpaceDN w:val="0"/>
        <w:adjustRightInd w:val="0"/>
        <w:spacing w:line="480" w:lineRule="auto"/>
        <w:ind w:firstLine="720"/>
        <w:jc w:val="both"/>
        <w:rPr>
          <w:color w:val="000000"/>
          <w:lang w:val="id-ID"/>
        </w:rPr>
      </w:pPr>
      <w:r w:rsidRPr="00EF2772">
        <w:rPr>
          <w:color w:val="000000"/>
          <w:lang w:val="id-ID" w:eastAsia="id-ID"/>
        </w:rPr>
        <w:t>Pecandu narkotika memerlukan bantuan medis untuk menyembuhkan ketergantungannya. Undang-undang Nomor 35 Tahun 2009 telah mengakomodir perlindungan terhadap para penyalahguna narkotika yang termasuk pecandu narkotika dan korban penyalahguna narkotika berupa dibukanya penerapan tindakan berupa rehabilitasi medis dan sosial, hal ini tentunya mengubah paradigma tujuan pemidanaan terhadap penyalahguna narkotika.</w:t>
      </w:r>
    </w:p>
    <w:p w:rsidR="008A044E" w:rsidRPr="00EF2772" w:rsidRDefault="008A044E" w:rsidP="008A044E">
      <w:pPr>
        <w:numPr>
          <w:ilvl w:val="7"/>
          <w:numId w:val="27"/>
        </w:numPr>
        <w:tabs>
          <w:tab w:val="clear" w:pos="5400"/>
          <w:tab w:val="num" w:pos="360"/>
          <w:tab w:val="num" w:pos="5760"/>
        </w:tabs>
        <w:autoSpaceDE w:val="0"/>
        <w:autoSpaceDN w:val="0"/>
        <w:adjustRightInd w:val="0"/>
        <w:spacing w:line="480" w:lineRule="auto"/>
        <w:ind w:left="360"/>
        <w:jc w:val="both"/>
        <w:rPr>
          <w:b/>
          <w:color w:val="000000"/>
          <w:lang w:val="sv-SE"/>
        </w:rPr>
      </w:pPr>
      <w:r w:rsidRPr="00EF2772">
        <w:rPr>
          <w:rStyle w:val="FootnoteReference"/>
          <w:b/>
        </w:rPr>
        <w:t>Hambatan</w:t>
      </w:r>
      <w:r w:rsidRPr="00EF2772">
        <w:rPr>
          <w:b/>
          <w:color w:val="000000"/>
          <w:lang w:val="id-ID"/>
        </w:rPr>
        <w:t xml:space="preserve"> d</w:t>
      </w:r>
      <w:r w:rsidRPr="00EF2772">
        <w:rPr>
          <w:b/>
          <w:color w:val="000000"/>
        </w:rPr>
        <w:t>alam Merehabilitasi Pengguna Narko</w:t>
      </w:r>
      <w:r w:rsidRPr="00EF2772">
        <w:rPr>
          <w:b/>
          <w:color w:val="000000"/>
          <w:lang w:val="id-ID"/>
        </w:rPr>
        <w:t>tikad</w:t>
      </w:r>
      <w:r w:rsidRPr="00EF2772">
        <w:rPr>
          <w:b/>
          <w:color w:val="000000"/>
        </w:rPr>
        <w:t>an Upaya Mengatasinya</w:t>
      </w:r>
    </w:p>
    <w:p w:rsidR="008A044E" w:rsidRPr="00EF2772" w:rsidRDefault="008A044E" w:rsidP="008A044E">
      <w:pPr>
        <w:spacing w:line="480" w:lineRule="auto"/>
        <w:ind w:firstLine="709"/>
        <w:jc w:val="both"/>
        <w:rPr>
          <w:color w:val="000000"/>
        </w:rPr>
      </w:pPr>
      <w:r w:rsidRPr="00EF2772">
        <w:rPr>
          <w:color w:val="000000"/>
        </w:rPr>
        <w:t xml:space="preserve">Semakin hari korban penyalahgunaan narkoba semakin meningkat, para korban ini berasal dari berbagai kalangan mulai dari kelas bawah sampai dengan </w:t>
      </w:r>
      <w:r w:rsidRPr="00EF2772">
        <w:rPr>
          <w:color w:val="000000"/>
        </w:rPr>
        <w:lastRenderedPageBreak/>
        <w:t>kelas atas, dan mereka pun berasal dari berbagai usia, dari anak-anak sampai yang sudah tua sekalipun. Apabila hal ini dibiarkan berlanjut terus-menerus, bukan tidak mungkin akan menghancurkan generasi penerus bangsa di kemudian hari.</w:t>
      </w:r>
    </w:p>
    <w:p w:rsidR="008A044E" w:rsidRPr="00EF2772" w:rsidRDefault="008A044E" w:rsidP="008A044E">
      <w:pPr>
        <w:spacing w:line="480" w:lineRule="auto"/>
        <w:ind w:firstLine="709"/>
        <w:jc w:val="both"/>
        <w:rPr>
          <w:color w:val="000000"/>
        </w:rPr>
      </w:pPr>
      <w:r w:rsidRPr="00EF2772">
        <w:rPr>
          <w:color w:val="000000"/>
        </w:rPr>
        <w:t>Seiring dengan perkembangannya, pemerintah telah memberlakukan Undang-Undang Narkotika. Pasal 127 ayat (3) Undang-Undang Narkotika disebutkan bahwa dalam hal penyalahguna sebagaimana dimaksud pada dapat dibuktikan atau terbukti sebagai korban penyalahgunaan narkotika, penyalahguna tersebut wajib menjalani rehabilitasi medis dan rehabilitasi sosial. Beberapa kasus penangkapan pecandu narkoba, mereka terbukti tidak terlibat dalam pengedaran narkoba, dengan kata lain mereka hanya sebagai pengguna saja. Kasus seperti ini, setelah vonis pengadilan diputuskan maka para pengguna tersebut dapat diajukan untuk menjalani rehabilitasi baik secara medis maupun sosial.</w:t>
      </w:r>
      <w:r w:rsidRPr="00EF2772">
        <w:rPr>
          <w:rStyle w:val="FootnoteReference"/>
          <w:color w:val="000000"/>
        </w:rPr>
        <w:footnoteReference w:id="36"/>
      </w:r>
    </w:p>
    <w:p w:rsidR="008A044E" w:rsidRPr="00EF2772" w:rsidRDefault="008A044E" w:rsidP="008A044E">
      <w:pPr>
        <w:spacing w:line="480" w:lineRule="auto"/>
        <w:ind w:firstLine="709"/>
        <w:jc w:val="both"/>
        <w:rPr>
          <w:color w:val="000000"/>
        </w:rPr>
      </w:pPr>
      <w:r w:rsidRPr="00EF2772">
        <w:rPr>
          <w:color w:val="000000"/>
        </w:rPr>
        <w:t>Adanya Undang-Undang Narkotika setiap pengguna narkoba yang setelah vonis pengadilan terbukti tidak mengedarkan atau memproduksi narkotika, dalam hal ini mereka hanya sebatas pengguna saja, maka mereka berhak mengajukan untuk mendapatkan pelayanan rehabilitasi. Melihat hal tersebut, Undang-Undang Narkotika memberikan kesempatan bagi para pecandu yang sudah terjerumus dalam penyalahgunaan narkotika agar dapat terbebas dari kondisi tersebut dan dapat kembali melanjutkan hidupnya secara sehat dan normal.</w:t>
      </w:r>
      <w:r w:rsidRPr="00EF2772">
        <w:rPr>
          <w:rStyle w:val="FootnoteReference"/>
          <w:color w:val="000000"/>
        </w:rPr>
        <w:footnoteReference w:id="37"/>
      </w:r>
    </w:p>
    <w:p w:rsidR="008A044E" w:rsidRPr="00EF2772" w:rsidRDefault="008A044E" w:rsidP="008A044E">
      <w:pPr>
        <w:spacing w:line="480" w:lineRule="auto"/>
        <w:ind w:firstLine="709"/>
        <w:jc w:val="both"/>
        <w:rPr>
          <w:color w:val="000000"/>
        </w:rPr>
      </w:pPr>
      <w:r w:rsidRPr="00EF2772">
        <w:rPr>
          <w:color w:val="000000"/>
        </w:rPr>
        <w:t xml:space="preserve">Pelaksanaan rehabilitasi terhadap para pecandu narkotika masih terdapat beberapa kendala seperti kadang para pengguna narkoba baru memikirkan tentang rehabilitasi setelah mereka terjerat hukum, seharusnya sebelum terjerat hukum </w:t>
      </w:r>
      <w:r w:rsidRPr="00EF2772">
        <w:rPr>
          <w:color w:val="000000"/>
        </w:rPr>
        <w:lastRenderedPageBreak/>
        <w:t>ataupun setelah terjerat hukum, setiap pengguna narkoba harus segera mendapatkan pertolongan melalui suatu rehabilitasi. Perlu adanya perhatian dari lingkungan sekitar terutama keluarga sebagai lingkungan terdekat agar peka terhadap anggota keluarga mereka, jika ada yang terkena kasus penyalahgunaan narkoba, segera bertindak dengan mulai mencari suatu lembaga rehabilitasi bagi para pecandu narkotika.</w:t>
      </w:r>
      <w:r w:rsidRPr="00EF2772">
        <w:rPr>
          <w:rStyle w:val="FootnoteReference"/>
          <w:color w:val="000000"/>
        </w:rPr>
        <w:footnoteReference w:id="38"/>
      </w:r>
    </w:p>
    <w:p w:rsidR="008A044E" w:rsidRPr="00EF2772" w:rsidRDefault="008A044E" w:rsidP="008A044E">
      <w:pPr>
        <w:spacing w:line="480" w:lineRule="auto"/>
        <w:ind w:firstLine="709"/>
        <w:jc w:val="both"/>
        <w:rPr>
          <w:color w:val="000000"/>
        </w:rPr>
      </w:pPr>
      <w:r w:rsidRPr="00EF2772">
        <w:rPr>
          <w:color w:val="000000"/>
        </w:rPr>
        <w:t>Kendala lain yang dihadapi dalam pelaksanaan rehabilitasi terhadap para pecandu narkotika yaitu program pencegahan dan rehabilitasi narkoba belum menjangkau daerah pedesaan. Banyak orang-orang di pedesaan yang tidak paham tentang narkoba sehingga mereka dengan mudah terjerumus. Masyarakat pedesaan banyak yang tidak mengerti tentang permasalahan narkotika dan mereka belum pernah mendapatkan penyuluhan tentang narkotika sehingga banyak remaja yang terlibat penyalahgunaan narkotika dan para pelaku pengguna narkotika ini tidak mengikuti rehabilitasi. Selain itu kurangnya kesadaran masyarakat tentang peran mereka dalam upaya pencegahan dan pemberantasan penyalahgunaan narkotika menjadi salah satu kendala pelaksanaan rehabilitasi ini. Hal ini mungkin terkait dengan kurangnya sosialisasi BNN akan program-programnya ke masyarakat sehingga masyarakat banyak yang tidak mengetahui betapa pentingnya lembaga rehabilitasi. Kurangnya pengetahuan dan ketakutan yang berlebihan mengakibatkan masyarakat cenderung tidak melaporkan kasus-kasus narkotika baik yang ia temukan maupun yang dia alami sendiri.</w:t>
      </w:r>
    </w:p>
    <w:p w:rsidR="008A044E" w:rsidRPr="00EF2772" w:rsidRDefault="008A044E" w:rsidP="008A044E">
      <w:pPr>
        <w:spacing w:line="480" w:lineRule="auto"/>
        <w:ind w:firstLine="709"/>
        <w:jc w:val="both"/>
        <w:rPr>
          <w:color w:val="000000"/>
        </w:rPr>
      </w:pPr>
      <w:r w:rsidRPr="00EF2772">
        <w:rPr>
          <w:color w:val="000000"/>
        </w:rPr>
        <w:lastRenderedPageBreak/>
        <w:t>Pelaku pengguna narkotika ada yang bersedia secara sukarela mengikuti program pemulihan di rehabilitasi narkoba, namun lebih banyak pecandu yang menolak untuk terisolir di sebuah rehabilitasi. Hal ini terjadi karena sebagian besar pecandu narkotika menganggap kehidupan di rehabilitasi narkoba merupakan penderitaan bagi mereka yang masih berada dalam tahap kecanduan, terutama saat melewati kondisi putus zat/sakaw. Agar pecandu dapat terbebas dari narkotika keluarga harus memahami bahwa ini merupakan langkah yang tepat bagi kehidupan pecandu selanjutnya meskipun harus dilakukan dengan cara paksa. Orang tua, terutama ibu, biasanya tidak tega melihat anaknya harus secara paksa diborgol dan disergap oleh pihak rehabilitasi, sehingga membuatnya tidak dapat bersikap tegas terhadap anaknya. Sadarilah pula bahwa pecandu narkoba yang masih aktif sangat lihai dalam memanipulasi dan berbohong. Mereka dapat saja mengumbar janji untuk segera berhenti menggunakan narkoba atau berpura-pura bahwa mereka sudah berhenti menggunakan narkoba supaya tidak dimasukkan ke rehabilitasi, akan tetapi semakin lama mereka jatuh ke dalam penggunaan narkoba yang terus-menerus, maka akan semakin membahayakan pecandu maupun keluarga itu sendiri.</w:t>
      </w:r>
      <w:r w:rsidRPr="00EF2772">
        <w:rPr>
          <w:rStyle w:val="FootnoteReference"/>
          <w:color w:val="000000"/>
        </w:rPr>
        <w:footnoteReference w:id="39"/>
      </w:r>
    </w:p>
    <w:p w:rsidR="008A044E" w:rsidRPr="00EF2772" w:rsidRDefault="008A044E" w:rsidP="008A044E">
      <w:pPr>
        <w:spacing w:line="480" w:lineRule="auto"/>
        <w:ind w:firstLine="709"/>
        <w:jc w:val="both"/>
        <w:rPr>
          <w:color w:val="000000"/>
        </w:rPr>
      </w:pPr>
      <w:r w:rsidRPr="00EF2772">
        <w:rPr>
          <w:color w:val="000000"/>
          <w:lang w:val="id-ID"/>
        </w:rPr>
        <w:t>B</w:t>
      </w:r>
      <w:r w:rsidRPr="00EF2772">
        <w:rPr>
          <w:color w:val="000000"/>
        </w:rPr>
        <w:t>eberapa kendala yang dihadapi dalam rehabilitasi yaitu:</w:t>
      </w:r>
    </w:p>
    <w:p w:rsidR="008A044E" w:rsidRPr="00EF2772" w:rsidRDefault="008A044E" w:rsidP="008A044E">
      <w:pPr>
        <w:numPr>
          <w:ilvl w:val="0"/>
          <w:numId w:val="29"/>
        </w:numPr>
        <w:tabs>
          <w:tab w:val="left" w:pos="1134"/>
        </w:tabs>
        <w:ind w:left="1134"/>
        <w:jc w:val="both"/>
        <w:rPr>
          <w:color w:val="000000"/>
        </w:rPr>
      </w:pPr>
      <w:r w:rsidRPr="00EF2772">
        <w:rPr>
          <w:color w:val="000000"/>
        </w:rPr>
        <w:t>Kurangnya dukungan terhadap korban untuk direhabilitasi</w:t>
      </w:r>
    </w:p>
    <w:p w:rsidR="008A044E" w:rsidRPr="00EF2772" w:rsidRDefault="008A044E" w:rsidP="008A044E">
      <w:pPr>
        <w:numPr>
          <w:ilvl w:val="0"/>
          <w:numId w:val="29"/>
        </w:numPr>
        <w:tabs>
          <w:tab w:val="left" w:pos="1134"/>
        </w:tabs>
        <w:ind w:left="1134"/>
        <w:jc w:val="both"/>
        <w:rPr>
          <w:color w:val="000000"/>
        </w:rPr>
      </w:pPr>
      <w:r w:rsidRPr="00EF2772">
        <w:rPr>
          <w:color w:val="000000"/>
        </w:rPr>
        <w:t>Kurangnya pemahaman/sosialisasi tentang rehabilitasi di kalangan masyarakat</w:t>
      </w:r>
    </w:p>
    <w:p w:rsidR="008A044E" w:rsidRPr="00EF2772" w:rsidRDefault="008A044E" w:rsidP="008A044E">
      <w:pPr>
        <w:numPr>
          <w:ilvl w:val="0"/>
          <w:numId w:val="29"/>
        </w:numPr>
        <w:tabs>
          <w:tab w:val="left" w:pos="1134"/>
        </w:tabs>
        <w:ind w:left="1134"/>
        <w:jc w:val="both"/>
        <w:rPr>
          <w:color w:val="000000"/>
        </w:rPr>
      </w:pPr>
      <w:r w:rsidRPr="00EF2772">
        <w:rPr>
          <w:color w:val="000000"/>
        </w:rPr>
        <w:t>Setelah residen (bekas pecandu) keluar dari panti dalam arti sudah pulih, sulitnya menghilangkan stigma di masyarakat yang mana hanya keburukan dari perbuatan yang tidak baik yang dilakukan residenlah yang diingat masyarakat walaupun residen tersebut sudah berbuat baik ataupun sudah pulih.</w:t>
      </w:r>
    </w:p>
    <w:p w:rsidR="008A044E" w:rsidRPr="00EF2772" w:rsidRDefault="008A044E" w:rsidP="008A044E">
      <w:pPr>
        <w:numPr>
          <w:ilvl w:val="0"/>
          <w:numId w:val="29"/>
        </w:numPr>
        <w:tabs>
          <w:tab w:val="left" w:pos="1134"/>
        </w:tabs>
        <w:ind w:left="1134"/>
        <w:jc w:val="both"/>
        <w:rPr>
          <w:color w:val="000000"/>
        </w:rPr>
      </w:pPr>
      <w:r w:rsidRPr="00EF2772">
        <w:rPr>
          <w:color w:val="000000"/>
        </w:rPr>
        <w:lastRenderedPageBreak/>
        <w:t>Kurangnya pengetahuan masyarakat khususnya para keluarga pecandu narkoba, bahwa dalam Undang-Undang Narkotika bahwa para pecandu atau pemakai narkotika tidak dipenjara (dihukum) oleh polisi apabila keluarga tersebut melaporkan/membawa anaknya ke pusat rehabilitasi atau kantor BNN.</w:t>
      </w:r>
    </w:p>
    <w:p w:rsidR="008A044E" w:rsidRPr="00EF2772" w:rsidRDefault="008A044E" w:rsidP="008A044E">
      <w:pPr>
        <w:numPr>
          <w:ilvl w:val="0"/>
          <w:numId w:val="29"/>
        </w:numPr>
        <w:tabs>
          <w:tab w:val="left" w:pos="1134"/>
        </w:tabs>
        <w:ind w:left="1134"/>
        <w:jc w:val="both"/>
        <w:rPr>
          <w:color w:val="000000"/>
        </w:rPr>
      </w:pPr>
      <w:r w:rsidRPr="00EF2772">
        <w:rPr>
          <w:color w:val="000000"/>
        </w:rPr>
        <w:t xml:space="preserve">Takutnya para orang tua akan rusaknya pencitraan mereka apabila diketahui anaknya adalah pecandu narkoba. </w:t>
      </w:r>
    </w:p>
    <w:p w:rsidR="008A044E" w:rsidRPr="00EF2772" w:rsidRDefault="008A044E" w:rsidP="008A044E">
      <w:pPr>
        <w:numPr>
          <w:ilvl w:val="0"/>
          <w:numId w:val="29"/>
        </w:numPr>
        <w:tabs>
          <w:tab w:val="left" w:pos="1134"/>
        </w:tabs>
        <w:ind w:left="1134"/>
        <w:jc w:val="both"/>
        <w:rPr>
          <w:color w:val="000000"/>
        </w:rPr>
      </w:pPr>
      <w:r w:rsidRPr="00EF2772">
        <w:rPr>
          <w:color w:val="000000"/>
        </w:rPr>
        <w:t xml:space="preserve">Masih banyaknya yang tidak mengetahui bahwa kegiatan ini semuanya ditanggung oleh pemerintah (gratis). </w:t>
      </w:r>
      <w:r w:rsidRPr="00EF2772">
        <w:rPr>
          <w:rStyle w:val="FootnoteReference"/>
          <w:color w:val="000000"/>
        </w:rPr>
        <w:footnoteReference w:id="40"/>
      </w:r>
    </w:p>
    <w:p w:rsidR="008A044E" w:rsidRPr="00EF2772" w:rsidRDefault="008A044E" w:rsidP="008A044E">
      <w:pPr>
        <w:tabs>
          <w:tab w:val="left" w:pos="1134"/>
        </w:tabs>
        <w:ind w:left="1134"/>
        <w:jc w:val="both"/>
        <w:rPr>
          <w:color w:val="000000"/>
        </w:rPr>
      </w:pPr>
    </w:p>
    <w:p w:rsidR="008A044E" w:rsidRPr="00EF2772" w:rsidRDefault="008A044E" w:rsidP="008A044E">
      <w:pPr>
        <w:autoSpaceDE w:val="0"/>
        <w:autoSpaceDN w:val="0"/>
        <w:adjustRightInd w:val="0"/>
        <w:spacing w:line="480" w:lineRule="auto"/>
        <w:ind w:firstLine="720"/>
        <w:jc w:val="both"/>
        <w:rPr>
          <w:bCs/>
          <w:color w:val="000000"/>
        </w:rPr>
      </w:pPr>
      <w:r w:rsidRPr="00EF2772">
        <w:rPr>
          <w:bCs/>
          <w:color w:val="000000"/>
        </w:rPr>
        <w:t>Berdasarkan hal tersebut, maka hambatan dalam pelaksanaan rehabilitasi terhadap pecandu narkotika adalah:</w:t>
      </w:r>
      <w:r w:rsidRPr="00EF2772">
        <w:rPr>
          <w:rStyle w:val="FootnoteReference"/>
          <w:color w:val="000000"/>
        </w:rPr>
        <w:footnoteReference w:id="41"/>
      </w:r>
    </w:p>
    <w:p w:rsidR="008A044E" w:rsidRPr="00EF2772" w:rsidRDefault="008A044E" w:rsidP="008A044E">
      <w:pPr>
        <w:numPr>
          <w:ilvl w:val="0"/>
          <w:numId w:val="30"/>
        </w:numPr>
        <w:autoSpaceDE w:val="0"/>
        <w:autoSpaceDN w:val="0"/>
        <w:adjustRightInd w:val="0"/>
        <w:spacing w:line="480" w:lineRule="auto"/>
        <w:ind w:left="360"/>
        <w:jc w:val="both"/>
        <w:rPr>
          <w:color w:val="000000"/>
        </w:rPr>
      </w:pPr>
      <w:r w:rsidRPr="00EF2772">
        <w:rPr>
          <w:bCs/>
          <w:color w:val="000000"/>
        </w:rPr>
        <w:t xml:space="preserve">Hambatan Eksternal </w:t>
      </w:r>
    </w:p>
    <w:p w:rsidR="008A044E" w:rsidRPr="00EF2772" w:rsidRDefault="008A044E" w:rsidP="008A044E">
      <w:pPr>
        <w:autoSpaceDE w:val="0"/>
        <w:autoSpaceDN w:val="0"/>
        <w:adjustRightInd w:val="0"/>
        <w:spacing w:line="480" w:lineRule="auto"/>
        <w:ind w:firstLine="720"/>
        <w:jc w:val="both"/>
        <w:rPr>
          <w:color w:val="000000"/>
        </w:rPr>
      </w:pPr>
      <w:r w:rsidRPr="00EF2772">
        <w:rPr>
          <w:color w:val="000000"/>
        </w:rPr>
        <w:t>Hambatan eksternal dalam hal ini dilihat dari konteks kebijakan. Kebijakan internal memberi ruang diskriminasi kepada calon penerima manfaat. Dimana setiap calon penerima manfaat rehabilitasi harus memenuhi SOP (Standar Operasional Prosedural) administrasi. Misalnya ditolak karena tidak memenuhi syarat kelengkapan dokumen administrasi, seperti akta kelahiran, ijazah yang terakhir dan lain-lain. Hal ini menjadi suatu kesulitan terhadap calon penerima manfaat khususnya untuk kelas menengah kebawah guna mendapatkan rehabilitasi sosial.</w:t>
      </w:r>
      <w:r w:rsidRPr="00EF2772">
        <w:rPr>
          <w:rStyle w:val="FootnoteReference"/>
          <w:color w:val="000000"/>
        </w:rPr>
        <w:footnoteReference w:id="42"/>
      </w:r>
    </w:p>
    <w:p w:rsidR="008A044E" w:rsidRPr="00EF2772" w:rsidRDefault="008A044E" w:rsidP="008A044E">
      <w:pPr>
        <w:autoSpaceDE w:val="0"/>
        <w:autoSpaceDN w:val="0"/>
        <w:adjustRightInd w:val="0"/>
        <w:spacing w:line="480" w:lineRule="auto"/>
        <w:ind w:firstLine="720"/>
        <w:jc w:val="both"/>
        <w:rPr>
          <w:color w:val="000000"/>
        </w:rPr>
      </w:pPr>
      <w:r w:rsidRPr="00EF2772">
        <w:rPr>
          <w:color w:val="000000"/>
        </w:rPr>
        <w:t xml:space="preserve">Di sisi lainnya kebijakan dalam penegakan hukum pidana tidak sejalan antara aplikasi dan eksekusi. Hal tersebut lebih didominasi oleh pelaku pengguna atau pecandu narkotika yang penempatannya berorientasi kepada pidana penjara di Lembaga Pemasyarakatan dalam memberikan pembinaan perubahan sikap dan mental. Sedangkan Undang-undang Narkotika berasaskan pengayoman dan perlindungan bagi para pecandu dan korban narkotika.Mengacu kepada kerangka </w:t>
      </w:r>
      <w:r w:rsidRPr="00EF2772">
        <w:rPr>
          <w:color w:val="000000"/>
        </w:rPr>
        <w:lastRenderedPageBreak/>
        <w:t xml:space="preserve">teori sebagai pisau analisis terhadap bahwa undang-undang yang baik adalah yang memberikan kebahagian yang besar kepada semua orang termasuk pecandu dan pengguna narkotika. </w:t>
      </w:r>
    </w:p>
    <w:p w:rsidR="008A044E" w:rsidRPr="00EF2772" w:rsidRDefault="008A044E" w:rsidP="008A044E">
      <w:pPr>
        <w:numPr>
          <w:ilvl w:val="0"/>
          <w:numId w:val="30"/>
        </w:numPr>
        <w:autoSpaceDE w:val="0"/>
        <w:autoSpaceDN w:val="0"/>
        <w:adjustRightInd w:val="0"/>
        <w:spacing w:line="480" w:lineRule="auto"/>
        <w:ind w:left="360"/>
        <w:jc w:val="both"/>
        <w:rPr>
          <w:color w:val="000000"/>
        </w:rPr>
      </w:pPr>
      <w:r w:rsidRPr="00EF2772">
        <w:rPr>
          <w:bCs/>
          <w:color w:val="000000"/>
        </w:rPr>
        <w:t xml:space="preserve">Hambatan Internal </w:t>
      </w:r>
    </w:p>
    <w:p w:rsidR="008A044E" w:rsidRPr="00EF2772" w:rsidRDefault="008A044E" w:rsidP="008A044E">
      <w:pPr>
        <w:autoSpaceDE w:val="0"/>
        <w:autoSpaceDN w:val="0"/>
        <w:adjustRightInd w:val="0"/>
        <w:spacing w:line="480" w:lineRule="auto"/>
        <w:ind w:firstLine="720"/>
        <w:jc w:val="both"/>
        <w:rPr>
          <w:color w:val="000000"/>
        </w:rPr>
      </w:pPr>
      <w:r w:rsidRPr="00EF2772">
        <w:rPr>
          <w:color w:val="000000"/>
        </w:rPr>
        <w:t>Hambatan internal meliputi hambatan dari sumber daya manusia, model rehabilitasi yang digunakan, dan pengawasan. Adanya tahapan kegiatan yang belum maksimal oleh institusi (pelaksana) mencakup pendekatan awal, sampai pembinaan lanjut membutuhkan ruang sosialisasi yang lebih panjang dan berkelanjutan di masyarakat. Hal ini bertujuan untuk menyampaikan eksistensi lembaga dimaksud sebagai pelaksana program rehabilitasi sosial pada para pecandu dan korban penyalahgunaan narkotika. Setiap terapis yang bekerja dalam pusat pemulihan adiksi narkoba memahami bahwa hubungan antara terapis-klien/ pasien memegang peran kunci dalam upaya pemulihan. Terapis yang handal memiliki keterampilan yang baik dalam menangani relasi tersebut. Sumber daya manusia sebagai bagian terpenting pelaksanaan proses rehabilitasi juga menjadi masalah yang dapat menjadi hambatan.</w:t>
      </w:r>
      <w:r w:rsidRPr="00EF2772">
        <w:rPr>
          <w:rStyle w:val="FootnoteReference"/>
          <w:color w:val="000000"/>
        </w:rPr>
        <w:footnoteReference w:id="43"/>
      </w:r>
    </w:p>
    <w:p w:rsidR="008A044E" w:rsidRPr="00EF2772" w:rsidRDefault="008A044E" w:rsidP="008A044E">
      <w:pPr>
        <w:autoSpaceDE w:val="0"/>
        <w:autoSpaceDN w:val="0"/>
        <w:adjustRightInd w:val="0"/>
        <w:spacing w:line="480" w:lineRule="auto"/>
        <w:ind w:firstLine="720"/>
        <w:jc w:val="both"/>
        <w:rPr>
          <w:color w:val="000000"/>
        </w:rPr>
      </w:pPr>
      <w:r w:rsidRPr="00EF2772">
        <w:rPr>
          <w:color w:val="000000"/>
        </w:rPr>
        <w:t xml:space="preserve">Jumlah yang sangat terbatas dan tidak sebanding dengan jumlah penerima manfaat, perbedaan gender antara petugas pelayanan sosial dan penerima manfaat, kurangnya kemampuan dalam memahami peran, tugas pokok dan fungsi penugasan, lemahnya sistem kordinasi antar bidang pelayanan, lambannya sistem informasi yang dibutuhkan oleh petugas untuk selalu memutakhirkan pengetahuan sampai kepada perlunya menjalin komunikasi yang baik dengan pihak luar panti </w:t>
      </w:r>
      <w:r w:rsidRPr="00EF2772">
        <w:rPr>
          <w:color w:val="000000"/>
        </w:rPr>
        <w:lastRenderedPageBreak/>
        <w:t xml:space="preserve">rehabilitasi, terutama dengan keluarga penerima manfaat guna mendorong hasil yang lebih maksimal menjadi hal-hal yang memerlukan perhatian untuk terus mendapat perbaikan berkaitan dengan pengembangan sumber daya manusia. </w:t>
      </w:r>
      <w:r w:rsidRPr="00EF2772">
        <w:rPr>
          <w:rStyle w:val="FootnoteReference"/>
          <w:color w:val="000000"/>
        </w:rPr>
        <w:footnoteReference w:id="44"/>
      </w:r>
    </w:p>
    <w:p w:rsidR="008A044E" w:rsidRPr="00EF2772" w:rsidRDefault="008A044E" w:rsidP="008A044E">
      <w:pPr>
        <w:autoSpaceDE w:val="0"/>
        <w:autoSpaceDN w:val="0"/>
        <w:adjustRightInd w:val="0"/>
        <w:spacing w:line="468" w:lineRule="auto"/>
        <w:ind w:firstLine="720"/>
        <w:jc w:val="both"/>
        <w:rPr>
          <w:color w:val="000000"/>
        </w:rPr>
      </w:pPr>
      <w:r w:rsidRPr="00EF2772">
        <w:rPr>
          <w:color w:val="000000"/>
        </w:rPr>
        <w:t xml:space="preserve">Meningkatnya jumlah korban penyalahgunaan narkoba menjadikan peran terapis dan rehabilitasi memiliki kemampuan yang berbeda. Tingkat pemahaman personal pekerja sosial tidak memiliki kesamaan satu sama lain ditambah tidak adanya pedoman yang menjadi acuan dalam memberikan layanan yang pada akhirnya berdampak pada penerima manfaat tidak sesuai yang diharapkan, sedangkan pusat Rehabilitasi Sosial Korban Penyalahgunaan Narkotika, Psikotropika dan Zat Adiktif (NAPZA) memiliki tugas pokok dan fungsi melakukan upaya-upaya penanggulangan masalah penyalahgunaan NAPZA baik yang bersifat rehabilitatif, preventif, promotif dan bertanggung jawab langsung kepada Direktorat Pelayanan dan Rehabilitasi Sosial Korban Penyalahgunaan NAPZA. Oleh sebab itu, sangat diperlukan pengkajian sebagai upaya untuk mengembangkan sistem pelayanan sosial yang terpadu dan menyeluruh yang berguna bagi masyarakat secara umum dan kepada para penerima manfaat sebgai pecandu dan korban narkotika secara khusus. Metode terapi yang digunakan di PSPP Insyaf adalah </w:t>
      </w:r>
      <w:r w:rsidRPr="00EF2772">
        <w:rPr>
          <w:i/>
          <w:iCs/>
          <w:color w:val="000000"/>
        </w:rPr>
        <w:t>therapeutic community</w:t>
      </w:r>
      <w:r w:rsidRPr="00EF2772">
        <w:rPr>
          <w:color w:val="000000"/>
        </w:rPr>
        <w:t xml:space="preserve">. </w:t>
      </w:r>
      <w:r w:rsidRPr="00EF2772">
        <w:rPr>
          <w:i/>
          <w:iCs/>
          <w:color w:val="000000"/>
        </w:rPr>
        <w:t xml:space="preserve">Therapeutic Community </w:t>
      </w:r>
      <w:r w:rsidRPr="00EF2772">
        <w:rPr>
          <w:color w:val="000000"/>
        </w:rPr>
        <w:t xml:space="preserve">adalah sekelompok orang yang mempunyai masalah yang sama, mereka berkumpul untuk saling membantu dalam mengatasi masalah yang dihadapinya. Dengan kata lain, </w:t>
      </w:r>
      <w:r w:rsidRPr="00EF2772">
        <w:rPr>
          <w:i/>
          <w:iCs/>
          <w:color w:val="000000"/>
        </w:rPr>
        <w:t xml:space="preserve">man helping man to help himself </w:t>
      </w:r>
      <w:r w:rsidRPr="00EF2772">
        <w:rPr>
          <w:color w:val="000000"/>
        </w:rPr>
        <w:t xml:space="preserve"> yaitu seseorang menolong orang lain untuk menolong dirinya sendiri.</w:t>
      </w:r>
      <w:r w:rsidRPr="00EF2772">
        <w:rPr>
          <w:rStyle w:val="FootnoteReference"/>
          <w:color w:val="000000"/>
        </w:rPr>
        <w:footnoteReference w:id="45"/>
      </w:r>
    </w:p>
    <w:p w:rsidR="008A044E" w:rsidRPr="00EF2772" w:rsidRDefault="008A044E" w:rsidP="008A044E">
      <w:pPr>
        <w:spacing w:line="480" w:lineRule="auto"/>
        <w:ind w:firstLine="709"/>
        <w:jc w:val="both"/>
        <w:rPr>
          <w:color w:val="000000"/>
        </w:rPr>
      </w:pPr>
      <w:r w:rsidRPr="00EF2772">
        <w:rPr>
          <w:color w:val="000000"/>
        </w:rPr>
        <w:lastRenderedPageBreak/>
        <w:t xml:space="preserve">Setiap penghuni memiliki tingkat kecanduan narkotika yang berbeda sehingga mereka dikelompokan dalam beberapa program. Program yang dimaksud terdiri dari, Pelayanan untuk ketergantungan yakni; </w:t>
      </w:r>
      <w:r w:rsidRPr="00EF2772">
        <w:rPr>
          <w:i/>
          <w:iCs/>
          <w:color w:val="000000"/>
        </w:rPr>
        <w:t xml:space="preserve">Entry Unit, Primary </w:t>
      </w:r>
      <w:r w:rsidRPr="00EF2772">
        <w:rPr>
          <w:color w:val="000000"/>
        </w:rPr>
        <w:t xml:space="preserve">dan </w:t>
      </w:r>
      <w:r w:rsidRPr="00EF2772">
        <w:rPr>
          <w:i/>
          <w:iCs/>
          <w:color w:val="000000"/>
        </w:rPr>
        <w:t xml:space="preserve">Re-entry </w:t>
      </w:r>
      <w:r w:rsidRPr="00EF2772">
        <w:rPr>
          <w:color w:val="000000"/>
        </w:rPr>
        <w:t xml:space="preserve">A, sedangkan untuk pelayanan yang coba-coba adalah Program </w:t>
      </w:r>
      <w:r w:rsidRPr="00EF2772">
        <w:rPr>
          <w:i/>
          <w:iCs/>
          <w:color w:val="000000"/>
        </w:rPr>
        <w:t xml:space="preserve">Re-entry </w:t>
      </w:r>
      <w:r w:rsidRPr="00EF2772">
        <w:rPr>
          <w:color w:val="000000"/>
        </w:rPr>
        <w:t xml:space="preserve">B. </w:t>
      </w:r>
      <w:r w:rsidRPr="00EF2772">
        <w:rPr>
          <w:i/>
          <w:iCs/>
          <w:color w:val="000000"/>
        </w:rPr>
        <w:t xml:space="preserve">Entry Unit </w:t>
      </w:r>
      <w:r w:rsidRPr="00EF2772">
        <w:rPr>
          <w:color w:val="000000"/>
        </w:rPr>
        <w:t xml:space="preserve">yang disebut juga sebagai program detoksifikasi dengan jangka waktu perawatan selama 3 bulan, </w:t>
      </w:r>
      <w:r w:rsidRPr="00EF2772">
        <w:rPr>
          <w:i/>
          <w:iCs/>
          <w:color w:val="000000"/>
        </w:rPr>
        <w:t xml:space="preserve">primary </w:t>
      </w:r>
      <w:r w:rsidRPr="00EF2772">
        <w:rPr>
          <w:color w:val="000000"/>
        </w:rPr>
        <w:t xml:space="preserve">dengan jangka waktu perawatan selama 6 bulan dan Re-entry A dengan jangka waktu 6 bulan. Sedangkan </w:t>
      </w:r>
      <w:r w:rsidRPr="00EF2772">
        <w:rPr>
          <w:i/>
          <w:iCs/>
          <w:color w:val="000000"/>
        </w:rPr>
        <w:t xml:space="preserve">Re-entry </w:t>
      </w:r>
      <w:r w:rsidRPr="00EF2772">
        <w:rPr>
          <w:color w:val="000000"/>
        </w:rPr>
        <w:t>B dengan jangka waktu 12 bulan, program ini yang paling banyak jumlah penerima manfaatnya. Pengawasan dilakukan sesuai dengan kebijakan yang diterapkan.</w:t>
      </w:r>
      <w:r w:rsidRPr="00EF2772">
        <w:rPr>
          <w:rStyle w:val="FootnoteReference"/>
          <w:color w:val="000000"/>
        </w:rPr>
        <w:footnoteReference w:id="46"/>
      </w:r>
    </w:p>
    <w:p w:rsidR="008A044E" w:rsidRPr="00EF2772" w:rsidRDefault="008A044E" w:rsidP="008A044E">
      <w:pPr>
        <w:spacing w:line="480" w:lineRule="auto"/>
        <w:ind w:firstLine="709"/>
        <w:jc w:val="both"/>
        <w:rPr>
          <w:color w:val="000000"/>
          <w:lang w:val="id-ID"/>
        </w:rPr>
      </w:pPr>
      <w:r w:rsidRPr="00EF2772">
        <w:rPr>
          <w:color w:val="000000"/>
        </w:rPr>
        <w:t>Upaya mengatasinya adalah dengan memberikan penyuluhan atau sosialisasi bahwa rehabilitasi tersebut bukan sama dengan penjara melainkan merubah pola kehidupan pecandu dari yang tidak baik menjadi baik dan menghimau agar masyarakat yang mengetahui ada tetangga atau kerabat yang baru selesai melakukan rehabilitasi untuk menerima kembali dan tidak diasingkan sebab hal ini menyebabkan sulitnya menyembuhkan atau mengembalikan seorang bekas pecandu yang sudah direhabilitasi untuk kembali ke dunia sosial seperti halnya masyarakat yang lain</w:t>
      </w:r>
      <w:r w:rsidRPr="00EF2772">
        <w:rPr>
          <w:color w:val="000000"/>
          <w:lang w:val="id-ID"/>
        </w:rPr>
        <w:t>.</w:t>
      </w:r>
    </w:p>
    <w:p w:rsidR="008A044E" w:rsidRPr="00EF2772" w:rsidRDefault="008A044E" w:rsidP="008A044E">
      <w:pPr>
        <w:spacing w:line="480" w:lineRule="auto"/>
        <w:ind w:firstLine="709"/>
        <w:jc w:val="both"/>
        <w:rPr>
          <w:lang w:val="en-ID" w:eastAsia="en-ID"/>
        </w:rPr>
      </w:pPr>
      <w:r w:rsidRPr="00EF2772">
        <w:rPr>
          <w:color w:val="000000"/>
        </w:rPr>
        <w:t xml:space="preserve">Berdasarkan uraian di atas, maka kendala yang </w:t>
      </w:r>
      <w:r w:rsidRPr="00EF2772">
        <w:rPr>
          <w:lang w:val="en-ID" w:eastAsia="en-ID"/>
        </w:rPr>
        <w:t>menyebabkan pecandu narkoba tidak mau untuk dilakukan rehabilitasi adalah :</w:t>
      </w:r>
    </w:p>
    <w:p w:rsidR="008A044E" w:rsidRPr="00EF2772" w:rsidRDefault="008A044E" w:rsidP="008A044E">
      <w:pPr>
        <w:numPr>
          <w:ilvl w:val="3"/>
          <w:numId w:val="28"/>
        </w:numPr>
        <w:tabs>
          <w:tab w:val="clear" w:pos="2880"/>
          <w:tab w:val="left" w:pos="426"/>
        </w:tabs>
        <w:autoSpaceDE w:val="0"/>
        <w:autoSpaceDN w:val="0"/>
        <w:adjustRightInd w:val="0"/>
        <w:spacing w:line="480" w:lineRule="auto"/>
        <w:ind w:left="426" w:hanging="426"/>
        <w:jc w:val="both"/>
        <w:rPr>
          <w:lang w:val="en-ID" w:eastAsia="en-ID"/>
        </w:rPr>
      </w:pPr>
      <w:r w:rsidRPr="00EF2772">
        <w:rPr>
          <w:lang w:val="en-ID" w:eastAsia="en-ID"/>
        </w:rPr>
        <w:t xml:space="preserve">Pecandu ternyata sudah mengalami kondisi setengah gila ataupun sudah mengalami penyakit parah yang perlu penanganan medis khusus. Hal ini </w:t>
      </w:r>
      <w:r w:rsidRPr="00EF2772">
        <w:rPr>
          <w:lang w:val="en-ID" w:eastAsia="en-ID"/>
        </w:rPr>
        <w:lastRenderedPageBreak/>
        <w:t xml:space="preserve">dikarenakan pemakaian narkotika yang telah bertahun-tahun dan sudah mengarah menjadi pecandu berat. </w:t>
      </w:r>
    </w:p>
    <w:p w:rsidR="008A044E" w:rsidRPr="00EF2772" w:rsidRDefault="008A044E" w:rsidP="008A044E">
      <w:pPr>
        <w:numPr>
          <w:ilvl w:val="3"/>
          <w:numId w:val="28"/>
        </w:numPr>
        <w:tabs>
          <w:tab w:val="clear" w:pos="2880"/>
          <w:tab w:val="left" w:pos="426"/>
        </w:tabs>
        <w:autoSpaceDE w:val="0"/>
        <w:autoSpaceDN w:val="0"/>
        <w:adjustRightInd w:val="0"/>
        <w:spacing w:line="480" w:lineRule="auto"/>
        <w:ind w:left="426" w:hanging="426"/>
        <w:jc w:val="both"/>
        <w:rPr>
          <w:lang w:val="en-ID" w:eastAsia="en-ID"/>
        </w:rPr>
      </w:pPr>
      <w:r w:rsidRPr="00EF2772">
        <w:rPr>
          <w:lang w:val="en-ID" w:eastAsia="en-ID"/>
        </w:rPr>
        <w:t>Pecandu belum mau terbuka dan sadar bahwa narkotika itu sangat berbahaya. Pecandu takut dijadikan target operasi.</w:t>
      </w:r>
    </w:p>
    <w:p w:rsidR="008A044E" w:rsidRPr="00EF2772" w:rsidRDefault="008A044E" w:rsidP="008A044E">
      <w:pPr>
        <w:numPr>
          <w:ilvl w:val="3"/>
          <w:numId w:val="28"/>
        </w:numPr>
        <w:tabs>
          <w:tab w:val="clear" w:pos="2880"/>
          <w:tab w:val="left" w:pos="426"/>
        </w:tabs>
        <w:autoSpaceDE w:val="0"/>
        <w:autoSpaceDN w:val="0"/>
        <w:adjustRightInd w:val="0"/>
        <w:spacing w:line="480" w:lineRule="auto"/>
        <w:ind w:left="426" w:hanging="426"/>
        <w:jc w:val="both"/>
        <w:rPr>
          <w:lang w:val="en-ID" w:eastAsia="en-ID"/>
        </w:rPr>
      </w:pPr>
      <w:r w:rsidRPr="00EF2772">
        <w:rPr>
          <w:lang w:val="en-ID" w:eastAsia="en-ID"/>
        </w:rPr>
        <w:t xml:space="preserve">Faktor Keluarga. Berhasil tidaknya proses rehabilitasi yang dilakukan juga ditentukan oleh dukungan keluarga. Bahkan masih banyak masyarakat yang keluarganya merupakan pecandu narkotika belum melaporkan diri. Masyarakat belum punya budaya rehabilitasi secara sukarela. </w:t>
      </w:r>
    </w:p>
    <w:p w:rsidR="008A044E" w:rsidRPr="00EF2772" w:rsidRDefault="008A044E" w:rsidP="008A044E">
      <w:pPr>
        <w:numPr>
          <w:ilvl w:val="3"/>
          <w:numId w:val="28"/>
        </w:numPr>
        <w:tabs>
          <w:tab w:val="clear" w:pos="2880"/>
          <w:tab w:val="left" w:pos="426"/>
        </w:tabs>
        <w:autoSpaceDE w:val="0"/>
        <w:autoSpaceDN w:val="0"/>
        <w:adjustRightInd w:val="0"/>
        <w:spacing w:line="480" w:lineRule="auto"/>
        <w:ind w:left="426" w:hanging="426"/>
        <w:jc w:val="both"/>
        <w:rPr>
          <w:lang w:val="en-ID" w:eastAsia="en-ID"/>
        </w:rPr>
      </w:pPr>
      <w:r w:rsidRPr="00EF2772">
        <w:rPr>
          <w:lang w:val="en-ID" w:eastAsia="en-ID"/>
        </w:rPr>
        <w:t>Pandangan Kepolisian yang masih menerapkan pidana penjara bagi pecandu narkotika. Para penyidik polisi masih bertahan dengan pandangan bahwa tempat rehabilitasi belum memadai dan jumlahnya belum sesuai kebutuhan.</w:t>
      </w:r>
      <w:r w:rsidRPr="00EF2772">
        <w:rPr>
          <w:rStyle w:val="FootnoteReference"/>
          <w:lang w:val="en-ID" w:eastAsia="en-ID"/>
        </w:rPr>
        <w:footnoteReference w:id="47"/>
      </w:r>
    </w:p>
    <w:p w:rsidR="008A044E" w:rsidRPr="00EF2772" w:rsidRDefault="008A044E" w:rsidP="008A044E">
      <w:pPr>
        <w:tabs>
          <w:tab w:val="left" w:pos="993"/>
        </w:tabs>
        <w:autoSpaceDE w:val="0"/>
        <w:autoSpaceDN w:val="0"/>
        <w:adjustRightInd w:val="0"/>
        <w:ind w:left="993"/>
        <w:jc w:val="both"/>
        <w:rPr>
          <w:lang w:val="en-ID" w:eastAsia="en-ID"/>
        </w:rPr>
      </w:pPr>
    </w:p>
    <w:p w:rsidR="008A044E" w:rsidRPr="00EF2772" w:rsidRDefault="008A044E" w:rsidP="008A044E">
      <w:pPr>
        <w:numPr>
          <w:ilvl w:val="7"/>
          <w:numId w:val="27"/>
        </w:numPr>
        <w:tabs>
          <w:tab w:val="clear" w:pos="5400"/>
          <w:tab w:val="num" w:pos="360"/>
          <w:tab w:val="num" w:pos="5760"/>
        </w:tabs>
        <w:autoSpaceDE w:val="0"/>
        <w:autoSpaceDN w:val="0"/>
        <w:adjustRightInd w:val="0"/>
        <w:spacing w:line="480" w:lineRule="auto"/>
        <w:ind w:left="360"/>
        <w:jc w:val="both"/>
        <w:rPr>
          <w:b/>
          <w:color w:val="000000"/>
          <w:lang w:val="sv-SE"/>
        </w:rPr>
      </w:pPr>
      <w:r w:rsidRPr="00EF2772">
        <w:rPr>
          <w:b/>
          <w:color w:val="000000"/>
          <w:lang w:val="sv-SE"/>
        </w:rPr>
        <w:t xml:space="preserve">Pertimbangan Hukum Hakim Dalam </w:t>
      </w:r>
      <w:r w:rsidRPr="00EF2772">
        <w:rPr>
          <w:b/>
          <w:color w:val="000000"/>
        </w:rPr>
        <w:t xml:space="preserve">Menjatuhkan Pidana Penjara Dan Rehabilitasi </w:t>
      </w:r>
      <w:r w:rsidRPr="00EF2772">
        <w:rPr>
          <w:b/>
          <w:color w:val="000000"/>
          <w:lang w:val="fi-FI"/>
        </w:rPr>
        <w:t>Pengguna Narkotika</w:t>
      </w:r>
    </w:p>
    <w:p w:rsidR="008A044E" w:rsidRPr="00EF2772" w:rsidRDefault="008A044E" w:rsidP="008A044E">
      <w:pPr>
        <w:spacing w:line="480" w:lineRule="auto"/>
        <w:ind w:firstLine="709"/>
        <w:jc w:val="both"/>
        <w:rPr>
          <w:bCs/>
          <w:color w:val="000000"/>
          <w:lang w:eastAsia="id-ID"/>
        </w:rPr>
      </w:pPr>
      <w:r w:rsidRPr="00EF2772">
        <w:rPr>
          <w:color w:val="000000"/>
        </w:rPr>
        <w:t xml:space="preserve">Mengetahui </w:t>
      </w:r>
      <w:r w:rsidRPr="00EF2772">
        <w:rPr>
          <w:color w:val="000000"/>
          <w:lang w:val="sv-SE"/>
        </w:rPr>
        <w:t xml:space="preserve">pertimbangan hukum hakim dalam </w:t>
      </w:r>
      <w:r w:rsidRPr="00EF2772">
        <w:rPr>
          <w:color w:val="000000"/>
        </w:rPr>
        <w:t xml:space="preserve">menjatuhkan pidana penjara dan rehabilitasi </w:t>
      </w:r>
      <w:r w:rsidRPr="00EF2772">
        <w:rPr>
          <w:color w:val="000000"/>
          <w:lang w:val="fi-FI"/>
        </w:rPr>
        <w:t xml:space="preserve">pengguna narkotika, maka dikemukakan kasus putusan Mahkamah Agung Nomor </w:t>
      </w:r>
      <w:r w:rsidRPr="00EF2772">
        <w:rPr>
          <w:color w:val="000000"/>
        </w:rPr>
        <w:t xml:space="preserve">3749 K/Pid.Sus/2020dengan terdakwa </w:t>
      </w:r>
      <w:r w:rsidRPr="00EF2772">
        <w:rPr>
          <w:bCs/>
          <w:color w:val="000000"/>
          <w:lang w:val="id-ID" w:eastAsia="id-ID"/>
        </w:rPr>
        <w:t>Moh. Iswan Kandari Alias Kenedy</w:t>
      </w:r>
      <w:r w:rsidRPr="00EF2772">
        <w:rPr>
          <w:color w:val="000000"/>
          <w:lang w:val="id-ID" w:eastAsia="id-ID"/>
        </w:rPr>
        <w:t xml:space="preserve">pada hari Kamis tanggal 15 Agustus 2019 sekitar pukul 17.45 Waktu Indonesia Bagian Tengah (WITA), atau setidak-tidaknya pada suatu waktu lain dalam bulan Agustus tahun 2019, bertempat di Jalan Jakarta Kelurahan Dulalowo Kec. Kota Tengah Kota Gorontalo, atau setidak-tidaknya pada suatu tempat lain yang masih termasuk dalam daerah hukum Pengadilan Negeri </w:t>
      </w:r>
      <w:r w:rsidRPr="00EF2772">
        <w:rPr>
          <w:color w:val="000000"/>
          <w:lang w:val="id-ID" w:eastAsia="id-ID"/>
        </w:rPr>
        <w:lastRenderedPageBreak/>
        <w:t>Gorontalo</w:t>
      </w:r>
      <w:r w:rsidRPr="00EF2772">
        <w:rPr>
          <w:b/>
          <w:bCs/>
          <w:color w:val="000000"/>
          <w:lang w:val="id-ID" w:eastAsia="id-ID"/>
        </w:rPr>
        <w:t xml:space="preserve">, </w:t>
      </w:r>
      <w:r w:rsidRPr="00EF2772">
        <w:rPr>
          <w:bCs/>
          <w:color w:val="000000"/>
          <w:lang w:val="id-ID" w:eastAsia="id-ID"/>
        </w:rPr>
        <w:t>yang tanpa hak atau melawan hukum, memiliki, menyimpan, menguasai, atau menyediakan Narkotika Golongan I bukan tanaman</w:t>
      </w:r>
      <w:r w:rsidRPr="00EF2772">
        <w:rPr>
          <w:bCs/>
          <w:color w:val="000000"/>
          <w:lang w:eastAsia="id-ID"/>
        </w:rPr>
        <w:t>.</w:t>
      </w:r>
    </w:p>
    <w:p w:rsidR="008A044E" w:rsidRPr="00EF2772" w:rsidRDefault="008A044E" w:rsidP="008A044E">
      <w:pPr>
        <w:spacing w:line="480" w:lineRule="auto"/>
        <w:ind w:firstLine="709"/>
        <w:jc w:val="both"/>
        <w:rPr>
          <w:bCs/>
          <w:color w:val="000000"/>
          <w:lang w:eastAsia="id-ID"/>
        </w:rPr>
      </w:pPr>
      <w:r w:rsidRPr="00EF2772">
        <w:rPr>
          <w:bCs/>
          <w:color w:val="000000"/>
          <w:lang w:eastAsia="id-ID"/>
        </w:rPr>
        <w:t xml:space="preserve">Akibat perbutannya tersebut terdakwa di dakwa </w:t>
      </w:r>
      <w:r w:rsidRPr="00EF2772">
        <w:rPr>
          <w:color w:val="000000"/>
        </w:rPr>
        <w:t>Jaksa Penuntut Umum sebagai berikut :</w:t>
      </w:r>
    </w:p>
    <w:p w:rsidR="008A044E" w:rsidRPr="00EF2772" w:rsidRDefault="008A044E" w:rsidP="008A044E">
      <w:pPr>
        <w:numPr>
          <w:ilvl w:val="6"/>
          <w:numId w:val="28"/>
        </w:numPr>
        <w:tabs>
          <w:tab w:val="clear" w:pos="5040"/>
          <w:tab w:val="num" w:pos="360"/>
        </w:tabs>
        <w:spacing w:line="480" w:lineRule="auto"/>
        <w:ind w:left="360"/>
        <w:jc w:val="both"/>
        <w:rPr>
          <w:color w:val="000000"/>
        </w:rPr>
      </w:pPr>
      <w:r w:rsidRPr="00EF2772">
        <w:rPr>
          <w:color w:val="000000"/>
        </w:rPr>
        <w:t xml:space="preserve">Dakwaan </w:t>
      </w:r>
      <w:r w:rsidRPr="00EF2772">
        <w:rPr>
          <w:color w:val="000000"/>
          <w:lang w:val="id-ID"/>
        </w:rPr>
        <w:t>Kesatu</w:t>
      </w:r>
      <w:r w:rsidRPr="00EF2772">
        <w:rPr>
          <w:color w:val="000000"/>
        </w:rPr>
        <w:t>.</w:t>
      </w:r>
    </w:p>
    <w:p w:rsidR="008A044E" w:rsidRPr="00EF2772" w:rsidRDefault="008A044E" w:rsidP="008A044E">
      <w:pPr>
        <w:spacing w:line="480" w:lineRule="auto"/>
        <w:ind w:left="357"/>
        <w:jc w:val="both"/>
        <w:rPr>
          <w:color w:val="000000"/>
        </w:rPr>
      </w:pPr>
      <w:r w:rsidRPr="00EF2772">
        <w:rPr>
          <w:color w:val="000000"/>
        </w:rPr>
        <w:t xml:space="preserve">Perbuatan </w:t>
      </w:r>
      <w:r w:rsidRPr="00EF2772">
        <w:rPr>
          <w:color w:val="000000"/>
          <w:lang w:val="id-ID" w:eastAsia="id-ID"/>
        </w:rPr>
        <w:t xml:space="preserve">terdakwa </w:t>
      </w:r>
      <w:r w:rsidRPr="00EF2772">
        <w:rPr>
          <w:bCs/>
          <w:color w:val="000000"/>
          <w:lang w:val="id-ID" w:eastAsia="id-ID"/>
        </w:rPr>
        <w:t xml:space="preserve">Moh. Iswan Kandari alias Kenedy </w:t>
      </w:r>
      <w:r w:rsidRPr="00EF2772">
        <w:rPr>
          <w:color w:val="000000"/>
          <w:lang w:val="id-ID" w:eastAsia="id-ID"/>
        </w:rPr>
        <w:t>sebagaimana diatur dan diancam pidana dalam pasal 112 Ayat (1) Undang-Undang Republik Indonesia Nomor 35 Tahun 2009 tentang Narkotika</w:t>
      </w:r>
    </w:p>
    <w:p w:rsidR="008A044E" w:rsidRPr="00EF2772" w:rsidRDefault="008A044E" w:rsidP="008A044E">
      <w:pPr>
        <w:numPr>
          <w:ilvl w:val="6"/>
          <w:numId w:val="28"/>
        </w:numPr>
        <w:tabs>
          <w:tab w:val="clear" w:pos="5040"/>
          <w:tab w:val="num" w:pos="360"/>
        </w:tabs>
        <w:spacing w:line="480" w:lineRule="auto"/>
        <w:ind w:left="360"/>
        <w:jc w:val="both"/>
        <w:rPr>
          <w:color w:val="000000"/>
        </w:rPr>
      </w:pPr>
      <w:r w:rsidRPr="00EF2772">
        <w:rPr>
          <w:color w:val="000000"/>
        </w:rPr>
        <w:t xml:space="preserve">Dakwaan </w:t>
      </w:r>
      <w:r w:rsidRPr="00EF2772">
        <w:rPr>
          <w:bCs/>
          <w:color w:val="000000"/>
          <w:lang w:val="id-ID" w:eastAsia="id-ID"/>
        </w:rPr>
        <w:t>Kedua</w:t>
      </w:r>
      <w:r w:rsidRPr="00EF2772">
        <w:rPr>
          <w:color w:val="000000"/>
        </w:rPr>
        <w:t>.</w:t>
      </w:r>
    </w:p>
    <w:p w:rsidR="008A044E" w:rsidRPr="00EF2772" w:rsidRDefault="008A044E" w:rsidP="008A044E">
      <w:pPr>
        <w:spacing w:line="480" w:lineRule="auto"/>
        <w:ind w:left="357"/>
        <w:jc w:val="both"/>
        <w:rPr>
          <w:color w:val="000000"/>
        </w:rPr>
      </w:pPr>
      <w:r w:rsidRPr="00EF2772">
        <w:rPr>
          <w:color w:val="000000"/>
        </w:rPr>
        <w:t>Perbuatan</w:t>
      </w:r>
      <w:r w:rsidRPr="00EF2772">
        <w:rPr>
          <w:bCs/>
          <w:color w:val="000000"/>
          <w:lang w:val="id-ID" w:eastAsia="id-ID"/>
        </w:rPr>
        <w:t>Moh. Iswan Kandari alias Kenedy</w:t>
      </w:r>
      <w:r w:rsidRPr="00EF2772">
        <w:rPr>
          <w:color w:val="000000"/>
          <w:lang w:val="id-ID" w:eastAsia="id-ID"/>
        </w:rPr>
        <w:t xml:space="preserve"> sebagaimana diatur dan diancam pidana dalam pasal 127 Ayat (1) huruf a Undang–Undang Republik Indonesia Nomor 35 Tahun 2009 tentang Narkotika</w:t>
      </w:r>
    </w:p>
    <w:p w:rsidR="008A044E" w:rsidRPr="00EF2772" w:rsidRDefault="008A044E" w:rsidP="008A044E">
      <w:pPr>
        <w:spacing w:line="480" w:lineRule="auto"/>
        <w:ind w:firstLine="709"/>
        <w:jc w:val="both"/>
        <w:rPr>
          <w:color w:val="000000"/>
        </w:rPr>
      </w:pPr>
      <w:r w:rsidRPr="00EF2772">
        <w:rPr>
          <w:color w:val="000000"/>
        </w:rPr>
        <w:t xml:space="preserve">Jaksa Penuntut Umum pada Kejaksaan Negeri </w:t>
      </w:r>
      <w:r w:rsidRPr="00EF2772">
        <w:rPr>
          <w:color w:val="000000"/>
          <w:lang w:val="id-ID"/>
        </w:rPr>
        <w:t>Gorontalo</w:t>
      </w:r>
      <w:r w:rsidRPr="00EF2772">
        <w:rPr>
          <w:color w:val="000000"/>
        </w:rPr>
        <w:t xml:space="preserve"> menuntut sebagai berikut :</w:t>
      </w:r>
    </w:p>
    <w:p w:rsidR="008A044E" w:rsidRPr="00EF2772" w:rsidRDefault="008A044E" w:rsidP="008A044E">
      <w:pPr>
        <w:numPr>
          <w:ilvl w:val="0"/>
          <w:numId w:val="31"/>
        </w:numPr>
        <w:autoSpaceDE w:val="0"/>
        <w:autoSpaceDN w:val="0"/>
        <w:adjustRightInd w:val="0"/>
        <w:spacing w:line="480" w:lineRule="auto"/>
        <w:ind w:left="360"/>
        <w:jc w:val="both"/>
        <w:rPr>
          <w:b/>
          <w:bCs/>
          <w:color w:val="000000"/>
          <w:lang w:val="id-ID" w:eastAsia="id-ID"/>
        </w:rPr>
      </w:pPr>
      <w:r w:rsidRPr="00EF2772">
        <w:rPr>
          <w:color w:val="000000"/>
          <w:lang w:val="id-ID" w:eastAsia="id-ID"/>
        </w:rPr>
        <w:t xml:space="preserve">Menyatakan terdakwa </w:t>
      </w:r>
      <w:r w:rsidRPr="00EF2772">
        <w:rPr>
          <w:bCs/>
          <w:color w:val="000000"/>
          <w:lang w:val="id-ID" w:eastAsia="id-ID"/>
        </w:rPr>
        <w:t>Moh. Iswan Kandari alias Kenedy</w:t>
      </w:r>
      <w:r w:rsidRPr="00EF2772">
        <w:rPr>
          <w:color w:val="000000"/>
          <w:lang w:val="id-ID" w:eastAsia="id-ID"/>
        </w:rPr>
        <w:t>, terbukti secara sah dan meyakinkan bersalah melakukan tindak pidana narkotika sebagaimana pasal 112 Ayat (1) Undang Undang Nomor 35 Tahun 2009 tentang Narkotika sebagaimana yang kami dakwakan kepadanya dalam Dakwaan Kesatu;</w:t>
      </w:r>
    </w:p>
    <w:p w:rsidR="008A044E" w:rsidRPr="00EF2772" w:rsidRDefault="008A044E" w:rsidP="008A044E">
      <w:pPr>
        <w:numPr>
          <w:ilvl w:val="0"/>
          <w:numId w:val="31"/>
        </w:numPr>
        <w:autoSpaceDE w:val="0"/>
        <w:autoSpaceDN w:val="0"/>
        <w:adjustRightInd w:val="0"/>
        <w:spacing w:line="480" w:lineRule="auto"/>
        <w:ind w:left="360"/>
        <w:jc w:val="both"/>
        <w:rPr>
          <w:color w:val="000000"/>
          <w:lang w:val="id-ID" w:eastAsia="id-ID"/>
        </w:rPr>
      </w:pPr>
      <w:r w:rsidRPr="00EF2772">
        <w:rPr>
          <w:color w:val="000000"/>
          <w:lang w:val="id-ID" w:eastAsia="id-ID"/>
        </w:rPr>
        <w:t xml:space="preserve">Menjatuhkan pidana terhadap terdakwa berupa pidana penjara selama </w:t>
      </w:r>
      <w:r w:rsidRPr="00EF2772">
        <w:rPr>
          <w:bCs/>
          <w:color w:val="000000"/>
          <w:lang w:val="id-ID" w:eastAsia="id-ID"/>
        </w:rPr>
        <w:t xml:space="preserve">6 (enam) tahun </w:t>
      </w:r>
      <w:r w:rsidRPr="00EF2772">
        <w:rPr>
          <w:color w:val="000000"/>
          <w:lang w:val="id-ID" w:eastAsia="id-ID"/>
        </w:rPr>
        <w:t xml:space="preserve">dikurangi selama penangkapan, dan selama terdakwa berada dalam tahanan sementara dengan perintah terdakwa tetap di tahan dan pidana denda sebesar </w:t>
      </w:r>
      <w:r w:rsidRPr="00EF2772">
        <w:rPr>
          <w:bCs/>
          <w:color w:val="000000"/>
          <w:lang w:val="id-ID" w:eastAsia="id-ID"/>
        </w:rPr>
        <w:t>Rp.1.000.000.000,- (satu miliyar rupiah) subsidiair 6 (enam) bulan penjara</w:t>
      </w:r>
      <w:r w:rsidRPr="00EF2772">
        <w:rPr>
          <w:color w:val="000000"/>
          <w:lang w:val="id-ID" w:eastAsia="id-ID"/>
        </w:rPr>
        <w:t>;</w:t>
      </w:r>
    </w:p>
    <w:p w:rsidR="008A044E" w:rsidRPr="00EF2772" w:rsidRDefault="008A044E" w:rsidP="008A044E">
      <w:pPr>
        <w:numPr>
          <w:ilvl w:val="0"/>
          <w:numId w:val="31"/>
        </w:numPr>
        <w:autoSpaceDE w:val="0"/>
        <w:autoSpaceDN w:val="0"/>
        <w:adjustRightInd w:val="0"/>
        <w:spacing w:line="480" w:lineRule="auto"/>
        <w:ind w:left="360"/>
        <w:jc w:val="both"/>
        <w:rPr>
          <w:rFonts w:eastAsia="OpenSymbol"/>
          <w:color w:val="000000"/>
          <w:lang w:val="id-ID" w:eastAsia="id-ID"/>
        </w:rPr>
      </w:pPr>
      <w:r w:rsidRPr="00EF2772">
        <w:rPr>
          <w:rFonts w:eastAsia="OpenSymbol"/>
          <w:color w:val="000000"/>
          <w:lang w:val="id-ID" w:eastAsia="id-ID"/>
        </w:rPr>
        <w:lastRenderedPageBreak/>
        <w:t xml:space="preserve">Menetapkan agar terdakwa </w:t>
      </w:r>
      <w:r w:rsidRPr="00EF2772">
        <w:rPr>
          <w:rFonts w:eastAsia="OpenSymbol"/>
          <w:bCs/>
          <w:color w:val="000000"/>
          <w:lang w:val="id-ID" w:eastAsia="id-ID"/>
        </w:rPr>
        <w:t>Moh. Iswan Kandari alias Kenedy</w:t>
      </w:r>
      <w:r w:rsidRPr="00EF2772">
        <w:rPr>
          <w:rFonts w:eastAsia="OpenSymbol"/>
          <w:color w:val="000000"/>
          <w:lang w:val="id-ID" w:eastAsia="id-ID"/>
        </w:rPr>
        <w:t xml:space="preserve"> dibebani membayar biaya perkara sebesar Rp. 5.000,- (lima ribu rupiah)</w:t>
      </w:r>
    </w:p>
    <w:p w:rsidR="008A044E" w:rsidRPr="00EF2772" w:rsidRDefault="008A044E" w:rsidP="008A044E">
      <w:pPr>
        <w:spacing w:line="480" w:lineRule="auto"/>
        <w:ind w:firstLine="720"/>
        <w:jc w:val="both"/>
        <w:rPr>
          <w:color w:val="000000"/>
          <w:lang w:val="id-ID" w:eastAsia="id-ID"/>
        </w:rPr>
      </w:pPr>
      <w:r w:rsidRPr="00EF2772">
        <w:rPr>
          <w:color w:val="000000"/>
        </w:rPr>
        <w:t xml:space="preserve">Berdasarkan tuntutan Jaksa Penuntut Umum, Hakim Pengadilan Negeri </w:t>
      </w:r>
      <w:r w:rsidRPr="00EF2772">
        <w:rPr>
          <w:color w:val="000000"/>
          <w:lang w:val="id-ID" w:eastAsia="id-ID"/>
        </w:rPr>
        <w:t>Gorontalo memberikan putusan yang amar lengkapnya sebagai berikut :</w:t>
      </w:r>
    </w:p>
    <w:p w:rsidR="008A044E" w:rsidRPr="00EF2772" w:rsidRDefault="008A044E" w:rsidP="008A044E">
      <w:pPr>
        <w:numPr>
          <w:ilvl w:val="0"/>
          <w:numId w:val="35"/>
        </w:numPr>
        <w:autoSpaceDE w:val="0"/>
        <w:autoSpaceDN w:val="0"/>
        <w:adjustRightInd w:val="0"/>
        <w:spacing w:line="480" w:lineRule="auto"/>
        <w:ind w:left="360"/>
        <w:jc w:val="both"/>
        <w:rPr>
          <w:color w:val="000000"/>
          <w:lang w:val="id-ID" w:eastAsia="id-ID"/>
        </w:rPr>
      </w:pPr>
      <w:r w:rsidRPr="00EF2772">
        <w:rPr>
          <w:color w:val="000000"/>
          <w:lang w:val="id-ID" w:eastAsia="id-ID"/>
        </w:rPr>
        <w:t>Menyatakan Menyatakan Terdakwa Moh. Iswan Kandari alias Kenedy telah terbukti secara sah dan meyakinkan bersalah melakukan tindak pidana “Tanpa hak menyalahgunakan narkotika golongan I bukan tanaman bagi diri sendiri” sebagaimana dakwaan Kedua Penuntut Umum</w:t>
      </w:r>
      <w:r w:rsidRPr="00EF2772">
        <w:rPr>
          <w:b/>
          <w:bCs/>
          <w:color w:val="000000"/>
          <w:lang w:val="id-ID" w:eastAsia="id-ID"/>
        </w:rPr>
        <w:t>.</w:t>
      </w:r>
    </w:p>
    <w:p w:rsidR="008A044E" w:rsidRPr="00EF2772" w:rsidRDefault="008A044E" w:rsidP="008A044E">
      <w:pPr>
        <w:numPr>
          <w:ilvl w:val="0"/>
          <w:numId w:val="35"/>
        </w:numPr>
        <w:autoSpaceDE w:val="0"/>
        <w:autoSpaceDN w:val="0"/>
        <w:adjustRightInd w:val="0"/>
        <w:spacing w:line="480" w:lineRule="auto"/>
        <w:ind w:left="360"/>
        <w:jc w:val="both"/>
        <w:rPr>
          <w:color w:val="000000"/>
          <w:lang w:val="id-ID" w:eastAsia="id-ID"/>
        </w:rPr>
      </w:pPr>
      <w:r w:rsidRPr="00EF2772">
        <w:rPr>
          <w:color w:val="000000"/>
          <w:lang w:val="id-ID" w:eastAsia="id-ID"/>
        </w:rPr>
        <w:t>Menjatuhkan pidana terhadap Terdakwa Moh. Iswan Kandari alias Kenedy oleh karena itu dengan pidana penjara selama 1 (satu) tahun dan 6 (enam) bulan;</w:t>
      </w:r>
    </w:p>
    <w:p w:rsidR="008A044E" w:rsidRPr="00EF2772" w:rsidRDefault="008A044E" w:rsidP="008A044E">
      <w:pPr>
        <w:numPr>
          <w:ilvl w:val="0"/>
          <w:numId w:val="35"/>
        </w:numPr>
        <w:autoSpaceDE w:val="0"/>
        <w:autoSpaceDN w:val="0"/>
        <w:adjustRightInd w:val="0"/>
        <w:spacing w:line="480" w:lineRule="auto"/>
        <w:ind w:left="360"/>
        <w:jc w:val="both"/>
        <w:rPr>
          <w:color w:val="000000"/>
          <w:lang w:val="id-ID" w:eastAsia="id-ID"/>
        </w:rPr>
      </w:pPr>
      <w:r w:rsidRPr="00EF2772">
        <w:rPr>
          <w:color w:val="000000"/>
          <w:lang w:val="id-ID" w:eastAsia="id-ID"/>
        </w:rPr>
        <w:t>Memerintahkan Terdakwa menjalani pengobatan dan/atau perawatan melalui rehabilitasi medis di Rumah Sakit Tombulilato, Kabupaten Bone Bolango, Provinsi Gorontalo selama 4 (empat) bulan yang diperhitungkan dengan masa pidana yang dijatuhkan;</w:t>
      </w:r>
    </w:p>
    <w:p w:rsidR="008A044E" w:rsidRPr="00EF2772" w:rsidRDefault="008A044E" w:rsidP="008A044E">
      <w:pPr>
        <w:numPr>
          <w:ilvl w:val="0"/>
          <w:numId w:val="35"/>
        </w:numPr>
        <w:autoSpaceDE w:val="0"/>
        <w:autoSpaceDN w:val="0"/>
        <w:adjustRightInd w:val="0"/>
        <w:spacing w:line="480" w:lineRule="auto"/>
        <w:ind w:left="360"/>
        <w:jc w:val="both"/>
        <w:rPr>
          <w:color w:val="000000"/>
          <w:lang w:val="id-ID" w:eastAsia="id-ID"/>
        </w:rPr>
      </w:pPr>
      <w:r w:rsidRPr="00EF2772">
        <w:rPr>
          <w:color w:val="000000"/>
          <w:lang w:val="id-ID" w:eastAsia="id-ID"/>
        </w:rPr>
        <w:t>Menetapkan masa Penangkapan dan Penahanan yang telah dijalani Terdakwa dikurangkan seluruhnya dari pidana yang dijatuhkan;</w:t>
      </w:r>
    </w:p>
    <w:p w:rsidR="008A044E" w:rsidRPr="00EF2772" w:rsidRDefault="008A044E" w:rsidP="008A044E">
      <w:pPr>
        <w:numPr>
          <w:ilvl w:val="0"/>
          <w:numId w:val="35"/>
        </w:numPr>
        <w:autoSpaceDE w:val="0"/>
        <w:autoSpaceDN w:val="0"/>
        <w:adjustRightInd w:val="0"/>
        <w:spacing w:line="480" w:lineRule="auto"/>
        <w:ind w:left="360"/>
        <w:jc w:val="both"/>
        <w:rPr>
          <w:color w:val="000000"/>
          <w:lang w:val="id-ID" w:eastAsia="id-ID"/>
        </w:rPr>
      </w:pPr>
      <w:r w:rsidRPr="00EF2772">
        <w:rPr>
          <w:color w:val="000000"/>
          <w:lang w:val="id-ID" w:eastAsia="id-ID"/>
        </w:rPr>
        <w:t>Menetapkan Terdakwa tetap berada dalam tahanan;</w:t>
      </w:r>
    </w:p>
    <w:p w:rsidR="008A044E" w:rsidRPr="00EF2772" w:rsidRDefault="008A044E" w:rsidP="008A044E">
      <w:pPr>
        <w:numPr>
          <w:ilvl w:val="0"/>
          <w:numId w:val="35"/>
        </w:numPr>
        <w:autoSpaceDE w:val="0"/>
        <w:autoSpaceDN w:val="0"/>
        <w:adjustRightInd w:val="0"/>
        <w:spacing w:line="480" w:lineRule="auto"/>
        <w:ind w:left="360"/>
        <w:jc w:val="both"/>
        <w:rPr>
          <w:color w:val="000000"/>
          <w:lang w:val="id-ID" w:eastAsia="id-ID"/>
        </w:rPr>
      </w:pPr>
      <w:r w:rsidRPr="00EF2772">
        <w:rPr>
          <w:color w:val="000000"/>
          <w:lang w:val="id-ID" w:eastAsia="id-ID"/>
        </w:rPr>
        <w:t>Menetapkan Terdakwa dibebani untuk membayar biaya perkara sebesar Rp. 5000,00 (lima ribu rupiah)).</w:t>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 xml:space="preserve">Pengadilan Tinggi Gorontalo </w:t>
      </w:r>
      <w:r w:rsidRPr="00EF2772">
        <w:rPr>
          <w:color w:val="000000"/>
          <w:lang w:eastAsia="id-ID"/>
        </w:rPr>
        <w:t xml:space="preserve">dalam tingkat banding memberikan </w:t>
      </w:r>
      <w:r w:rsidRPr="00EF2772">
        <w:rPr>
          <w:color w:val="000000"/>
          <w:lang w:val="id-ID" w:eastAsia="id-ID"/>
        </w:rPr>
        <w:t xml:space="preserve">putusan ang amar lengkapnya sebagai berikut : </w:t>
      </w:r>
    </w:p>
    <w:p w:rsidR="008A044E" w:rsidRPr="00EF2772" w:rsidRDefault="008A044E" w:rsidP="008A044E">
      <w:pPr>
        <w:numPr>
          <w:ilvl w:val="0"/>
          <w:numId w:val="32"/>
        </w:numPr>
        <w:autoSpaceDE w:val="0"/>
        <w:autoSpaceDN w:val="0"/>
        <w:adjustRightInd w:val="0"/>
        <w:spacing w:line="480" w:lineRule="auto"/>
        <w:ind w:left="360"/>
        <w:jc w:val="both"/>
        <w:rPr>
          <w:color w:val="000000"/>
          <w:lang w:val="id-ID" w:eastAsia="id-ID"/>
        </w:rPr>
      </w:pPr>
      <w:r w:rsidRPr="00EF2772">
        <w:rPr>
          <w:color w:val="000000"/>
          <w:lang w:val="id-ID" w:eastAsia="id-ID"/>
        </w:rPr>
        <w:t>Menerima permintaan banding dari Penuntut Umum;</w:t>
      </w:r>
    </w:p>
    <w:p w:rsidR="008A044E" w:rsidRPr="00EF2772" w:rsidRDefault="008A044E" w:rsidP="008A044E">
      <w:pPr>
        <w:numPr>
          <w:ilvl w:val="0"/>
          <w:numId w:val="32"/>
        </w:numPr>
        <w:autoSpaceDE w:val="0"/>
        <w:autoSpaceDN w:val="0"/>
        <w:adjustRightInd w:val="0"/>
        <w:spacing w:line="480" w:lineRule="auto"/>
        <w:ind w:left="360"/>
        <w:jc w:val="both"/>
        <w:rPr>
          <w:color w:val="000000"/>
          <w:lang w:val="id-ID" w:eastAsia="id-ID"/>
        </w:rPr>
      </w:pPr>
      <w:r w:rsidRPr="00EF2772">
        <w:rPr>
          <w:color w:val="000000"/>
          <w:lang w:val="id-ID" w:eastAsia="id-ID"/>
        </w:rPr>
        <w:lastRenderedPageBreak/>
        <w:t>Menguatkan Putusan Pengadilan Negeri Gorontalo tanggal 11 Maret 2020, Nomor 271/Pid.Sus/2019/PN Gto., yang dimintakan banding;</w:t>
      </w:r>
    </w:p>
    <w:p w:rsidR="008A044E" w:rsidRPr="00EF2772" w:rsidRDefault="008A044E" w:rsidP="008A044E">
      <w:pPr>
        <w:numPr>
          <w:ilvl w:val="0"/>
          <w:numId w:val="32"/>
        </w:numPr>
        <w:autoSpaceDE w:val="0"/>
        <w:autoSpaceDN w:val="0"/>
        <w:adjustRightInd w:val="0"/>
        <w:spacing w:line="480" w:lineRule="auto"/>
        <w:ind w:left="360"/>
        <w:jc w:val="both"/>
        <w:rPr>
          <w:color w:val="000000"/>
          <w:lang w:val="id-ID" w:eastAsia="id-ID"/>
        </w:rPr>
      </w:pPr>
      <w:r w:rsidRPr="00EF2772">
        <w:rPr>
          <w:color w:val="000000"/>
          <w:lang w:val="id-ID" w:eastAsia="id-ID"/>
        </w:rPr>
        <w:t>Memerintahkan agar Terdakwa tetap dalam tahanan;</w:t>
      </w:r>
    </w:p>
    <w:p w:rsidR="008A044E" w:rsidRPr="00EF2772" w:rsidRDefault="008A044E" w:rsidP="008A044E">
      <w:pPr>
        <w:numPr>
          <w:ilvl w:val="0"/>
          <w:numId w:val="32"/>
        </w:numPr>
        <w:autoSpaceDE w:val="0"/>
        <w:autoSpaceDN w:val="0"/>
        <w:adjustRightInd w:val="0"/>
        <w:spacing w:line="480" w:lineRule="auto"/>
        <w:ind w:left="360"/>
        <w:jc w:val="both"/>
        <w:rPr>
          <w:color w:val="000000"/>
          <w:lang w:val="id-ID" w:eastAsia="id-ID"/>
        </w:rPr>
      </w:pPr>
      <w:r w:rsidRPr="00EF2772">
        <w:rPr>
          <w:color w:val="000000"/>
          <w:lang w:val="id-ID" w:eastAsia="id-ID"/>
        </w:rPr>
        <w:t>Membebankan biaya perkara kepada Terdakwa dalam dua tingkat peradilan, sedangkan di tingkat banding sebesar Rp5.000,00 (lima ribu rupiah);</w:t>
      </w:r>
    </w:p>
    <w:p w:rsidR="008A044E" w:rsidRPr="00EF2772" w:rsidRDefault="008A044E" w:rsidP="008A044E">
      <w:pPr>
        <w:autoSpaceDE w:val="0"/>
        <w:autoSpaceDN w:val="0"/>
        <w:adjustRightInd w:val="0"/>
        <w:spacing w:line="480" w:lineRule="auto"/>
        <w:ind w:firstLine="720"/>
        <w:jc w:val="both"/>
        <w:rPr>
          <w:color w:val="000000"/>
          <w:lang w:val="id-ID" w:eastAsia="id-ID"/>
        </w:rPr>
      </w:pPr>
      <w:r w:rsidRPr="00EF2772">
        <w:rPr>
          <w:color w:val="000000"/>
          <w:lang w:val="id-ID" w:eastAsia="id-ID"/>
        </w:rPr>
        <w:t>Mahkamah Agung dalam tingkat kasasi mengadili yang menyebutkan sebagai berikut :</w:t>
      </w:r>
    </w:p>
    <w:p w:rsidR="008A044E" w:rsidRPr="00EF2772" w:rsidRDefault="008A044E" w:rsidP="008A044E">
      <w:pPr>
        <w:numPr>
          <w:ilvl w:val="0"/>
          <w:numId w:val="33"/>
        </w:numPr>
        <w:autoSpaceDE w:val="0"/>
        <w:autoSpaceDN w:val="0"/>
        <w:adjustRightInd w:val="0"/>
        <w:spacing w:line="480" w:lineRule="auto"/>
        <w:ind w:left="360"/>
        <w:jc w:val="both"/>
        <w:rPr>
          <w:color w:val="000000"/>
          <w:lang w:val="id-ID" w:eastAsia="id-ID"/>
        </w:rPr>
      </w:pPr>
      <w:r w:rsidRPr="00EF2772">
        <w:rPr>
          <w:color w:val="000000"/>
          <w:lang w:val="id-ID" w:eastAsia="id-ID"/>
        </w:rPr>
        <w:t>Menolak permohonan kasasi dari pemohon kasasi/</w:t>
      </w:r>
      <w:r w:rsidRPr="00EF2772">
        <w:rPr>
          <w:bCs/>
          <w:color w:val="000000"/>
          <w:lang w:val="id-ID" w:eastAsia="id-ID"/>
        </w:rPr>
        <w:t xml:space="preserve">Penuntut Umum pada Kejaksaan Negeri Kota Gorontalo </w:t>
      </w:r>
      <w:r w:rsidRPr="00EF2772">
        <w:rPr>
          <w:color w:val="000000"/>
          <w:lang w:val="id-ID" w:eastAsia="id-ID"/>
        </w:rPr>
        <w:t>tersebut;</w:t>
      </w:r>
    </w:p>
    <w:p w:rsidR="008A044E" w:rsidRPr="00EF2772" w:rsidRDefault="008A044E" w:rsidP="008A044E">
      <w:pPr>
        <w:numPr>
          <w:ilvl w:val="0"/>
          <w:numId w:val="33"/>
        </w:numPr>
        <w:autoSpaceDE w:val="0"/>
        <w:autoSpaceDN w:val="0"/>
        <w:adjustRightInd w:val="0"/>
        <w:spacing w:line="480" w:lineRule="auto"/>
        <w:ind w:left="360"/>
        <w:jc w:val="both"/>
        <w:rPr>
          <w:color w:val="000000"/>
          <w:lang w:val="id-ID" w:eastAsia="id-ID"/>
        </w:rPr>
      </w:pPr>
      <w:r w:rsidRPr="00EF2772">
        <w:rPr>
          <w:color w:val="000000"/>
          <w:lang w:val="id-ID" w:eastAsia="id-ID"/>
        </w:rPr>
        <w:t xml:space="preserve">Membebankan kepada </w:t>
      </w:r>
      <w:r w:rsidRPr="00EF2772">
        <w:rPr>
          <w:color w:val="000000"/>
          <w:lang w:eastAsia="id-ID"/>
        </w:rPr>
        <w:t>t</w:t>
      </w:r>
      <w:r w:rsidRPr="00EF2772">
        <w:rPr>
          <w:color w:val="000000"/>
          <w:lang w:val="id-ID" w:eastAsia="id-ID"/>
        </w:rPr>
        <w:t>Terdakwa untuk membayar biaya perkara pada tingkat kasasi sebesar Rp.2.500,00 (dua ribu lima ratus rupiah)</w:t>
      </w:r>
      <w:r w:rsidRPr="00EF2772">
        <w:rPr>
          <w:b/>
          <w:bCs/>
          <w:color w:val="000000"/>
          <w:lang w:val="id-ID" w:eastAsia="id-ID"/>
        </w:rPr>
        <w:t>.</w:t>
      </w:r>
    </w:p>
    <w:p w:rsidR="008A044E" w:rsidRPr="00EF2772" w:rsidRDefault="008A044E" w:rsidP="008A044E">
      <w:pPr>
        <w:autoSpaceDE w:val="0"/>
        <w:autoSpaceDN w:val="0"/>
        <w:adjustRightInd w:val="0"/>
        <w:spacing w:line="480" w:lineRule="auto"/>
        <w:ind w:firstLine="709"/>
        <w:jc w:val="both"/>
        <w:rPr>
          <w:color w:val="000000"/>
        </w:rPr>
      </w:pPr>
      <w:r w:rsidRPr="00EF2772">
        <w:rPr>
          <w:color w:val="000000"/>
        </w:rPr>
        <w:t xml:space="preserve">Berdasarkan Putusan </w:t>
      </w:r>
      <w:r w:rsidRPr="00EF2772">
        <w:rPr>
          <w:color w:val="000000"/>
          <w:lang w:val="id-ID"/>
        </w:rPr>
        <w:t xml:space="preserve">Mahkamah Agung </w:t>
      </w:r>
      <w:r w:rsidRPr="00EF2772">
        <w:rPr>
          <w:color w:val="000000"/>
          <w:lang w:val="id-ID" w:eastAsia="id-ID"/>
        </w:rPr>
        <w:t>Nomor 3749 K/Pid.Sus/2020</w:t>
      </w:r>
      <w:r w:rsidRPr="00EF2772">
        <w:rPr>
          <w:color w:val="000000"/>
        </w:rPr>
        <w:t xml:space="preserve">, surat dakwaan yang telah diuraikan Penuntut Umum dalam putusan Pengadilan Negeri </w:t>
      </w:r>
      <w:r w:rsidRPr="00EF2772">
        <w:rPr>
          <w:color w:val="000000"/>
          <w:lang w:val="id-ID"/>
        </w:rPr>
        <w:t xml:space="preserve">Gorontali </w:t>
      </w:r>
      <w:r w:rsidRPr="00EF2772">
        <w:rPr>
          <w:color w:val="000000"/>
        </w:rPr>
        <w:t xml:space="preserve">telah sesuai dengan ketentuan Pasal 143 ayat (2) KUHAP dan hukum pidana materiil sebagaimana didakwakan pada dakwaan kedua yakni perbuatan terdakwa </w:t>
      </w:r>
      <w:r w:rsidRPr="00EF2772">
        <w:rPr>
          <w:bCs/>
          <w:color w:val="000000"/>
          <w:lang w:val="id-ID" w:eastAsia="id-ID"/>
        </w:rPr>
        <w:t>Moh. Iswan Kandari Alias Kenedy</w:t>
      </w:r>
      <w:r w:rsidRPr="00EF2772">
        <w:rPr>
          <w:color w:val="000000"/>
        </w:rPr>
        <w:t xml:space="preserve">tersebut sebagaimana diatur dan diancam pidana sesuai dengan Pasal </w:t>
      </w:r>
      <w:r w:rsidRPr="00EF2772">
        <w:rPr>
          <w:color w:val="000000"/>
          <w:lang w:val="id-ID" w:eastAsia="id-ID"/>
        </w:rPr>
        <w:t xml:space="preserve">127 ayat (1) huruf a </w:t>
      </w:r>
      <w:r w:rsidRPr="00EF2772">
        <w:rPr>
          <w:color w:val="000000"/>
        </w:rPr>
        <w:t>Undang-Undang No. 35 Tahun 2009 tentang Narkotika.</w:t>
      </w:r>
    </w:p>
    <w:p w:rsidR="008A044E" w:rsidRPr="00EF2772" w:rsidRDefault="008A044E" w:rsidP="008A044E">
      <w:pPr>
        <w:autoSpaceDE w:val="0"/>
        <w:autoSpaceDN w:val="0"/>
        <w:adjustRightInd w:val="0"/>
        <w:spacing w:line="480" w:lineRule="auto"/>
        <w:ind w:firstLine="720"/>
        <w:jc w:val="both"/>
        <w:rPr>
          <w:color w:val="000000"/>
          <w:lang w:val="id-ID"/>
        </w:rPr>
      </w:pPr>
      <w:r w:rsidRPr="00EF2772">
        <w:rPr>
          <w:color w:val="000000"/>
        </w:rPr>
        <w:t xml:space="preserve">Penerapan hukum materiil yang dilakukan oleh Jaksa penuntut Umum yang dijadikan acuan oleh Jaksa Penuntut Umum </w:t>
      </w:r>
      <w:r w:rsidRPr="00EF2772">
        <w:rPr>
          <w:color w:val="000000"/>
          <w:lang w:val="id-ID"/>
        </w:rPr>
        <w:t>adalah berdasarkan</w:t>
      </w:r>
      <w:r w:rsidRPr="00EF2772">
        <w:rPr>
          <w:color w:val="000000"/>
        </w:rPr>
        <w:t xml:space="preserve"> penyidikan dan keterangan saksi serta pengakuan dari terdakwa, telah terbukti terdakwa </w:t>
      </w:r>
      <w:r w:rsidRPr="00EF2772">
        <w:rPr>
          <w:color w:val="000000"/>
          <w:lang w:val="id-ID" w:eastAsia="id-ID"/>
        </w:rPr>
        <w:t xml:space="preserve">secara sah dan meyakinkan bersalah melakukan tindak pidana tanpa hak menyalahgunakan narkotika golongan I bukan tanaman bagi diri sendiri </w:t>
      </w:r>
      <w:r w:rsidRPr="00EF2772">
        <w:rPr>
          <w:color w:val="000000"/>
          <w:lang w:val="id-ID" w:eastAsia="id-ID"/>
        </w:rPr>
        <w:lastRenderedPageBreak/>
        <w:t xml:space="preserve">sebagaimana dakwaan Kedua Penuntut Umum </w:t>
      </w:r>
      <w:r w:rsidRPr="00EF2772">
        <w:rPr>
          <w:color w:val="000000"/>
        </w:rPr>
        <w:t xml:space="preserve">telah memenuhi unsur Pasal </w:t>
      </w:r>
      <w:r w:rsidRPr="00EF2772">
        <w:rPr>
          <w:color w:val="000000"/>
          <w:lang w:val="id-ID" w:eastAsia="id-ID"/>
        </w:rPr>
        <w:t xml:space="preserve">127 ayat (1) huruf a </w:t>
      </w:r>
      <w:r w:rsidRPr="00EF2772">
        <w:rPr>
          <w:color w:val="000000"/>
        </w:rPr>
        <w:t>Undang-Undang No. 35 Tahun 2009 tentang Narkotika</w:t>
      </w:r>
      <w:r w:rsidRPr="00EF2772">
        <w:rPr>
          <w:color w:val="000000"/>
          <w:lang w:val="id-ID"/>
        </w:rPr>
        <w:t>.</w:t>
      </w:r>
    </w:p>
    <w:p w:rsidR="008A044E" w:rsidRPr="00EF2772" w:rsidRDefault="008A044E" w:rsidP="008A044E">
      <w:pPr>
        <w:autoSpaceDE w:val="0"/>
        <w:autoSpaceDN w:val="0"/>
        <w:adjustRightInd w:val="0"/>
        <w:spacing w:line="480" w:lineRule="auto"/>
        <w:ind w:firstLine="720"/>
        <w:jc w:val="both"/>
        <w:rPr>
          <w:color w:val="000000"/>
        </w:rPr>
      </w:pPr>
      <w:r w:rsidRPr="00EF2772">
        <w:rPr>
          <w:color w:val="000000"/>
        </w:rPr>
        <w:t xml:space="preserve">Penerapan hukum tindak </w:t>
      </w:r>
      <w:r w:rsidRPr="00EF2772">
        <w:rPr>
          <w:color w:val="000000"/>
          <w:lang w:val="id-ID" w:eastAsia="id-ID"/>
        </w:rPr>
        <w:t xml:space="preserve">pidana tanpa hak menyalahgunakan narkotika golongan I bukan tanaman bagi diri sendiri </w:t>
      </w:r>
      <w:r w:rsidRPr="00EF2772">
        <w:rPr>
          <w:color w:val="000000"/>
        </w:rPr>
        <w:t xml:space="preserve">telah memenuhi unsur Pasal </w:t>
      </w:r>
      <w:r w:rsidRPr="00EF2772">
        <w:rPr>
          <w:color w:val="000000"/>
          <w:lang w:val="id-ID" w:eastAsia="id-ID"/>
        </w:rPr>
        <w:t>127 ayat (1) huruf a</w:t>
      </w:r>
      <w:r w:rsidRPr="00EF2772">
        <w:rPr>
          <w:color w:val="000000"/>
        </w:rPr>
        <w:t xml:space="preserve"> Undang-Undang No. 35 Tahun 2009 tentang Narkotika telah sesuai dengan tindak pidana yang dilakukan oleh terdakwa. Unsur-unsurnya pun telah mencocoki rumusan delik. Mengenai putusan yang dijatuhkan hakim yaitu pidana </w:t>
      </w:r>
      <w:r w:rsidRPr="00EF2772">
        <w:rPr>
          <w:color w:val="000000"/>
          <w:lang w:val="id-ID" w:eastAsia="id-ID"/>
        </w:rPr>
        <w:t xml:space="preserve"> terhadap Terdakwa Moh. Iswan Kandari alias Kenedy oleh karena itu dengan pidana penjara selama 1 (satu) tahun dan 6 (enam) bulan dan memerintahkan Terdakwa menjalani pengobatan dan/atau perawatan melalui rehabilitasi medis di Rumah Sakit Tombulilato, Kabupaten Bone Bolango, Provinsi Gorontalo selama 4 (empat) bulan yang diperhitungkan dengan masa pidana yang dijatuhkan, </w:t>
      </w:r>
      <w:r w:rsidRPr="00EF2772">
        <w:rPr>
          <w:color w:val="000000"/>
        </w:rPr>
        <w:t>tentu saja dalam menjatuhkan putusannya Hakim memiliki pertimbangan-pertimbangan, yang dalam hal ini dapat meringankan hukuman terdakwa, sehingga hukuman yang dijatuhkan hakim lebih ringan daripada tuntutan jaksa.</w:t>
      </w:r>
    </w:p>
    <w:p w:rsidR="008A044E" w:rsidRPr="00EF2772" w:rsidRDefault="008A044E" w:rsidP="008A044E">
      <w:pPr>
        <w:autoSpaceDE w:val="0"/>
        <w:autoSpaceDN w:val="0"/>
        <w:adjustRightInd w:val="0"/>
        <w:spacing w:line="516" w:lineRule="auto"/>
        <w:ind w:firstLine="720"/>
        <w:jc w:val="both"/>
        <w:rPr>
          <w:color w:val="000000"/>
        </w:rPr>
      </w:pPr>
      <w:r w:rsidRPr="00EF2772">
        <w:rPr>
          <w:color w:val="000000"/>
        </w:rPr>
        <w:t xml:space="preserve">Menurut hakim perbuatan terdawa telah memenuhi unsur-unsur dari Pasal </w:t>
      </w:r>
      <w:r w:rsidRPr="00EF2772">
        <w:rPr>
          <w:color w:val="000000"/>
          <w:lang w:val="id-ID" w:eastAsia="id-ID"/>
        </w:rPr>
        <w:t>127 ayat (1) huruf a</w:t>
      </w:r>
      <w:r w:rsidRPr="00EF2772">
        <w:rPr>
          <w:color w:val="000000"/>
        </w:rPr>
        <w:t xml:space="preserve"> Undang-Undang No. 35 Tahun 2009 tentang Narkotika yaitu </w:t>
      </w:r>
      <w:r w:rsidRPr="00EF2772">
        <w:rPr>
          <w:color w:val="000000"/>
          <w:lang w:val="id-ID"/>
        </w:rPr>
        <w:t xml:space="preserve">sebagai berikut </w:t>
      </w:r>
      <w:r w:rsidRPr="00EF2772">
        <w:rPr>
          <w:color w:val="000000"/>
        </w:rPr>
        <w:t>:</w:t>
      </w:r>
    </w:p>
    <w:p w:rsidR="008A044E" w:rsidRPr="00EF2772" w:rsidRDefault="008A044E" w:rsidP="008A044E">
      <w:pPr>
        <w:numPr>
          <w:ilvl w:val="1"/>
          <w:numId w:val="34"/>
        </w:numPr>
        <w:tabs>
          <w:tab w:val="clear" w:pos="1440"/>
          <w:tab w:val="num" w:pos="360"/>
        </w:tabs>
        <w:autoSpaceDE w:val="0"/>
        <w:autoSpaceDN w:val="0"/>
        <w:adjustRightInd w:val="0"/>
        <w:spacing w:line="516" w:lineRule="auto"/>
        <w:ind w:left="360"/>
        <w:jc w:val="both"/>
        <w:rPr>
          <w:color w:val="000000"/>
        </w:rPr>
      </w:pPr>
      <w:r w:rsidRPr="00EF2772">
        <w:rPr>
          <w:color w:val="000000"/>
        </w:rPr>
        <w:t xml:space="preserve">Unsur setiap orang. </w:t>
      </w:r>
    </w:p>
    <w:p w:rsidR="008A044E" w:rsidRPr="00EF2772" w:rsidRDefault="008A044E" w:rsidP="008A044E">
      <w:pPr>
        <w:numPr>
          <w:ilvl w:val="1"/>
          <w:numId w:val="34"/>
        </w:numPr>
        <w:tabs>
          <w:tab w:val="clear" w:pos="1440"/>
          <w:tab w:val="num" w:pos="360"/>
        </w:tabs>
        <w:autoSpaceDE w:val="0"/>
        <w:autoSpaceDN w:val="0"/>
        <w:adjustRightInd w:val="0"/>
        <w:spacing w:line="504" w:lineRule="auto"/>
        <w:ind w:left="360"/>
        <w:jc w:val="both"/>
        <w:rPr>
          <w:color w:val="000000"/>
        </w:rPr>
      </w:pPr>
      <w:r w:rsidRPr="00EF2772">
        <w:rPr>
          <w:color w:val="000000"/>
        </w:rPr>
        <w:t>Unsur</w:t>
      </w:r>
      <w:r w:rsidRPr="00EF2772">
        <w:rPr>
          <w:bCs/>
          <w:color w:val="000000"/>
          <w:lang w:val="id-ID" w:eastAsia="id-ID"/>
        </w:rPr>
        <w:t>tanpa hak atau melawan hukum</w:t>
      </w:r>
    </w:p>
    <w:p w:rsidR="008A044E" w:rsidRPr="00EF2772" w:rsidRDefault="008A044E" w:rsidP="008A044E">
      <w:pPr>
        <w:numPr>
          <w:ilvl w:val="1"/>
          <w:numId w:val="34"/>
        </w:numPr>
        <w:tabs>
          <w:tab w:val="clear" w:pos="1440"/>
          <w:tab w:val="num" w:pos="360"/>
        </w:tabs>
        <w:autoSpaceDE w:val="0"/>
        <w:autoSpaceDN w:val="0"/>
        <w:adjustRightInd w:val="0"/>
        <w:spacing w:line="504" w:lineRule="auto"/>
        <w:ind w:left="360"/>
        <w:jc w:val="both"/>
        <w:rPr>
          <w:color w:val="000000"/>
        </w:rPr>
      </w:pPr>
      <w:r w:rsidRPr="00EF2772">
        <w:rPr>
          <w:bCs/>
          <w:color w:val="000000"/>
          <w:lang w:val="id-ID" w:eastAsia="id-ID"/>
        </w:rPr>
        <w:t>Unsur menyalahgunakan narkotika golongan i bukan tanaman bagi diri sendiri</w:t>
      </w:r>
    </w:p>
    <w:p w:rsidR="008A044E" w:rsidRPr="00EF2772" w:rsidRDefault="008A044E" w:rsidP="008A044E">
      <w:pPr>
        <w:autoSpaceDE w:val="0"/>
        <w:autoSpaceDN w:val="0"/>
        <w:adjustRightInd w:val="0"/>
        <w:spacing w:line="480" w:lineRule="auto"/>
        <w:ind w:firstLine="709"/>
        <w:jc w:val="both"/>
        <w:rPr>
          <w:color w:val="000000"/>
          <w:lang w:eastAsia="id-ID"/>
        </w:rPr>
      </w:pPr>
      <w:r w:rsidRPr="00EF2772">
        <w:rPr>
          <w:color w:val="000000"/>
        </w:rPr>
        <w:t xml:space="preserve">Berdasarkan uraian tersebut maka </w:t>
      </w:r>
      <w:r w:rsidRPr="00EF2772">
        <w:rPr>
          <w:color w:val="000000"/>
          <w:lang w:val="id-ID"/>
        </w:rPr>
        <w:t xml:space="preserve">majelis hakim </w:t>
      </w:r>
      <w:r w:rsidRPr="00EF2772">
        <w:rPr>
          <w:color w:val="000000"/>
        </w:rPr>
        <w:t xml:space="preserve">berpendapat bahwa perbuatan yang dilakukan oleh terdakwa telah memenuhi unsur </w:t>
      </w:r>
      <w:r w:rsidRPr="00EF2772">
        <w:rPr>
          <w:color w:val="000000"/>
          <w:lang w:val="id-ID" w:eastAsia="id-ID"/>
        </w:rPr>
        <w:t xml:space="preserve">dari Pasal 127 </w:t>
      </w:r>
      <w:r w:rsidRPr="00EF2772">
        <w:rPr>
          <w:color w:val="000000"/>
          <w:lang w:val="id-ID" w:eastAsia="id-ID"/>
        </w:rPr>
        <w:lastRenderedPageBreak/>
        <w:t>ayat (1) huruf a Undang-Undang Republik Indonesia Nomor 35 Tahun 2009 tentang Narkotika telah terpenuhi, maka Terdakwa haruslah dinyatakan telah terbukti secara sah dan meyakinkan melakukan tindak pidana sebagaimana didakwakan dalam dakwaan kedua</w:t>
      </w:r>
      <w:r w:rsidRPr="00EF2772">
        <w:rPr>
          <w:color w:val="000000"/>
          <w:lang w:eastAsia="id-ID"/>
        </w:rPr>
        <w:t>.</w:t>
      </w:r>
    </w:p>
    <w:p w:rsidR="008A044E" w:rsidRPr="00EF2772" w:rsidRDefault="008A044E" w:rsidP="008A044E">
      <w:pPr>
        <w:pStyle w:val="BodyTextIndent"/>
        <w:tabs>
          <w:tab w:val="clear" w:pos="0"/>
        </w:tabs>
        <w:autoSpaceDE w:val="0"/>
        <w:autoSpaceDN w:val="0"/>
        <w:adjustRightInd w:val="0"/>
        <w:ind w:firstLine="720"/>
        <w:rPr>
          <w:color w:val="000000"/>
          <w:szCs w:val="24"/>
          <w:lang w:val="id-ID" w:eastAsia="id-ID"/>
        </w:rPr>
      </w:pPr>
      <w:r w:rsidRPr="00EF2772">
        <w:rPr>
          <w:color w:val="000000"/>
          <w:szCs w:val="24"/>
          <w:lang w:val="id-ID" w:eastAsia="id-ID"/>
        </w:rPr>
        <w:t>Majelis Hakim dalam persidangan tidak menemukan hal-hal yang dapat menghapuskan pertanggungjawaban pidana, baik sebagai alasan pembenar dan atau alasan pemaaf, sehingga terdakwa harus dinyatakan terbukti bersalah melakukan tindak pidana yang didakwakan kepadanya dalam dakwaan kedua dan terdakwa haruslah dijatuhi pidana yang setimpal dengan perbuatannya.</w:t>
      </w:r>
    </w:p>
    <w:p w:rsidR="008A044E" w:rsidRPr="00EF2772" w:rsidRDefault="008A044E" w:rsidP="008A044E">
      <w:pPr>
        <w:pStyle w:val="BodyTextIndent"/>
        <w:tabs>
          <w:tab w:val="clear" w:pos="0"/>
        </w:tabs>
        <w:autoSpaceDE w:val="0"/>
        <w:autoSpaceDN w:val="0"/>
        <w:adjustRightInd w:val="0"/>
        <w:ind w:firstLine="720"/>
        <w:rPr>
          <w:color w:val="000000"/>
          <w:szCs w:val="24"/>
          <w:lang w:val="id-ID" w:eastAsia="id-ID"/>
        </w:rPr>
      </w:pPr>
      <w:r w:rsidRPr="00EF2772">
        <w:rPr>
          <w:color w:val="000000"/>
          <w:szCs w:val="24"/>
          <w:lang w:val="id-ID" w:eastAsia="id-ID"/>
        </w:rPr>
        <w:t>Menurut penulis pidana terhadap Terdakwa Moh. Iswan Kandari alias Kenedy dengan pidana penjara selama 1 (satu) tahun dan 6 (enam) bulan serta menjalani pengobatan dan/atau perawatan melalui rehabilitasi medis di Rumah Sakit Tombulilato, Kabupaten Bone Bolango, Provinsi Gorontalo selama 4 (empat) bulan yang diperhitungkan dengan masa pidana yang dijatuhkan sudah tepat dan sesuai dengan rasa keadilan, sebab berdasarkan fakta-fakta yang terungkap di depan persidangan, kepemilikan narkotika jenis shabu oleh terdakwa semata-mata bertujuan untuk digunakan sendiri bukan untuk dijual atau diserahkan ke orang lain.</w:t>
      </w:r>
    </w:p>
    <w:p w:rsidR="008A044E" w:rsidRPr="00EF2772" w:rsidRDefault="008A044E" w:rsidP="008A044E">
      <w:pPr>
        <w:pStyle w:val="BodyTextIndent"/>
        <w:tabs>
          <w:tab w:val="clear" w:pos="0"/>
        </w:tabs>
        <w:autoSpaceDE w:val="0"/>
        <w:autoSpaceDN w:val="0"/>
        <w:adjustRightInd w:val="0"/>
        <w:ind w:firstLine="720"/>
        <w:rPr>
          <w:color w:val="000000"/>
          <w:szCs w:val="24"/>
        </w:rPr>
      </w:pPr>
      <w:r w:rsidRPr="00EF2772">
        <w:rPr>
          <w:color w:val="000000"/>
          <w:szCs w:val="24"/>
        </w:rPr>
        <w:t>Penulis berkeyakinan bahwa rehabilitasi jauh lebih baik dari pada penjara</w:t>
      </w:r>
      <w:r w:rsidRPr="00EF2772">
        <w:rPr>
          <w:color w:val="000000"/>
          <w:szCs w:val="24"/>
          <w:lang w:val="id-ID"/>
        </w:rPr>
        <w:t xml:space="preserve"> sebab j</w:t>
      </w:r>
      <w:r w:rsidRPr="00EF2772">
        <w:rPr>
          <w:color w:val="000000"/>
          <w:szCs w:val="24"/>
        </w:rPr>
        <w:t xml:space="preserve">ika pengguna direhabilitasi maka akan pulih dari ketergantungannya dan </w:t>
      </w:r>
      <w:r w:rsidRPr="00EF2772">
        <w:rPr>
          <w:color w:val="000000"/>
          <w:szCs w:val="24"/>
          <w:lang w:val="id-ID"/>
        </w:rPr>
        <w:t xml:space="preserve">tidak akan </w:t>
      </w:r>
      <w:r w:rsidRPr="00EF2772">
        <w:rPr>
          <w:color w:val="000000"/>
          <w:szCs w:val="24"/>
        </w:rPr>
        <w:t xml:space="preserve">mengkonsumsi barang haram lagi. Pasalnya konstruksi  hukum di negeri ini menganut double track system pemidanaan, yang pada intinya, pengguna yang diputus pidana maka pidananya dijalankan untuk rehabilitasi. </w:t>
      </w:r>
      <w:r w:rsidRPr="00EF2772">
        <w:rPr>
          <w:color w:val="000000"/>
          <w:szCs w:val="24"/>
        </w:rPr>
        <w:lastRenderedPageBreak/>
        <w:t>Rehabilitasinya tidak dilaksanakan di dalam lembaga pemasyarakatan tetapi ditempat khusus untuk rehabilitasi.</w:t>
      </w:r>
    </w:p>
    <w:p w:rsidR="008A044E" w:rsidRPr="00EF2772" w:rsidRDefault="008A044E" w:rsidP="008A044E">
      <w:pPr>
        <w:pStyle w:val="BodyTextIndent"/>
        <w:tabs>
          <w:tab w:val="clear" w:pos="0"/>
        </w:tabs>
        <w:autoSpaceDE w:val="0"/>
        <w:autoSpaceDN w:val="0"/>
        <w:adjustRightInd w:val="0"/>
        <w:ind w:firstLine="720"/>
        <w:rPr>
          <w:color w:val="000000"/>
          <w:szCs w:val="24"/>
        </w:rPr>
      </w:pPr>
      <w:r w:rsidRPr="00EF2772">
        <w:rPr>
          <w:color w:val="000000"/>
          <w:szCs w:val="24"/>
        </w:rPr>
        <w:t xml:space="preserve">Rehabilitasi merupakan salah satu cara untuk menyelamatkan korban pengguna narkotika dari ketergantungan. </w:t>
      </w:r>
      <w:r w:rsidRPr="00EF2772">
        <w:rPr>
          <w:color w:val="000000"/>
          <w:szCs w:val="24"/>
          <w:lang w:val="id-ID"/>
        </w:rPr>
        <w:t>R</w:t>
      </w:r>
      <w:r w:rsidRPr="00EF2772">
        <w:rPr>
          <w:color w:val="000000"/>
          <w:szCs w:val="24"/>
        </w:rPr>
        <w:t>ehabilitasi merupakan usaha untuk memulihkan pecandu dari ketergantungan narkotika dan hidup normal sehat jasmani dan rohani sehingga dapat menyesuaikan dan meningkatkan kembali keterampilannya, pengetahuannya, kepandaiannya, pergaulannya dalam lingungan hidup atau atau dengan keluarga yang disebut dengan resosialisasi.</w:t>
      </w:r>
    </w:p>
    <w:p w:rsidR="008A044E" w:rsidRPr="00EF2772" w:rsidRDefault="008A044E" w:rsidP="008A044E">
      <w:pPr>
        <w:pStyle w:val="BodyTextIndent"/>
        <w:tabs>
          <w:tab w:val="clear" w:pos="0"/>
        </w:tabs>
        <w:autoSpaceDE w:val="0"/>
        <w:autoSpaceDN w:val="0"/>
        <w:adjustRightInd w:val="0"/>
        <w:ind w:firstLine="720"/>
        <w:rPr>
          <w:color w:val="000000"/>
          <w:szCs w:val="24"/>
        </w:rPr>
      </w:pPr>
      <w:r w:rsidRPr="00EF2772">
        <w:rPr>
          <w:color w:val="000000"/>
          <w:szCs w:val="24"/>
          <w:lang w:val="id-ID"/>
        </w:rPr>
        <w:t>Menurut penulis rehabilitasi terhadap pecandu narktika harus benar-benar memenuhi pers</w:t>
      </w:r>
      <w:r w:rsidRPr="00EF2772">
        <w:rPr>
          <w:color w:val="000000"/>
          <w:szCs w:val="24"/>
        </w:rPr>
        <w:t>yarat</w:t>
      </w:r>
      <w:r w:rsidRPr="00EF2772">
        <w:rPr>
          <w:color w:val="000000"/>
          <w:szCs w:val="24"/>
          <w:lang w:val="id-ID"/>
        </w:rPr>
        <w:t xml:space="preserve">an yang ditentukan dalam </w:t>
      </w:r>
      <w:r w:rsidRPr="00EF2772">
        <w:rPr>
          <w:color w:val="000000"/>
          <w:szCs w:val="24"/>
        </w:rPr>
        <w:t>SEMA Nomor 4 Tahun 2010  </w:t>
      </w:r>
      <w:r w:rsidRPr="00EF2772">
        <w:rPr>
          <w:rStyle w:val="Emphasis"/>
          <w:color w:val="000000"/>
          <w:szCs w:val="24"/>
        </w:rPr>
        <w:t>jo </w:t>
      </w:r>
      <w:r w:rsidRPr="00EF2772">
        <w:rPr>
          <w:color w:val="000000"/>
          <w:szCs w:val="24"/>
        </w:rPr>
        <w:t>SEMA Nomor 3 Tahun 2011 tentang Penempatan Penyalahguna, Korban Penyalahgunaan, dan Pecandu Narkotika dalam Lembaga Rehabilitasi Medis dan Rehabilitasi Sosial bahwa tersangka, terdakwa yang dapat direhabilitasi medis atau sosial dalam perspektif jaksa penuntut umum yakni positif menggunakan narkotika (BAP hasil laboratorium), ada rekomendasi Tim Asesmen Terpadu, tidak berperan sebagai bandar, pengedar, kurir atau produsen, bukan merupakan residivis kasus narkotika dan saat ditangkap atau tertangkap tangan tanpa barang bukti atau dengan barang bukti yang tidak melebihi jumlah tertentu.</w:t>
      </w:r>
    </w:p>
    <w:p w:rsidR="008A044E" w:rsidRPr="00EF2772" w:rsidRDefault="008A044E" w:rsidP="008A044E">
      <w:pPr>
        <w:pStyle w:val="BodyTextIndent"/>
        <w:tabs>
          <w:tab w:val="clear" w:pos="0"/>
        </w:tabs>
        <w:autoSpaceDE w:val="0"/>
        <w:autoSpaceDN w:val="0"/>
        <w:adjustRightInd w:val="0"/>
        <w:ind w:firstLine="720"/>
        <w:rPr>
          <w:color w:val="000000"/>
          <w:szCs w:val="24"/>
        </w:rPr>
      </w:pPr>
      <w:r w:rsidRPr="00EF2772">
        <w:rPr>
          <w:color w:val="000000"/>
          <w:szCs w:val="24"/>
        </w:rPr>
        <w:t xml:space="preserve">Pidana penjara bagi korban penyalahgunaan </w:t>
      </w:r>
      <w:r w:rsidRPr="00EF2772">
        <w:rPr>
          <w:color w:val="000000"/>
          <w:szCs w:val="24"/>
          <w:lang w:val="id-ID"/>
        </w:rPr>
        <w:t>n</w:t>
      </w:r>
      <w:r w:rsidRPr="00EF2772">
        <w:rPr>
          <w:color w:val="000000"/>
          <w:szCs w:val="24"/>
        </w:rPr>
        <w:t>arkotika merupakan perampasan kemerdekaan dan mengandung sisi negatif sehingga tujuan pemidanaan tidak dapat diwujudkan secara maksimal</w:t>
      </w:r>
      <w:r w:rsidRPr="00EF2772">
        <w:rPr>
          <w:color w:val="000000"/>
          <w:szCs w:val="24"/>
          <w:lang w:val="id-ID"/>
        </w:rPr>
        <w:t xml:space="preserve"> s</w:t>
      </w:r>
      <w:r w:rsidRPr="00EF2772">
        <w:rPr>
          <w:color w:val="000000"/>
          <w:szCs w:val="24"/>
        </w:rPr>
        <w:t xml:space="preserve">edangkan </w:t>
      </w:r>
      <w:r w:rsidRPr="00EF2772">
        <w:rPr>
          <w:color w:val="000000"/>
          <w:szCs w:val="24"/>
          <w:lang w:val="id-ID"/>
        </w:rPr>
        <w:t>r</w:t>
      </w:r>
      <w:r w:rsidRPr="00EF2772">
        <w:rPr>
          <w:color w:val="000000"/>
          <w:szCs w:val="24"/>
        </w:rPr>
        <w:t xml:space="preserve">ehabilitasi dimaksudkan agar penyalahgumaan yang dikategorikan pecandu ini bebas dari ketergantungannya. Bukannya lepas atau pun bebas dari pemidanaan seperti </w:t>
      </w:r>
      <w:r w:rsidRPr="00EF2772">
        <w:rPr>
          <w:color w:val="000000"/>
          <w:szCs w:val="24"/>
        </w:rPr>
        <w:lastRenderedPageBreak/>
        <w:t xml:space="preserve">halnya penjara tetapi </w:t>
      </w:r>
      <w:r w:rsidRPr="00EF2772">
        <w:rPr>
          <w:color w:val="000000"/>
          <w:szCs w:val="24"/>
          <w:lang w:val="id-ID"/>
        </w:rPr>
        <w:t>untuk</w:t>
      </w:r>
      <w:r w:rsidRPr="00EF2772">
        <w:rPr>
          <w:color w:val="000000"/>
          <w:szCs w:val="24"/>
        </w:rPr>
        <w:t xml:space="preserve"> dibina. Jika di dalam penjara </w:t>
      </w:r>
      <w:r w:rsidRPr="00EF2772">
        <w:rPr>
          <w:color w:val="000000"/>
          <w:szCs w:val="24"/>
          <w:lang w:val="id-ID"/>
        </w:rPr>
        <w:t>b</w:t>
      </w:r>
      <w:r w:rsidRPr="00EF2772">
        <w:rPr>
          <w:color w:val="000000"/>
          <w:szCs w:val="24"/>
        </w:rPr>
        <w:t xml:space="preserve">ukannya terjadi pembinaan di lembaga pemasyarakatan malah penyalahguna makin </w:t>
      </w:r>
      <w:r w:rsidRPr="00EF2772">
        <w:rPr>
          <w:color w:val="000000"/>
          <w:szCs w:val="24"/>
          <w:lang w:val="id-ID"/>
        </w:rPr>
        <w:t>berakibat buruk dan</w:t>
      </w:r>
      <w:r w:rsidRPr="00EF2772">
        <w:rPr>
          <w:color w:val="000000"/>
          <w:szCs w:val="24"/>
        </w:rPr>
        <w:t xml:space="preserve"> hasilnya putusan hakim tidak membawa manfaat bagi penyalahguna dan kemudian orang tersebut kembali kemasyarakat tidak akan menjadi orang yang lebih baik. Jadi menurut penulis rehabilitasi adalah hukuman yang efektif dalam menekan kasus narkotika di Indonesia.</w:t>
      </w:r>
    </w:p>
    <w:p w:rsidR="008A044E" w:rsidRPr="00EF2772" w:rsidRDefault="008A044E" w:rsidP="008A044E">
      <w:pPr>
        <w:autoSpaceDE w:val="0"/>
        <w:autoSpaceDN w:val="0"/>
        <w:adjustRightInd w:val="0"/>
        <w:spacing w:line="480" w:lineRule="auto"/>
        <w:ind w:firstLine="709"/>
        <w:jc w:val="both"/>
        <w:rPr>
          <w:color w:val="000000"/>
          <w:lang w:val="id-ID" w:eastAsia="id-ID"/>
        </w:rPr>
      </w:pPr>
      <w:r w:rsidRPr="00EF2772">
        <w:rPr>
          <w:color w:val="000000"/>
          <w:lang w:val="id-ID" w:eastAsia="id-ID"/>
        </w:rPr>
        <w:t>Tujuan utama dari rehabilitasi sebagai upaya agar pecandu narkotika yang telah ketergantungan terhadap narkotika setelah keluar dari lembaga rehabilitasi dapat pulih lagi dan angka kambuh dapat turun, karena berdasarkan survey yang ada bila menggunakan konsep sanksi pidana pada pecandu narkotika mayoritas pecandu setelah keluar dari Lembaga Pemasyarakatan mereka berpeluang melakukan penyalahgunaan narkotika kembali. Karena di dalam Lembaga Pemasyarakatan tidak dilakukan metode penangan pecandu narkotika secara optimal seperti di Lembaga rehabilitasi sebagai contoh tidak dilakukannya detoksifikasi.  Berdasarkan analisis penulis berkaitan mengenai sanksi bagi pecandu narkotika, maka penulis melihat dari segi banyaknya manfaat yang diperoleh dan efektifnya pemberian sanksi tindakan berupa rehabilitasi dalam mengentaskan permasalahan peredaran dan penyalahgunaan narkotika.</w:t>
      </w:r>
    </w:p>
    <w:p w:rsidR="001625C8" w:rsidRPr="008A044E" w:rsidRDefault="001625C8" w:rsidP="008A044E">
      <w:bookmarkStart w:id="6" w:name="_GoBack"/>
      <w:bookmarkEnd w:id="6"/>
    </w:p>
    <w:sectPr w:rsidR="001625C8" w:rsidRPr="008A044E" w:rsidSect="007E2386">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4FF" w:rsidRDefault="004504FF" w:rsidP="001E2728">
      <w:r>
        <w:separator/>
      </w:r>
    </w:p>
  </w:endnote>
  <w:endnote w:type="continuationSeparator" w:id="1">
    <w:p w:rsidR="004504FF" w:rsidRDefault="004504FF" w:rsidP="001E2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penSymbol">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FA" w:rsidRDefault="00F122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4F" w:rsidRDefault="004504FF">
    <w:pPr>
      <w:pStyle w:val="Footer"/>
      <w:jc w:val="center"/>
    </w:pPr>
  </w:p>
  <w:p w:rsidR="0032714F" w:rsidRDefault="004504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FA" w:rsidRDefault="00F122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4FF" w:rsidRDefault="004504FF" w:rsidP="001E2728">
      <w:r>
        <w:separator/>
      </w:r>
    </w:p>
  </w:footnote>
  <w:footnote w:type="continuationSeparator" w:id="1">
    <w:p w:rsidR="004504FF" w:rsidRDefault="004504FF" w:rsidP="001E2728">
      <w:r>
        <w:continuationSeparator/>
      </w:r>
    </w:p>
  </w:footnote>
  <w:footnote w:id="2">
    <w:p w:rsidR="008A044E" w:rsidRPr="00B2673A" w:rsidRDefault="008A044E" w:rsidP="008A044E">
      <w:pPr>
        <w:pStyle w:val="FootnoteText"/>
        <w:ind w:firstLine="709"/>
        <w:jc w:val="both"/>
        <w:rPr>
          <w:lang w:val="id-ID"/>
        </w:rPr>
      </w:pPr>
      <w:r w:rsidRPr="00B2673A">
        <w:rPr>
          <w:rStyle w:val="FootnoteReference"/>
        </w:rPr>
        <w:footnoteRef/>
      </w:r>
      <w:r w:rsidRPr="00B2673A">
        <w:rPr>
          <w:lang w:val="id-ID"/>
        </w:rPr>
        <w:t>K</w:t>
      </w:r>
      <w:r w:rsidRPr="00B2673A">
        <w:rPr>
          <w:rStyle w:val="markedcontent"/>
        </w:rPr>
        <w:t xml:space="preserve">usno Adi, </w:t>
      </w:r>
      <w:r w:rsidRPr="00B2673A">
        <w:rPr>
          <w:rStyle w:val="markedcontent"/>
          <w:i/>
        </w:rPr>
        <w:t>Kebijakan Kriminal Dalam Penanggulangan Tindak Pidana Narkotika Oleh Anak</w:t>
      </w:r>
      <w:r w:rsidRPr="00B2673A">
        <w:rPr>
          <w:rStyle w:val="markedcontent"/>
        </w:rPr>
        <w:t>, UMM Press, Malang, 2009, h. 30</w:t>
      </w:r>
    </w:p>
  </w:footnote>
  <w:footnote w:id="3">
    <w:p w:rsidR="008A044E" w:rsidRPr="00B2673A" w:rsidRDefault="008A044E" w:rsidP="008A044E">
      <w:pPr>
        <w:pStyle w:val="FootnoteText"/>
        <w:ind w:firstLine="709"/>
        <w:jc w:val="both"/>
        <w:rPr>
          <w:lang w:val="id-ID"/>
        </w:rPr>
      </w:pPr>
      <w:r w:rsidRPr="00B2673A">
        <w:rPr>
          <w:rStyle w:val="FootnoteReference"/>
        </w:rPr>
        <w:footnoteRef/>
      </w:r>
      <w:r w:rsidRPr="00B2673A">
        <w:rPr>
          <w:lang w:val="id-ID"/>
        </w:rPr>
        <w:t>Muladi</w:t>
      </w:r>
      <w:r w:rsidRPr="00B2673A">
        <w:t xml:space="preserve">, </w:t>
      </w:r>
      <w:r w:rsidRPr="00B2673A">
        <w:rPr>
          <w:i/>
          <w:iCs/>
        </w:rPr>
        <w:t>Kapita Selekta Sistem Peradilan Pidana</w:t>
      </w:r>
      <w:r w:rsidRPr="00B2673A">
        <w:t>, Badan Penerbit Universitas Diponegoro, Semarang,2005, h 4.</w:t>
      </w:r>
    </w:p>
  </w:footnote>
  <w:footnote w:id="4">
    <w:p w:rsidR="008A044E" w:rsidRPr="00B2673A" w:rsidRDefault="008A044E" w:rsidP="008A044E">
      <w:pPr>
        <w:autoSpaceDE w:val="0"/>
        <w:autoSpaceDN w:val="0"/>
        <w:adjustRightInd w:val="0"/>
        <w:ind w:firstLine="709"/>
        <w:jc w:val="both"/>
        <w:rPr>
          <w:sz w:val="20"/>
          <w:szCs w:val="20"/>
          <w:lang w:val="id-ID"/>
        </w:rPr>
      </w:pPr>
      <w:r w:rsidRPr="00B2673A">
        <w:rPr>
          <w:rStyle w:val="FootnoteReference"/>
          <w:sz w:val="20"/>
          <w:szCs w:val="20"/>
        </w:rPr>
        <w:footnoteRef/>
      </w:r>
      <w:r w:rsidRPr="00B2673A">
        <w:rPr>
          <w:sz w:val="20"/>
          <w:szCs w:val="20"/>
          <w:lang w:val="id-ID" w:eastAsia="id-ID"/>
        </w:rPr>
        <w:t xml:space="preserve">Barda Nawawi Arief, , </w:t>
      </w:r>
      <w:r w:rsidRPr="00B2673A">
        <w:rPr>
          <w:i/>
          <w:iCs/>
          <w:sz w:val="20"/>
          <w:szCs w:val="20"/>
          <w:lang w:val="id-ID" w:eastAsia="id-ID"/>
        </w:rPr>
        <w:t xml:space="preserve">Op.Cit, </w:t>
      </w:r>
      <w:r w:rsidRPr="00B2673A">
        <w:rPr>
          <w:sz w:val="20"/>
          <w:szCs w:val="20"/>
          <w:lang w:val="id-ID" w:eastAsia="id-ID"/>
        </w:rPr>
        <w:t xml:space="preserve"> h. 43</w:t>
      </w:r>
    </w:p>
  </w:footnote>
  <w:footnote w:id="5">
    <w:p w:rsidR="008A044E" w:rsidRPr="00B2673A" w:rsidRDefault="008A044E" w:rsidP="008A044E">
      <w:pPr>
        <w:pStyle w:val="FootnoteText"/>
        <w:ind w:firstLine="709"/>
        <w:jc w:val="both"/>
        <w:rPr>
          <w:lang w:val="id-ID"/>
        </w:rPr>
      </w:pPr>
      <w:r w:rsidRPr="00B2673A">
        <w:rPr>
          <w:rStyle w:val="FootnoteReference"/>
        </w:rPr>
        <w:footnoteRef/>
      </w:r>
      <w:r w:rsidRPr="00B2673A">
        <w:rPr>
          <w:rStyle w:val="markedcontent"/>
        </w:rPr>
        <w:t xml:space="preserve">Bambang Purnomo, </w:t>
      </w:r>
      <w:r w:rsidRPr="00B2673A">
        <w:rPr>
          <w:rStyle w:val="markedcontent"/>
          <w:i/>
        </w:rPr>
        <w:t>Pelaksnaan Pelaksanaan Pidana Penjaran dengan Sistem Pemasyarakatan</w:t>
      </w:r>
      <w:r w:rsidRPr="00B2673A">
        <w:rPr>
          <w:rStyle w:val="markedcontent"/>
        </w:rPr>
        <w:t>, Liberty, Yogyakarta, 20</w:t>
      </w:r>
      <w:r w:rsidRPr="00B2673A">
        <w:rPr>
          <w:rStyle w:val="markedcontent"/>
          <w:lang w:val="id-ID"/>
        </w:rPr>
        <w:t>1</w:t>
      </w:r>
      <w:r w:rsidRPr="00B2673A">
        <w:rPr>
          <w:rStyle w:val="markedcontent"/>
        </w:rPr>
        <w:t>2, h. 19.</w:t>
      </w:r>
    </w:p>
  </w:footnote>
  <w:footnote w:id="6">
    <w:p w:rsidR="008A044E" w:rsidRPr="00B2673A" w:rsidRDefault="008A044E" w:rsidP="008A044E">
      <w:pPr>
        <w:pStyle w:val="FootnoteText"/>
        <w:ind w:firstLine="709"/>
        <w:jc w:val="both"/>
        <w:rPr>
          <w:lang w:val="id-ID"/>
        </w:rPr>
      </w:pPr>
      <w:r w:rsidRPr="00B2673A">
        <w:rPr>
          <w:rStyle w:val="FootnoteReference"/>
        </w:rPr>
        <w:footnoteRef/>
      </w:r>
      <w:r w:rsidRPr="00B2673A">
        <w:rPr>
          <w:rStyle w:val="markedcontent"/>
        </w:rPr>
        <w:t xml:space="preserve">Muladi dan Barda Nawawi Arief, </w:t>
      </w:r>
      <w:r w:rsidRPr="00B2673A">
        <w:rPr>
          <w:rStyle w:val="markedcontent"/>
          <w:i/>
        </w:rPr>
        <w:t>Teori-Teori dan Kebijakan Pidana</w:t>
      </w:r>
      <w:r w:rsidRPr="00B2673A">
        <w:rPr>
          <w:rStyle w:val="markedcontent"/>
        </w:rPr>
        <w:t xml:space="preserve">, </w:t>
      </w:r>
      <w:r w:rsidRPr="00B2673A">
        <w:rPr>
          <w:rStyle w:val="markedcontent"/>
          <w:i/>
          <w:lang w:val="id-ID"/>
        </w:rPr>
        <w:t>Op.Cit</w:t>
      </w:r>
      <w:r w:rsidRPr="00B2673A">
        <w:rPr>
          <w:rStyle w:val="markedcontent"/>
        </w:rPr>
        <w:t>, h. 1.</w:t>
      </w:r>
    </w:p>
  </w:footnote>
  <w:footnote w:id="7">
    <w:p w:rsidR="008A044E" w:rsidRPr="00B2673A" w:rsidRDefault="008A044E" w:rsidP="008A044E">
      <w:pPr>
        <w:pStyle w:val="FootnoteText"/>
        <w:ind w:firstLine="709"/>
        <w:jc w:val="both"/>
        <w:rPr>
          <w:lang w:val="id-ID"/>
        </w:rPr>
      </w:pPr>
      <w:r w:rsidRPr="00B2673A">
        <w:rPr>
          <w:rStyle w:val="FootnoteReference"/>
        </w:rPr>
        <w:footnoteRef/>
      </w:r>
      <w:r w:rsidRPr="00B2673A">
        <w:rPr>
          <w:lang w:val="id-ID" w:eastAsia="id-ID"/>
        </w:rPr>
        <w:t xml:space="preserve">Sukarmi, </w:t>
      </w:r>
      <w:r w:rsidRPr="00B2673A">
        <w:rPr>
          <w:i/>
          <w:iCs/>
          <w:lang w:val="id-ID" w:eastAsia="id-ID"/>
        </w:rPr>
        <w:t>Psikologi Hukum</w:t>
      </w:r>
      <w:r w:rsidRPr="00B2673A">
        <w:rPr>
          <w:lang w:val="id-ID" w:eastAsia="id-ID"/>
        </w:rPr>
        <w:t>, Unissula Press,Semarang, 2012, h. 47</w:t>
      </w:r>
    </w:p>
  </w:footnote>
  <w:footnote w:id="8">
    <w:p w:rsidR="008A044E" w:rsidRPr="00B2673A" w:rsidRDefault="008A044E" w:rsidP="008A044E">
      <w:pPr>
        <w:autoSpaceDE w:val="0"/>
        <w:autoSpaceDN w:val="0"/>
        <w:adjustRightInd w:val="0"/>
        <w:ind w:firstLine="709"/>
        <w:jc w:val="both"/>
        <w:rPr>
          <w:sz w:val="20"/>
          <w:szCs w:val="20"/>
          <w:lang w:val="id-ID"/>
        </w:rPr>
      </w:pPr>
      <w:r w:rsidRPr="00B2673A">
        <w:rPr>
          <w:rStyle w:val="FootnoteReference"/>
          <w:sz w:val="20"/>
          <w:szCs w:val="20"/>
        </w:rPr>
        <w:footnoteRef/>
      </w:r>
      <w:r w:rsidRPr="00B2673A">
        <w:rPr>
          <w:sz w:val="20"/>
          <w:szCs w:val="20"/>
          <w:lang w:val="id-ID" w:eastAsia="id-ID"/>
        </w:rPr>
        <w:t xml:space="preserve">Sri Endah Wahyuningsih, </w:t>
      </w:r>
      <w:r w:rsidRPr="00B2673A">
        <w:rPr>
          <w:i/>
          <w:sz w:val="20"/>
          <w:szCs w:val="20"/>
          <w:lang w:val="id-ID" w:eastAsia="id-ID"/>
        </w:rPr>
        <w:t>Prinsip-prinsip Individualisasi Pidana Dalam Hukum Pidana Islam dan Pembaharuan Hukum Pidana Indonesia</w:t>
      </w:r>
      <w:r w:rsidRPr="00B2673A">
        <w:rPr>
          <w:sz w:val="20"/>
          <w:szCs w:val="20"/>
          <w:lang w:val="id-ID" w:eastAsia="id-ID"/>
        </w:rPr>
        <w:t>, Badan Penerbit Universitas Diponegoro, Semarang, 2013, h.82</w:t>
      </w:r>
    </w:p>
  </w:footnote>
  <w:footnote w:id="9">
    <w:p w:rsidR="008A044E" w:rsidRPr="00B2673A" w:rsidRDefault="008A044E" w:rsidP="008A044E">
      <w:pPr>
        <w:pStyle w:val="FootnoteText"/>
        <w:ind w:firstLine="709"/>
        <w:jc w:val="both"/>
        <w:rPr>
          <w:lang w:val="id-ID"/>
        </w:rPr>
      </w:pPr>
      <w:r w:rsidRPr="00B2673A">
        <w:rPr>
          <w:rStyle w:val="FootnoteReference"/>
        </w:rPr>
        <w:footnoteRef/>
      </w:r>
      <w:r w:rsidRPr="00B2673A">
        <w:rPr>
          <w:i/>
          <w:lang w:val="id-ID"/>
        </w:rPr>
        <w:t>Ibid</w:t>
      </w:r>
      <w:r w:rsidRPr="00B2673A">
        <w:rPr>
          <w:lang w:val="id-ID"/>
        </w:rPr>
        <w:t>, h.83.</w:t>
      </w:r>
    </w:p>
  </w:footnote>
  <w:footnote w:id="10">
    <w:p w:rsidR="008A044E" w:rsidRPr="00B2673A" w:rsidRDefault="008A044E" w:rsidP="008A044E">
      <w:pPr>
        <w:pStyle w:val="Default"/>
        <w:ind w:firstLine="709"/>
        <w:jc w:val="both"/>
        <w:rPr>
          <w:rFonts w:ascii="Times New Roman" w:hAnsi="Times New Roman" w:cs="Times New Roman"/>
          <w:sz w:val="20"/>
          <w:szCs w:val="20"/>
          <w:lang w:val="en-US"/>
        </w:rPr>
      </w:pPr>
      <w:r w:rsidRPr="00B2673A">
        <w:rPr>
          <w:rStyle w:val="FootnoteReference"/>
          <w:sz w:val="20"/>
          <w:szCs w:val="20"/>
        </w:rPr>
        <w:footnoteRef/>
      </w:r>
      <w:bookmarkStart w:id="1" w:name="_Hlk90874583"/>
      <w:r w:rsidRPr="00B2673A">
        <w:rPr>
          <w:rFonts w:ascii="Times New Roman" w:hAnsi="Times New Roman" w:cs="Times New Roman"/>
          <w:sz w:val="20"/>
          <w:szCs w:val="20"/>
          <w:lang w:val="en-ID" w:eastAsia="en-ID"/>
        </w:rPr>
        <w:t>Yuliana Yuli W, “Upaya Rehabilitasi Terhadap Pecandu Narkotika Dalam Perspektif Hukum Pidana”,</w:t>
      </w:r>
      <w:r w:rsidRPr="00B2673A">
        <w:rPr>
          <w:rFonts w:ascii="Times New Roman" w:hAnsi="Times New Roman" w:cs="Times New Roman"/>
          <w:i/>
          <w:iCs/>
          <w:sz w:val="20"/>
          <w:szCs w:val="20"/>
        </w:rPr>
        <w:t xml:space="preserve"> Jurnal Hukum</w:t>
      </w:r>
      <w:r w:rsidRPr="00B2673A">
        <w:rPr>
          <w:rFonts w:ascii="Times New Roman" w:hAnsi="Times New Roman" w:cs="Times New Roman"/>
          <w:i/>
          <w:iCs/>
          <w:sz w:val="20"/>
          <w:szCs w:val="20"/>
          <w:lang w:val="en-US"/>
        </w:rPr>
        <w:t>,</w:t>
      </w:r>
      <w:r w:rsidRPr="00B2673A">
        <w:rPr>
          <w:rFonts w:ascii="Times New Roman" w:hAnsi="Times New Roman" w:cs="Times New Roman"/>
          <w:sz w:val="20"/>
          <w:szCs w:val="20"/>
        </w:rPr>
        <w:t>Vol.10 No.1</w:t>
      </w:r>
      <w:r w:rsidRPr="00B2673A">
        <w:rPr>
          <w:rFonts w:ascii="Times New Roman" w:hAnsi="Times New Roman" w:cs="Times New Roman"/>
          <w:sz w:val="20"/>
          <w:szCs w:val="20"/>
          <w:lang w:val="en-US"/>
        </w:rPr>
        <w:t xml:space="preserve"> Thn 2018</w:t>
      </w:r>
      <w:bookmarkEnd w:id="1"/>
      <w:r w:rsidRPr="00B2673A">
        <w:rPr>
          <w:rFonts w:ascii="Times New Roman" w:hAnsi="Times New Roman" w:cs="Times New Roman"/>
          <w:sz w:val="20"/>
          <w:szCs w:val="20"/>
          <w:lang w:val="en-US"/>
        </w:rPr>
        <w:t>, h.61.</w:t>
      </w:r>
    </w:p>
  </w:footnote>
  <w:footnote w:id="11">
    <w:p w:rsidR="008A044E" w:rsidRPr="00B2673A" w:rsidRDefault="008A044E" w:rsidP="008A044E">
      <w:pPr>
        <w:pStyle w:val="FootnoteText"/>
        <w:ind w:firstLine="709"/>
      </w:pPr>
      <w:r w:rsidRPr="00B2673A">
        <w:rPr>
          <w:rStyle w:val="FootnoteReference"/>
        </w:rPr>
        <w:footnoteRef/>
      </w:r>
      <w:r w:rsidRPr="00B2673A">
        <w:rPr>
          <w:i/>
          <w:iCs/>
        </w:rPr>
        <w:t>Ibid</w:t>
      </w:r>
      <w:r w:rsidRPr="00B2673A">
        <w:t>, h.62.</w:t>
      </w:r>
    </w:p>
  </w:footnote>
  <w:footnote w:id="12">
    <w:p w:rsidR="008A044E" w:rsidRPr="00B2673A" w:rsidRDefault="008A044E" w:rsidP="008A044E">
      <w:pPr>
        <w:autoSpaceDE w:val="0"/>
        <w:autoSpaceDN w:val="0"/>
        <w:adjustRightInd w:val="0"/>
        <w:ind w:firstLine="709"/>
        <w:jc w:val="both"/>
        <w:rPr>
          <w:sz w:val="20"/>
          <w:szCs w:val="20"/>
        </w:rPr>
      </w:pPr>
      <w:r w:rsidRPr="00B2673A">
        <w:rPr>
          <w:rStyle w:val="FootnoteReference"/>
          <w:sz w:val="20"/>
          <w:szCs w:val="20"/>
        </w:rPr>
        <w:footnoteRef/>
      </w:r>
      <w:bookmarkStart w:id="2" w:name="_Hlk90874806"/>
      <w:r w:rsidRPr="00B2673A">
        <w:rPr>
          <w:sz w:val="20"/>
          <w:szCs w:val="20"/>
          <w:lang w:val="en-ID" w:eastAsia="en-ID"/>
        </w:rPr>
        <w:t xml:space="preserve">Parasian Simanungkalit, “Model Pemidanaan Yang Ideal Bagi Korban Pengguna Narkoba Di Indonesia”, </w:t>
      </w:r>
      <w:r w:rsidRPr="00B2673A">
        <w:rPr>
          <w:i/>
          <w:iCs/>
          <w:sz w:val="20"/>
          <w:szCs w:val="20"/>
          <w:lang w:val="en-ID" w:eastAsia="en-ID"/>
        </w:rPr>
        <w:t xml:space="preserve">Jurnal Yustisia, </w:t>
      </w:r>
      <w:r w:rsidRPr="00B2673A">
        <w:rPr>
          <w:sz w:val="20"/>
          <w:szCs w:val="20"/>
          <w:lang w:val="en-ID" w:eastAsia="en-ID"/>
        </w:rPr>
        <w:t>Vol.1 No. 3 September - Desember 2012</w:t>
      </w:r>
      <w:bookmarkEnd w:id="2"/>
      <w:r w:rsidRPr="00B2673A">
        <w:rPr>
          <w:sz w:val="20"/>
          <w:szCs w:val="20"/>
          <w:lang w:val="en-ID" w:eastAsia="en-ID"/>
        </w:rPr>
        <w:t>, h.83.</w:t>
      </w:r>
    </w:p>
  </w:footnote>
  <w:footnote w:id="13">
    <w:p w:rsidR="008A044E" w:rsidRPr="00B2673A" w:rsidRDefault="008A044E" w:rsidP="008A044E">
      <w:pPr>
        <w:pStyle w:val="Default"/>
        <w:ind w:firstLine="709"/>
        <w:jc w:val="both"/>
        <w:rPr>
          <w:rFonts w:ascii="Times New Roman" w:hAnsi="Times New Roman" w:cs="Times New Roman"/>
          <w:sz w:val="20"/>
          <w:szCs w:val="20"/>
        </w:rPr>
      </w:pPr>
      <w:r w:rsidRPr="00B2673A">
        <w:rPr>
          <w:rStyle w:val="FootnoteReference"/>
          <w:sz w:val="20"/>
          <w:szCs w:val="20"/>
        </w:rPr>
        <w:footnoteRef/>
      </w:r>
      <w:bookmarkStart w:id="3" w:name="_Hlk90874998"/>
      <w:r w:rsidRPr="00B2673A">
        <w:rPr>
          <w:rFonts w:ascii="Times New Roman" w:hAnsi="Times New Roman" w:cs="Times New Roman"/>
          <w:sz w:val="20"/>
          <w:szCs w:val="20"/>
          <w:lang w:val="en-ID" w:eastAsia="en-ID"/>
        </w:rPr>
        <w:t xml:space="preserve">Deni Setya Bagus Yuherawan, “Ketidaktepatan Penjatuhan Pidana Penjara Terhadap Penyalahguna Narkotika”, </w:t>
      </w:r>
      <w:r w:rsidRPr="00B2673A">
        <w:rPr>
          <w:rFonts w:ascii="Times New Roman" w:hAnsi="Times New Roman" w:cs="Times New Roman"/>
          <w:i/>
          <w:iCs/>
          <w:sz w:val="20"/>
          <w:szCs w:val="20"/>
          <w:lang w:val="en-ID" w:eastAsia="en-ID"/>
        </w:rPr>
        <w:t>Jurnal Ius Constituendum</w:t>
      </w:r>
      <w:r w:rsidRPr="00B2673A">
        <w:rPr>
          <w:rFonts w:ascii="Times New Roman" w:hAnsi="Times New Roman" w:cs="Times New Roman"/>
          <w:sz w:val="20"/>
          <w:szCs w:val="20"/>
          <w:lang w:val="en-ID" w:eastAsia="en-ID"/>
        </w:rPr>
        <w:t>, Volume 5 Nomor 2 Oktober 2020</w:t>
      </w:r>
      <w:bookmarkEnd w:id="3"/>
      <w:r w:rsidRPr="00B2673A">
        <w:rPr>
          <w:rFonts w:ascii="Times New Roman" w:hAnsi="Times New Roman" w:cs="Times New Roman"/>
          <w:sz w:val="20"/>
          <w:szCs w:val="20"/>
          <w:lang w:val="en-ID" w:eastAsia="en-ID"/>
        </w:rPr>
        <w:t>, h.42.</w:t>
      </w:r>
    </w:p>
  </w:footnote>
  <w:footnote w:id="14">
    <w:p w:rsidR="008A044E" w:rsidRPr="00B2673A" w:rsidRDefault="008A044E" w:rsidP="008A044E">
      <w:pPr>
        <w:pStyle w:val="FootnoteText"/>
        <w:ind w:firstLine="709"/>
      </w:pPr>
      <w:r w:rsidRPr="00B2673A">
        <w:rPr>
          <w:rStyle w:val="FootnoteReference"/>
        </w:rPr>
        <w:footnoteRef/>
      </w:r>
      <w:r w:rsidRPr="00B2673A">
        <w:rPr>
          <w:i/>
          <w:iCs/>
        </w:rPr>
        <w:t>Ibid</w:t>
      </w:r>
      <w:r w:rsidRPr="00B2673A">
        <w:t>, h.45.</w:t>
      </w:r>
    </w:p>
  </w:footnote>
  <w:footnote w:id="15">
    <w:p w:rsidR="008A044E" w:rsidRPr="00B2673A" w:rsidRDefault="008A044E" w:rsidP="008A044E">
      <w:pPr>
        <w:pStyle w:val="FootnoteText"/>
        <w:ind w:firstLine="709"/>
        <w:jc w:val="both"/>
      </w:pPr>
      <w:r w:rsidRPr="00B2673A">
        <w:rPr>
          <w:rStyle w:val="FootnoteReference"/>
        </w:rPr>
        <w:footnoteRef/>
      </w:r>
      <w:bookmarkStart w:id="4" w:name="_Hlk90875112"/>
      <w:r w:rsidRPr="00B2673A">
        <w:t xml:space="preserve">Tatas Nur Arifin, “Implementasi Rehabilitasi Pecandu Narkotika Dalam Undang-undang Republik Indonesia Nomor 35 Tahun 2009 Tentang Narkotika Sebagai Upaya Non Penal Badan Narkotika Nasional”, </w:t>
      </w:r>
      <w:r w:rsidRPr="00B2673A">
        <w:rPr>
          <w:i/>
          <w:iCs/>
        </w:rPr>
        <w:t>Jurnal Hukum</w:t>
      </w:r>
      <w:r w:rsidRPr="00B2673A">
        <w:t>, Vol.1 No.2 Thn 2018</w:t>
      </w:r>
      <w:bookmarkEnd w:id="4"/>
      <w:r w:rsidRPr="00B2673A">
        <w:t>, h.236.</w:t>
      </w:r>
    </w:p>
  </w:footnote>
  <w:footnote w:id="16">
    <w:p w:rsidR="008A044E" w:rsidRPr="00B2673A" w:rsidRDefault="008A044E" w:rsidP="008A044E">
      <w:pPr>
        <w:pStyle w:val="FootnoteText"/>
        <w:ind w:firstLine="709"/>
      </w:pPr>
      <w:r w:rsidRPr="00B2673A">
        <w:rPr>
          <w:rStyle w:val="FootnoteReference"/>
        </w:rPr>
        <w:footnoteRef/>
      </w:r>
      <w:r w:rsidRPr="00B2673A">
        <w:rPr>
          <w:i/>
          <w:iCs/>
        </w:rPr>
        <w:t>Ibid</w:t>
      </w:r>
      <w:r w:rsidRPr="00B2673A">
        <w:t>, h.237.</w:t>
      </w:r>
    </w:p>
  </w:footnote>
  <w:footnote w:id="17">
    <w:p w:rsidR="008A044E" w:rsidRPr="00B547AC" w:rsidRDefault="008A044E" w:rsidP="008A044E">
      <w:pPr>
        <w:pStyle w:val="FootnoteText"/>
        <w:ind w:firstLine="709"/>
      </w:pPr>
      <w:r>
        <w:rPr>
          <w:rStyle w:val="FootnoteReference"/>
        </w:rPr>
        <w:footnoteRef/>
      </w:r>
      <w:r w:rsidRPr="00B2673A">
        <w:rPr>
          <w:lang w:val="en-ID" w:eastAsia="en-ID"/>
        </w:rPr>
        <w:t>Parasian Simanungkalit</w:t>
      </w:r>
      <w:r>
        <w:rPr>
          <w:lang w:val="en-ID" w:eastAsia="en-ID"/>
        </w:rPr>
        <w:t xml:space="preserve">, </w:t>
      </w:r>
      <w:r>
        <w:rPr>
          <w:i/>
          <w:iCs/>
          <w:lang w:val="en-ID" w:eastAsia="en-ID"/>
        </w:rPr>
        <w:t>Op.Cit</w:t>
      </w:r>
      <w:r>
        <w:rPr>
          <w:lang w:val="en-ID" w:eastAsia="en-ID"/>
        </w:rPr>
        <w:t>, h.85.</w:t>
      </w:r>
    </w:p>
  </w:footnote>
  <w:footnote w:id="18">
    <w:p w:rsidR="008A044E" w:rsidRPr="00B547AC" w:rsidRDefault="008A044E" w:rsidP="008A044E">
      <w:pPr>
        <w:pStyle w:val="FootnoteText"/>
        <w:ind w:firstLine="709"/>
      </w:pPr>
      <w:r>
        <w:rPr>
          <w:rStyle w:val="FootnoteReference"/>
        </w:rPr>
        <w:footnoteRef/>
      </w:r>
      <w:r>
        <w:rPr>
          <w:i/>
          <w:iCs/>
        </w:rPr>
        <w:t>Ibid</w:t>
      </w:r>
      <w:r>
        <w:t>, h.86.</w:t>
      </w:r>
    </w:p>
  </w:footnote>
  <w:footnote w:id="19">
    <w:p w:rsidR="008A044E" w:rsidRPr="00B2673A" w:rsidRDefault="008A044E" w:rsidP="008A044E">
      <w:pPr>
        <w:pStyle w:val="FootnoteText"/>
        <w:ind w:firstLine="709"/>
        <w:jc w:val="both"/>
        <w:rPr>
          <w:lang w:val="id-ID"/>
        </w:rPr>
      </w:pPr>
      <w:r w:rsidRPr="00B2673A">
        <w:rPr>
          <w:rStyle w:val="FootnoteReference"/>
        </w:rPr>
        <w:footnoteRef/>
      </w:r>
      <w:r w:rsidRPr="00B2673A">
        <w:rPr>
          <w:lang w:val="id-ID" w:eastAsia="id-ID"/>
        </w:rPr>
        <w:t xml:space="preserve">Sumarmo Masum, </w:t>
      </w:r>
      <w:r w:rsidRPr="00B2673A">
        <w:rPr>
          <w:i/>
          <w:lang w:val="id-ID" w:eastAsia="id-ID"/>
        </w:rPr>
        <w:t>Op.Cit</w:t>
      </w:r>
      <w:r w:rsidRPr="00B2673A">
        <w:rPr>
          <w:lang w:val="id-ID" w:eastAsia="id-ID"/>
        </w:rPr>
        <w:t>,h.110.</w:t>
      </w:r>
    </w:p>
  </w:footnote>
  <w:footnote w:id="20">
    <w:p w:rsidR="008A044E" w:rsidRPr="00B2673A" w:rsidRDefault="008A044E" w:rsidP="008A044E">
      <w:pPr>
        <w:pStyle w:val="FootnoteText"/>
        <w:ind w:firstLine="709"/>
        <w:jc w:val="both"/>
        <w:rPr>
          <w:lang w:val="id-ID"/>
        </w:rPr>
      </w:pPr>
      <w:r w:rsidRPr="00B2673A">
        <w:rPr>
          <w:rStyle w:val="FootnoteReference"/>
        </w:rPr>
        <w:footnoteRef/>
      </w:r>
      <w:r w:rsidRPr="00B2673A">
        <w:rPr>
          <w:i/>
          <w:lang w:val="id-ID"/>
        </w:rPr>
        <w:t>Ibid</w:t>
      </w:r>
      <w:r w:rsidRPr="00B2673A">
        <w:rPr>
          <w:lang w:val="id-ID"/>
        </w:rPr>
        <w:t>, h.114.</w:t>
      </w:r>
    </w:p>
  </w:footnote>
  <w:footnote w:id="21">
    <w:p w:rsidR="008A044E" w:rsidRPr="00B2673A" w:rsidRDefault="008A044E" w:rsidP="008A044E">
      <w:pPr>
        <w:pStyle w:val="FootnoteText"/>
        <w:ind w:firstLine="709"/>
        <w:jc w:val="both"/>
        <w:rPr>
          <w:lang w:val="id-ID"/>
        </w:rPr>
      </w:pPr>
      <w:r w:rsidRPr="00B2673A">
        <w:rPr>
          <w:rStyle w:val="FootnoteReference"/>
        </w:rPr>
        <w:footnoteRef/>
      </w:r>
      <w:r w:rsidRPr="00B2673A">
        <w:rPr>
          <w:lang w:val="id-ID" w:eastAsia="id-ID"/>
        </w:rPr>
        <w:t xml:space="preserve">Siti Zubaidah, </w:t>
      </w:r>
      <w:r w:rsidRPr="00B2673A">
        <w:rPr>
          <w:i/>
          <w:lang w:val="id-ID" w:eastAsia="id-ID"/>
        </w:rPr>
        <w:t>Op.Cit</w:t>
      </w:r>
      <w:r w:rsidRPr="00B2673A">
        <w:rPr>
          <w:lang w:val="id-ID" w:eastAsia="id-ID"/>
        </w:rPr>
        <w:t>, h.86.</w:t>
      </w:r>
    </w:p>
  </w:footnote>
  <w:footnote w:id="22">
    <w:p w:rsidR="008A044E" w:rsidRPr="00B2673A" w:rsidRDefault="008A044E" w:rsidP="008A044E">
      <w:pPr>
        <w:pStyle w:val="FootnoteText"/>
        <w:ind w:firstLine="709"/>
        <w:jc w:val="both"/>
        <w:rPr>
          <w:lang w:val="id-ID"/>
        </w:rPr>
      </w:pPr>
      <w:r w:rsidRPr="00B2673A">
        <w:rPr>
          <w:rStyle w:val="FootnoteReference"/>
        </w:rPr>
        <w:footnoteRef/>
      </w:r>
      <w:r w:rsidRPr="00B2673A">
        <w:rPr>
          <w:i/>
          <w:lang w:val="id-ID"/>
        </w:rPr>
        <w:t>Ibid</w:t>
      </w:r>
      <w:r w:rsidRPr="00B2673A">
        <w:rPr>
          <w:lang w:val="id-ID"/>
        </w:rPr>
        <w:t>, h.87</w:t>
      </w:r>
    </w:p>
  </w:footnote>
  <w:footnote w:id="23">
    <w:p w:rsidR="008A044E" w:rsidRPr="00B2673A" w:rsidRDefault="008A044E" w:rsidP="008A044E">
      <w:pPr>
        <w:autoSpaceDE w:val="0"/>
        <w:autoSpaceDN w:val="0"/>
        <w:adjustRightInd w:val="0"/>
        <w:ind w:firstLine="709"/>
        <w:jc w:val="both"/>
        <w:rPr>
          <w:sz w:val="20"/>
          <w:szCs w:val="20"/>
          <w:lang w:val="id-ID"/>
        </w:rPr>
      </w:pPr>
      <w:r w:rsidRPr="00B2673A">
        <w:rPr>
          <w:rStyle w:val="FootnoteReference"/>
          <w:sz w:val="20"/>
          <w:szCs w:val="20"/>
        </w:rPr>
        <w:footnoteRef/>
      </w:r>
      <w:r w:rsidRPr="00B2673A">
        <w:rPr>
          <w:sz w:val="20"/>
          <w:szCs w:val="20"/>
          <w:lang w:val="id-ID"/>
        </w:rPr>
        <w:t>M.</w:t>
      </w:r>
      <w:r w:rsidRPr="00B2673A">
        <w:rPr>
          <w:sz w:val="20"/>
          <w:szCs w:val="20"/>
          <w:lang w:val="id-ID" w:eastAsia="id-ID"/>
        </w:rPr>
        <w:t xml:space="preserve">Sholehuddin. </w:t>
      </w:r>
      <w:r w:rsidRPr="00B2673A">
        <w:rPr>
          <w:i/>
          <w:iCs/>
          <w:sz w:val="20"/>
          <w:szCs w:val="20"/>
          <w:lang w:val="id-ID" w:eastAsia="id-ID"/>
        </w:rPr>
        <w:t>Op.Cit</w:t>
      </w:r>
      <w:r w:rsidRPr="00B2673A">
        <w:rPr>
          <w:sz w:val="20"/>
          <w:szCs w:val="20"/>
          <w:lang w:val="id-ID" w:eastAsia="id-ID"/>
        </w:rPr>
        <w:t>, h. 50</w:t>
      </w:r>
    </w:p>
  </w:footnote>
  <w:footnote w:id="24">
    <w:p w:rsidR="008A044E" w:rsidRPr="00B2673A" w:rsidRDefault="008A044E" w:rsidP="008A044E">
      <w:pPr>
        <w:pStyle w:val="FootnoteText"/>
        <w:ind w:firstLine="709"/>
        <w:jc w:val="both"/>
        <w:rPr>
          <w:lang w:val="id-ID"/>
        </w:rPr>
      </w:pPr>
      <w:r w:rsidRPr="00B2673A">
        <w:rPr>
          <w:rStyle w:val="FootnoteReference"/>
        </w:rPr>
        <w:footnoteRef/>
      </w:r>
      <w:r w:rsidRPr="00B2673A">
        <w:rPr>
          <w:i/>
          <w:lang w:val="id-ID"/>
        </w:rPr>
        <w:t>Ibid</w:t>
      </w:r>
      <w:r w:rsidRPr="00B2673A">
        <w:rPr>
          <w:lang w:val="id-ID"/>
        </w:rPr>
        <w:t>, h.51.</w:t>
      </w:r>
    </w:p>
  </w:footnote>
  <w:footnote w:id="25">
    <w:p w:rsidR="008A044E" w:rsidRPr="00B2673A" w:rsidRDefault="008A044E" w:rsidP="008A044E">
      <w:pPr>
        <w:pStyle w:val="FootnoteText"/>
        <w:ind w:firstLine="709"/>
        <w:jc w:val="both"/>
        <w:rPr>
          <w:lang w:val="id-ID"/>
        </w:rPr>
      </w:pPr>
      <w:r w:rsidRPr="00B2673A">
        <w:rPr>
          <w:rStyle w:val="FootnoteReference"/>
        </w:rPr>
        <w:footnoteRef/>
      </w:r>
      <w:r w:rsidRPr="00B2673A">
        <w:rPr>
          <w:i/>
          <w:lang w:val="id-ID"/>
        </w:rPr>
        <w:t>Ibid</w:t>
      </w:r>
      <w:r w:rsidRPr="00B2673A">
        <w:rPr>
          <w:lang w:val="id-ID"/>
        </w:rPr>
        <w:t>, h.52</w:t>
      </w:r>
    </w:p>
  </w:footnote>
  <w:footnote w:id="26">
    <w:p w:rsidR="008A044E" w:rsidRPr="00B2673A" w:rsidRDefault="008A044E" w:rsidP="008A044E">
      <w:pPr>
        <w:pStyle w:val="FootnoteText"/>
        <w:ind w:firstLine="709"/>
        <w:jc w:val="both"/>
        <w:rPr>
          <w:lang w:val="id-ID"/>
        </w:rPr>
      </w:pPr>
      <w:r w:rsidRPr="00B2673A">
        <w:rPr>
          <w:rStyle w:val="FootnoteReference"/>
        </w:rPr>
        <w:footnoteRef/>
      </w:r>
      <w:r w:rsidRPr="00B2673A">
        <w:rPr>
          <w:rStyle w:val="markedcontent"/>
        </w:rPr>
        <w:t>Bambang Purnomo</w:t>
      </w:r>
      <w:r w:rsidRPr="00B2673A">
        <w:rPr>
          <w:rStyle w:val="markedcontent"/>
          <w:lang w:val="id-ID"/>
        </w:rPr>
        <w:t xml:space="preserve">, </w:t>
      </w:r>
      <w:r w:rsidRPr="00B2673A">
        <w:rPr>
          <w:rStyle w:val="markedcontent"/>
          <w:i/>
          <w:lang w:val="id-ID"/>
        </w:rPr>
        <w:t>Op.Cit</w:t>
      </w:r>
      <w:r w:rsidRPr="00B2673A">
        <w:rPr>
          <w:rStyle w:val="markedcontent"/>
          <w:lang w:val="id-ID"/>
        </w:rPr>
        <w:t>, h.45.</w:t>
      </w:r>
    </w:p>
  </w:footnote>
  <w:footnote w:id="27">
    <w:p w:rsidR="008A044E" w:rsidRPr="00B2673A" w:rsidRDefault="008A044E" w:rsidP="008A044E">
      <w:pPr>
        <w:pStyle w:val="FootnoteText"/>
        <w:ind w:firstLine="709"/>
        <w:jc w:val="both"/>
        <w:rPr>
          <w:lang w:val="id-ID"/>
        </w:rPr>
      </w:pPr>
      <w:r w:rsidRPr="00B2673A">
        <w:rPr>
          <w:rStyle w:val="FootnoteReference"/>
        </w:rPr>
        <w:footnoteRef/>
      </w:r>
      <w:r w:rsidRPr="00B2673A">
        <w:rPr>
          <w:i/>
          <w:lang w:val="id-ID"/>
        </w:rPr>
        <w:t>Ibid</w:t>
      </w:r>
      <w:r w:rsidRPr="00B2673A">
        <w:rPr>
          <w:lang w:val="id-ID"/>
        </w:rPr>
        <w:t>, h.46.</w:t>
      </w:r>
    </w:p>
  </w:footnote>
  <w:footnote w:id="28">
    <w:p w:rsidR="008A044E" w:rsidRPr="00B2673A" w:rsidRDefault="008A044E" w:rsidP="008A044E">
      <w:pPr>
        <w:autoSpaceDE w:val="0"/>
        <w:autoSpaceDN w:val="0"/>
        <w:adjustRightInd w:val="0"/>
        <w:ind w:firstLine="709"/>
        <w:jc w:val="both"/>
        <w:rPr>
          <w:sz w:val="20"/>
          <w:szCs w:val="20"/>
          <w:lang w:val="id-ID"/>
        </w:rPr>
      </w:pPr>
      <w:r w:rsidRPr="00B2673A">
        <w:rPr>
          <w:rStyle w:val="FootnoteReference"/>
          <w:sz w:val="20"/>
          <w:szCs w:val="20"/>
        </w:rPr>
        <w:footnoteRef/>
      </w:r>
      <w:r w:rsidRPr="00B2673A">
        <w:rPr>
          <w:sz w:val="20"/>
          <w:szCs w:val="20"/>
          <w:lang w:val="id-ID" w:eastAsia="id-ID"/>
        </w:rPr>
        <w:t>Pasal 103 Undang-Undang No. 35 Tahun 2009 Tentang Narkotika</w:t>
      </w:r>
    </w:p>
  </w:footnote>
  <w:footnote w:id="29">
    <w:p w:rsidR="008A044E" w:rsidRPr="00B2673A" w:rsidRDefault="008A044E" w:rsidP="008A044E">
      <w:pPr>
        <w:pStyle w:val="FootnoteText"/>
        <w:ind w:firstLine="709"/>
        <w:jc w:val="both"/>
        <w:rPr>
          <w:lang w:val="id-ID"/>
        </w:rPr>
      </w:pPr>
      <w:r w:rsidRPr="00B2673A">
        <w:rPr>
          <w:rStyle w:val="FootnoteReference"/>
        </w:rPr>
        <w:footnoteRef/>
      </w:r>
      <w:r w:rsidRPr="00B2673A">
        <w:rPr>
          <w:color w:val="000000"/>
        </w:rPr>
        <w:t>Subagyo Partodiharjo,</w:t>
      </w:r>
      <w:r w:rsidRPr="00B2673A">
        <w:rPr>
          <w:i/>
          <w:color w:val="000000"/>
          <w:lang w:val="id-ID"/>
        </w:rPr>
        <w:t>Op.Cit</w:t>
      </w:r>
      <w:r w:rsidRPr="00B2673A">
        <w:rPr>
          <w:color w:val="000000"/>
          <w:lang w:val="id-ID"/>
        </w:rPr>
        <w:t>, h.55.</w:t>
      </w:r>
    </w:p>
  </w:footnote>
  <w:footnote w:id="30">
    <w:p w:rsidR="008A044E" w:rsidRPr="00B2673A" w:rsidRDefault="008A044E" w:rsidP="008A044E">
      <w:pPr>
        <w:pStyle w:val="FootnoteText"/>
        <w:ind w:firstLine="709"/>
        <w:jc w:val="both"/>
        <w:rPr>
          <w:lang w:val="id-ID"/>
        </w:rPr>
      </w:pPr>
      <w:r w:rsidRPr="00B2673A">
        <w:rPr>
          <w:rStyle w:val="FootnoteReference"/>
        </w:rPr>
        <w:footnoteRef/>
      </w:r>
      <w:r w:rsidRPr="00B2673A">
        <w:rPr>
          <w:i/>
          <w:lang w:val="id-ID"/>
        </w:rPr>
        <w:t>Ibid</w:t>
      </w:r>
      <w:r w:rsidRPr="00B2673A">
        <w:rPr>
          <w:lang w:val="id-ID"/>
        </w:rPr>
        <w:t>, h.56.</w:t>
      </w:r>
    </w:p>
  </w:footnote>
  <w:footnote w:id="31">
    <w:p w:rsidR="008A044E" w:rsidRPr="00B2673A" w:rsidRDefault="008A044E" w:rsidP="008A044E">
      <w:pPr>
        <w:pStyle w:val="FootnoteText"/>
        <w:ind w:firstLine="709"/>
        <w:jc w:val="both"/>
        <w:rPr>
          <w:lang w:val="id-ID"/>
        </w:rPr>
      </w:pPr>
      <w:r w:rsidRPr="00B2673A">
        <w:rPr>
          <w:rStyle w:val="FootnoteReference"/>
        </w:rPr>
        <w:footnoteRef/>
      </w:r>
      <w:r w:rsidRPr="00B2673A">
        <w:t xml:space="preserve"> Sudarto, </w:t>
      </w:r>
      <w:r w:rsidRPr="00B2673A">
        <w:rPr>
          <w:i/>
          <w:lang w:val="id-ID"/>
        </w:rPr>
        <w:t>Op.Cit</w:t>
      </w:r>
      <w:r w:rsidRPr="00B2673A">
        <w:t>,h.80</w:t>
      </w:r>
    </w:p>
  </w:footnote>
  <w:footnote w:id="32">
    <w:p w:rsidR="008A044E" w:rsidRPr="00B2673A" w:rsidRDefault="008A044E" w:rsidP="008A044E">
      <w:pPr>
        <w:pStyle w:val="FootnoteText"/>
        <w:ind w:firstLine="709"/>
        <w:jc w:val="both"/>
        <w:rPr>
          <w:lang w:val="id-ID"/>
        </w:rPr>
      </w:pPr>
      <w:r w:rsidRPr="00B2673A">
        <w:rPr>
          <w:rStyle w:val="FootnoteReference"/>
        </w:rPr>
        <w:footnoteRef/>
      </w:r>
      <w:r w:rsidRPr="00B2673A">
        <w:t xml:space="preserve"> Sri Endah Wahyuningsih, </w:t>
      </w:r>
      <w:r w:rsidRPr="00B2673A">
        <w:rPr>
          <w:i/>
        </w:rPr>
        <w:t xml:space="preserve">Op.Cit. </w:t>
      </w:r>
      <w:r w:rsidRPr="00B2673A">
        <w:t>h..88</w:t>
      </w:r>
    </w:p>
  </w:footnote>
  <w:footnote w:id="33">
    <w:p w:rsidR="008A044E" w:rsidRPr="00B2673A" w:rsidRDefault="008A044E" w:rsidP="008A044E">
      <w:pPr>
        <w:pStyle w:val="FootnoteText"/>
        <w:ind w:firstLine="709"/>
        <w:jc w:val="both"/>
        <w:rPr>
          <w:lang w:val="id-ID"/>
        </w:rPr>
      </w:pPr>
      <w:r w:rsidRPr="00B2673A">
        <w:rPr>
          <w:rStyle w:val="FootnoteReference"/>
        </w:rPr>
        <w:footnoteRef/>
      </w:r>
      <w:r w:rsidRPr="00B2673A">
        <w:t xml:space="preserve"> Barda Nawawi Arief, </w:t>
      </w:r>
      <w:r w:rsidRPr="00B2673A">
        <w:rPr>
          <w:i/>
          <w:iCs/>
          <w:lang w:val="id-ID"/>
        </w:rPr>
        <w:t xml:space="preserve">Op.Cit, </w:t>
      </w:r>
      <w:r w:rsidRPr="00B2673A">
        <w:rPr>
          <w:iCs/>
          <w:lang w:val="id-ID"/>
        </w:rPr>
        <w:t xml:space="preserve"> h.</w:t>
      </w:r>
      <w:r w:rsidRPr="00B2673A">
        <w:t xml:space="preserve"> 83</w:t>
      </w:r>
    </w:p>
  </w:footnote>
  <w:footnote w:id="34">
    <w:p w:rsidR="008A044E" w:rsidRPr="00B2673A" w:rsidRDefault="008A044E" w:rsidP="008A044E">
      <w:pPr>
        <w:pStyle w:val="FootnoteText"/>
        <w:ind w:firstLine="709"/>
        <w:jc w:val="both"/>
        <w:rPr>
          <w:lang w:val="id-ID"/>
        </w:rPr>
      </w:pPr>
      <w:r w:rsidRPr="00B2673A">
        <w:rPr>
          <w:rStyle w:val="FootnoteReference"/>
        </w:rPr>
        <w:footnoteRef/>
      </w:r>
      <w:r w:rsidRPr="00B2673A">
        <w:rPr>
          <w:lang w:val="id-ID" w:eastAsia="id-ID"/>
        </w:rPr>
        <w:t xml:space="preserve">Sri Endah Wahyuningsih, </w:t>
      </w:r>
      <w:r w:rsidRPr="00B2673A">
        <w:rPr>
          <w:i/>
          <w:lang w:val="id-ID" w:eastAsia="id-ID"/>
        </w:rPr>
        <w:t>Op.Cit</w:t>
      </w:r>
      <w:r w:rsidRPr="00B2673A">
        <w:rPr>
          <w:lang w:val="id-ID" w:eastAsia="id-ID"/>
        </w:rPr>
        <w:t>, h.84</w:t>
      </w:r>
    </w:p>
  </w:footnote>
  <w:footnote w:id="35">
    <w:p w:rsidR="008A044E" w:rsidRPr="00B2673A" w:rsidRDefault="008A044E" w:rsidP="008A044E">
      <w:pPr>
        <w:pStyle w:val="FootnoteText"/>
        <w:ind w:firstLine="709"/>
        <w:jc w:val="both"/>
        <w:rPr>
          <w:lang w:val="id-ID"/>
        </w:rPr>
      </w:pPr>
      <w:r w:rsidRPr="00B2673A">
        <w:rPr>
          <w:rStyle w:val="FootnoteReference"/>
        </w:rPr>
        <w:footnoteRef/>
      </w:r>
      <w:r w:rsidRPr="00B2673A">
        <w:rPr>
          <w:i/>
          <w:lang w:val="id-ID"/>
        </w:rPr>
        <w:t>Ibid</w:t>
      </w:r>
      <w:r w:rsidRPr="00B2673A">
        <w:rPr>
          <w:lang w:val="id-ID"/>
        </w:rPr>
        <w:t>, h.85.</w:t>
      </w:r>
    </w:p>
  </w:footnote>
  <w:footnote w:id="36">
    <w:p w:rsidR="008A044E" w:rsidRPr="00B2673A" w:rsidRDefault="008A044E" w:rsidP="008A044E">
      <w:pPr>
        <w:pStyle w:val="FootnoteText"/>
        <w:ind w:firstLine="709"/>
        <w:rPr>
          <w:lang w:val="id-ID"/>
        </w:rPr>
      </w:pPr>
      <w:r w:rsidRPr="00B2673A">
        <w:rPr>
          <w:rStyle w:val="FootnoteReference"/>
        </w:rPr>
        <w:footnoteRef/>
      </w:r>
      <w:r w:rsidRPr="00B2673A">
        <w:rPr>
          <w:lang w:val="id-ID" w:eastAsia="id-ID"/>
        </w:rPr>
        <w:t xml:space="preserve">Siti Zubaidah, </w:t>
      </w:r>
      <w:r w:rsidRPr="00B2673A">
        <w:rPr>
          <w:i/>
          <w:lang w:val="id-ID" w:eastAsia="id-ID"/>
        </w:rPr>
        <w:t>Op.Cit</w:t>
      </w:r>
      <w:r w:rsidRPr="00B2673A">
        <w:rPr>
          <w:lang w:val="id-ID" w:eastAsia="id-ID"/>
        </w:rPr>
        <w:t>, h.77.</w:t>
      </w:r>
    </w:p>
  </w:footnote>
  <w:footnote w:id="37">
    <w:p w:rsidR="008A044E" w:rsidRPr="00B2673A" w:rsidRDefault="008A044E" w:rsidP="008A044E">
      <w:pPr>
        <w:pStyle w:val="FootnoteText"/>
        <w:ind w:firstLine="709"/>
        <w:rPr>
          <w:lang w:val="id-ID"/>
        </w:rPr>
      </w:pPr>
      <w:r w:rsidRPr="00B2673A">
        <w:rPr>
          <w:rStyle w:val="FootnoteReference"/>
        </w:rPr>
        <w:footnoteRef/>
      </w:r>
      <w:r w:rsidRPr="00B2673A">
        <w:rPr>
          <w:i/>
          <w:lang w:val="id-ID"/>
        </w:rPr>
        <w:t>Ibid</w:t>
      </w:r>
      <w:r w:rsidRPr="00B2673A">
        <w:rPr>
          <w:lang w:val="id-ID"/>
        </w:rPr>
        <w:t>, h.78.</w:t>
      </w:r>
    </w:p>
  </w:footnote>
  <w:footnote w:id="38">
    <w:p w:rsidR="008A044E" w:rsidRPr="00B2673A" w:rsidRDefault="008A044E" w:rsidP="008A044E">
      <w:pPr>
        <w:autoSpaceDE w:val="0"/>
        <w:autoSpaceDN w:val="0"/>
        <w:adjustRightInd w:val="0"/>
        <w:ind w:firstLine="709"/>
        <w:jc w:val="both"/>
        <w:rPr>
          <w:sz w:val="20"/>
          <w:szCs w:val="20"/>
          <w:lang w:val="id-ID"/>
        </w:rPr>
      </w:pPr>
      <w:r w:rsidRPr="00B2673A">
        <w:rPr>
          <w:rStyle w:val="FootnoteReference"/>
          <w:sz w:val="20"/>
          <w:szCs w:val="20"/>
        </w:rPr>
        <w:footnoteRef/>
      </w:r>
      <w:r w:rsidRPr="00B2673A">
        <w:rPr>
          <w:sz w:val="20"/>
          <w:szCs w:val="20"/>
          <w:lang w:val="id-ID" w:eastAsia="id-ID"/>
        </w:rPr>
        <w:t xml:space="preserve">Jasa Irwan Taringan,  </w:t>
      </w:r>
      <w:r w:rsidRPr="00B2673A">
        <w:rPr>
          <w:i/>
          <w:iCs/>
          <w:sz w:val="20"/>
          <w:szCs w:val="20"/>
          <w:lang w:val="id-ID" w:eastAsia="id-ID"/>
        </w:rPr>
        <w:t>Peran Badan Narkotika Nasional Dengan Organisasi Sosial Kemasyarakatan Dalam Penanganan Pelaku Penyalahgunaan Narkotika</w:t>
      </w:r>
      <w:r w:rsidRPr="00B2673A">
        <w:rPr>
          <w:sz w:val="20"/>
          <w:szCs w:val="20"/>
          <w:lang w:val="id-ID" w:eastAsia="id-ID"/>
        </w:rPr>
        <w:t>, Budi Utama, Yogyakarta, 2017, h.33.</w:t>
      </w:r>
    </w:p>
  </w:footnote>
  <w:footnote w:id="39">
    <w:p w:rsidR="008A044E" w:rsidRPr="00B2673A" w:rsidRDefault="008A044E" w:rsidP="008A044E">
      <w:pPr>
        <w:pStyle w:val="FootnoteText"/>
        <w:ind w:firstLine="709"/>
        <w:rPr>
          <w:lang w:val="id-ID"/>
        </w:rPr>
      </w:pPr>
      <w:r w:rsidRPr="00B2673A">
        <w:rPr>
          <w:rStyle w:val="FootnoteReference"/>
        </w:rPr>
        <w:footnoteRef/>
      </w:r>
      <w:r w:rsidRPr="00B2673A">
        <w:rPr>
          <w:i/>
          <w:lang w:val="id-ID"/>
        </w:rPr>
        <w:t>Ibid</w:t>
      </w:r>
      <w:r w:rsidRPr="00B2673A">
        <w:rPr>
          <w:lang w:val="id-ID"/>
        </w:rPr>
        <w:t>, h.35.</w:t>
      </w:r>
    </w:p>
  </w:footnote>
  <w:footnote w:id="40">
    <w:p w:rsidR="008A044E" w:rsidRPr="00B2673A" w:rsidRDefault="008A044E" w:rsidP="008A044E">
      <w:pPr>
        <w:pStyle w:val="FootnoteText"/>
        <w:ind w:firstLine="709"/>
        <w:rPr>
          <w:lang w:val="id-ID"/>
        </w:rPr>
      </w:pPr>
      <w:r w:rsidRPr="00B2673A">
        <w:rPr>
          <w:rStyle w:val="FootnoteReference"/>
        </w:rPr>
        <w:footnoteRef/>
      </w:r>
      <w:r w:rsidRPr="00B2673A">
        <w:rPr>
          <w:color w:val="000000"/>
        </w:rPr>
        <w:t>Sumiati</w:t>
      </w:r>
      <w:r w:rsidRPr="00B2673A">
        <w:rPr>
          <w:color w:val="000000"/>
          <w:lang w:val="id-ID"/>
        </w:rPr>
        <w:t xml:space="preserve">, </w:t>
      </w:r>
      <w:r w:rsidRPr="00B2673A">
        <w:rPr>
          <w:i/>
          <w:color w:val="000000"/>
          <w:lang w:val="id-ID"/>
        </w:rPr>
        <w:t xml:space="preserve">Op.Cit, </w:t>
      </w:r>
      <w:r w:rsidRPr="00B2673A">
        <w:rPr>
          <w:color w:val="000000"/>
          <w:lang w:val="id-ID"/>
        </w:rPr>
        <w:t xml:space="preserve"> h.82.</w:t>
      </w:r>
    </w:p>
  </w:footnote>
  <w:footnote w:id="41">
    <w:p w:rsidR="008A044E" w:rsidRPr="00B2673A" w:rsidRDefault="008A044E" w:rsidP="008A044E">
      <w:pPr>
        <w:pStyle w:val="FootnoteText"/>
        <w:ind w:firstLine="709"/>
        <w:jc w:val="both"/>
      </w:pPr>
      <w:r w:rsidRPr="00B2673A">
        <w:rPr>
          <w:rStyle w:val="FootnoteReference"/>
        </w:rPr>
        <w:footnoteRef/>
      </w:r>
      <w:r w:rsidRPr="00B2673A">
        <w:rPr>
          <w:i/>
          <w:lang w:val="id-ID"/>
        </w:rPr>
        <w:t>Ibid</w:t>
      </w:r>
      <w:r w:rsidRPr="00B2673A">
        <w:rPr>
          <w:lang w:val="id-ID"/>
        </w:rPr>
        <w:t>, h.83</w:t>
      </w:r>
      <w:r w:rsidRPr="00B2673A">
        <w:t>.</w:t>
      </w:r>
    </w:p>
  </w:footnote>
  <w:footnote w:id="42">
    <w:p w:rsidR="008A044E" w:rsidRPr="00B2673A" w:rsidRDefault="008A044E" w:rsidP="008A044E">
      <w:pPr>
        <w:pStyle w:val="FootnoteText"/>
        <w:ind w:firstLine="709"/>
        <w:rPr>
          <w:lang w:val="id-ID"/>
        </w:rPr>
      </w:pPr>
      <w:r w:rsidRPr="00B2673A">
        <w:rPr>
          <w:rStyle w:val="FootnoteReference"/>
        </w:rPr>
        <w:footnoteRef/>
      </w:r>
      <w:r w:rsidRPr="00B2673A">
        <w:rPr>
          <w:i/>
          <w:lang w:val="id-ID"/>
        </w:rPr>
        <w:t>Ibid</w:t>
      </w:r>
      <w:r w:rsidRPr="00B2673A">
        <w:rPr>
          <w:lang w:val="id-ID"/>
        </w:rPr>
        <w:t>, h.84</w:t>
      </w:r>
      <w:r w:rsidRPr="00B2673A">
        <w:t>.</w:t>
      </w:r>
    </w:p>
  </w:footnote>
  <w:footnote w:id="43">
    <w:p w:rsidR="008A044E" w:rsidRPr="00B2673A" w:rsidRDefault="008A044E" w:rsidP="008A044E">
      <w:pPr>
        <w:pStyle w:val="FootnoteText"/>
        <w:ind w:firstLine="709"/>
        <w:rPr>
          <w:lang w:val="id-ID"/>
        </w:rPr>
      </w:pPr>
      <w:r w:rsidRPr="00B2673A">
        <w:rPr>
          <w:rStyle w:val="FootnoteReference"/>
        </w:rPr>
        <w:footnoteRef/>
      </w:r>
      <w:r w:rsidRPr="00B2673A">
        <w:rPr>
          <w:lang w:val="id-ID" w:eastAsia="id-ID"/>
        </w:rPr>
        <w:t xml:space="preserve">Siti Zubaidah, </w:t>
      </w:r>
      <w:r w:rsidRPr="00B2673A">
        <w:rPr>
          <w:i/>
          <w:lang w:val="id-ID" w:eastAsia="id-ID"/>
        </w:rPr>
        <w:t>Op.Cit</w:t>
      </w:r>
      <w:r w:rsidRPr="00B2673A">
        <w:rPr>
          <w:lang w:val="id-ID" w:eastAsia="id-ID"/>
        </w:rPr>
        <w:t>, h.111.</w:t>
      </w:r>
    </w:p>
  </w:footnote>
  <w:footnote w:id="44">
    <w:p w:rsidR="008A044E" w:rsidRPr="00B2673A" w:rsidRDefault="008A044E" w:rsidP="008A044E">
      <w:pPr>
        <w:pStyle w:val="FootnoteText"/>
        <w:ind w:firstLine="709"/>
        <w:rPr>
          <w:lang w:val="id-ID"/>
        </w:rPr>
      </w:pPr>
      <w:r w:rsidRPr="00B2673A">
        <w:rPr>
          <w:rStyle w:val="FootnoteReference"/>
        </w:rPr>
        <w:footnoteRef/>
      </w:r>
      <w:r w:rsidRPr="00B2673A">
        <w:rPr>
          <w:i/>
          <w:lang w:val="id-ID"/>
        </w:rPr>
        <w:t>Ibid</w:t>
      </w:r>
      <w:r w:rsidRPr="00B2673A">
        <w:rPr>
          <w:lang w:val="id-ID"/>
        </w:rPr>
        <w:t>, h.112.</w:t>
      </w:r>
    </w:p>
  </w:footnote>
  <w:footnote w:id="45">
    <w:p w:rsidR="008A044E" w:rsidRPr="00B2673A" w:rsidRDefault="008A044E" w:rsidP="008A044E">
      <w:pPr>
        <w:pStyle w:val="FootnoteText"/>
        <w:ind w:firstLine="709"/>
        <w:rPr>
          <w:lang w:val="id-ID"/>
        </w:rPr>
      </w:pPr>
      <w:r w:rsidRPr="00B2673A">
        <w:rPr>
          <w:rStyle w:val="FootnoteReference"/>
        </w:rPr>
        <w:footnoteRef/>
      </w:r>
      <w:r w:rsidRPr="00B2673A">
        <w:rPr>
          <w:i/>
          <w:lang w:val="id-ID"/>
        </w:rPr>
        <w:t>Ibid</w:t>
      </w:r>
      <w:r w:rsidRPr="00B2673A">
        <w:rPr>
          <w:lang w:val="id-ID"/>
        </w:rPr>
        <w:t>, h.113.</w:t>
      </w:r>
    </w:p>
  </w:footnote>
  <w:footnote w:id="46">
    <w:p w:rsidR="008A044E" w:rsidRPr="00B2673A" w:rsidRDefault="008A044E" w:rsidP="008A044E">
      <w:pPr>
        <w:pStyle w:val="FootnoteText"/>
        <w:ind w:firstLine="709"/>
        <w:rPr>
          <w:lang w:val="id-ID"/>
        </w:rPr>
      </w:pPr>
      <w:r w:rsidRPr="00B2673A">
        <w:rPr>
          <w:rStyle w:val="FootnoteReference"/>
        </w:rPr>
        <w:footnoteRef/>
      </w:r>
      <w:r w:rsidRPr="00B2673A">
        <w:rPr>
          <w:i/>
          <w:lang w:val="id-ID"/>
        </w:rPr>
        <w:t>Ibid</w:t>
      </w:r>
      <w:r w:rsidRPr="00B2673A">
        <w:rPr>
          <w:lang w:val="id-ID"/>
        </w:rPr>
        <w:t>, h.116.</w:t>
      </w:r>
    </w:p>
  </w:footnote>
  <w:footnote w:id="47">
    <w:p w:rsidR="008A044E" w:rsidRDefault="008A044E" w:rsidP="008A044E">
      <w:pPr>
        <w:pStyle w:val="FootnoteText"/>
        <w:ind w:firstLine="709"/>
        <w:jc w:val="both"/>
      </w:pPr>
      <w:r>
        <w:rPr>
          <w:rStyle w:val="FootnoteReference"/>
        </w:rPr>
        <w:footnoteRef/>
      </w:r>
      <w:bookmarkStart w:id="5" w:name="_Hlk90875656"/>
      <w:r w:rsidRPr="00B547AC">
        <w:t xml:space="preserve">Sarwirini dan Riza, </w:t>
      </w:r>
      <w:r w:rsidRPr="00B547AC">
        <w:rPr>
          <w:i/>
          <w:iCs/>
        </w:rPr>
        <w:t xml:space="preserve">Rehabilitation of Narcotics Addicts as the Rights to Health, Atlantis Press, Advances in Social Science, Education and Humanities Research (ASSEHR), </w:t>
      </w:r>
      <w:r w:rsidRPr="00B547AC">
        <w:t>Vol. 131 No.3 Thn 2017</w:t>
      </w:r>
      <w:bookmarkEnd w:id="5"/>
      <w:r>
        <w:rPr>
          <w:sz w:val="23"/>
          <w:szCs w:val="23"/>
        </w:rPr>
        <w:t>, h.77.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FA" w:rsidRDefault="00F122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FA" w:rsidRPr="00B93F23" w:rsidRDefault="00F122FA" w:rsidP="00F122FA">
    <w:pPr>
      <w:pStyle w:val="Header"/>
      <w:jc w:val="right"/>
      <w:rPr>
        <w:lang w:val="id-ID"/>
      </w:rPr>
    </w:pPr>
    <w:r>
      <w:rPr>
        <w:lang w:val="id-ID"/>
      </w:rPr>
      <w:t>PUBLISH: 21/11/2025 8:39:40</w:t>
    </w:r>
  </w:p>
  <w:p w:rsidR="0032714F" w:rsidRDefault="004504FF">
    <w:pPr>
      <w:pStyle w:val="Header"/>
      <w:jc w:val="right"/>
    </w:pPr>
  </w:p>
  <w:p w:rsidR="0032714F" w:rsidRPr="007E1322" w:rsidRDefault="00BE1E7A" w:rsidP="00513B75">
    <w:pPr>
      <w:tabs>
        <w:tab w:val="left" w:pos="2700"/>
        <w:tab w:val="center" w:pos="4308"/>
      </w:tabs>
      <w:spacing w:line="360" w:lineRule="auto"/>
      <w:ind w:right="-680"/>
      <w:rPr>
        <w:b/>
        <w:color w:val="00B050"/>
        <w:sz w:val="28"/>
      </w:rPr>
    </w:pPr>
    <w:r>
      <w:rPr>
        <w:b/>
        <w:color w:val="00B050"/>
      </w:rPr>
      <w:tab/>
    </w:r>
    <w:r>
      <w:rPr>
        <w:b/>
        <w:color w:val="00B050"/>
      </w:rPr>
      <w:tab/>
    </w:r>
  </w:p>
  <w:p w:rsidR="0032714F" w:rsidRDefault="00BE1E7A">
    <w:pPr>
      <w:pStyle w:val="Header"/>
    </w:pPr>
    <w:r>
      <w:rPr>
        <w:noProof/>
        <w:lang w:val="id-ID" w:eastAsia="id-ID"/>
      </w:rPr>
      <w:drawing>
        <wp:anchor distT="0" distB="0" distL="114300" distR="114300" simplePos="0" relativeHeight="251660288" behindDoc="1" locked="0" layoutInCell="1" allowOverlap="1">
          <wp:simplePos x="0" y="0"/>
          <wp:positionH relativeFrom="column">
            <wp:posOffset>51435</wp:posOffset>
          </wp:positionH>
          <wp:positionV relativeFrom="paragraph">
            <wp:posOffset>2499360</wp:posOffset>
          </wp:positionV>
          <wp:extent cx="5037455" cy="4477385"/>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FA" w:rsidRDefault="00F122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60794A"/>
    <w:multiLevelType w:val="hybridMultilevel"/>
    <w:tmpl w:val="D638A828"/>
    <w:lvl w:ilvl="0" w:tplc="656660BC">
      <w:start w:val="1"/>
      <w:numFmt w:val="lowerLetter"/>
      <w:lvlText w:val="%1."/>
      <w:lvlJc w:val="left"/>
      <w:pPr>
        <w:tabs>
          <w:tab w:val="num" w:pos="735"/>
        </w:tabs>
        <w:ind w:left="735" w:hanging="375"/>
      </w:pPr>
      <w:rPr>
        <w:rFonts w:ascii="Times New Roman" w:eastAsia="Times New Roman" w:hAnsi="Times New Roman" w:cs="Times New Roman"/>
        <w:b w:val="0"/>
      </w:rPr>
    </w:lvl>
    <w:lvl w:ilvl="1" w:tplc="BDDE960E">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84E613DE">
      <w:start w:val="1"/>
      <w:numFmt w:val="decimal"/>
      <w:lvlText w:val="%4)"/>
      <w:lvlJc w:val="left"/>
      <w:pPr>
        <w:ind w:left="2880" w:hanging="360"/>
      </w:pPr>
      <w:rPr>
        <w:rFonts w:hint="default"/>
      </w:rPr>
    </w:lvl>
    <w:lvl w:ilvl="4" w:tplc="A26ED83A">
      <w:start w:val="1"/>
      <w:numFmt w:val="lowerLetter"/>
      <w:lvlText w:val="%5."/>
      <w:lvlJc w:val="left"/>
      <w:pPr>
        <w:ind w:left="3600" w:hanging="360"/>
      </w:pPr>
      <w:rPr>
        <w:rFonts w:ascii="Times New Roman" w:eastAsia="Calibri"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5D2456"/>
    <w:multiLevelType w:val="hybridMultilevel"/>
    <w:tmpl w:val="BA280E54"/>
    <w:lvl w:ilvl="0" w:tplc="948EA746">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D6E89"/>
    <w:multiLevelType w:val="hybridMultilevel"/>
    <w:tmpl w:val="604007F6"/>
    <w:lvl w:ilvl="0" w:tplc="D700C3F8">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8A2FE9"/>
    <w:multiLevelType w:val="hybridMultilevel"/>
    <w:tmpl w:val="E162F4FC"/>
    <w:lvl w:ilvl="0" w:tplc="4824DE3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E3BB9"/>
    <w:multiLevelType w:val="hybridMultilevel"/>
    <w:tmpl w:val="7DB02FE0"/>
    <w:lvl w:ilvl="0" w:tplc="513E1D1A">
      <w:start w:val="1"/>
      <w:numFmt w:val="lowerLetter"/>
      <w:lvlText w:val="%1."/>
      <w:lvlJc w:val="left"/>
      <w:pPr>
        <w:tabs>
          <w:tab w:val="num" w:pos="540"/>
        </w:tabs>
        <w:ind w:left="540" w:hanging="360"/>
      </w:pPr>
      <w:rPr>
        <w:rFonts w:ascii="Times New Roman" w:eastAsia="Times New Roman" w:hAnsi="Times New Roman" w:cs="Times New Roman"/>
      </w:rPr>
    </w:lvl>
    <w:lvl w:ilvl="1" w:tplc="4142089A">
      <w:start w:val="1"/>
      <w:numFmt w:val="decimal"/>
      <w:lvlText w:val="%2."/>
      <w:lvlJc w:val="left"/>
      <w:pPr>
        <w:tabs>
          <w:tab w:val="num" w:pos="1260"/>
        </w:tabs>
        <w:ind w:left="1260" w:hanging="360"/>
      </w:pPr>
      <w:rPr>
        <w:rFonts w:hint="default"/>
      </w:rPr>
    </w:lvl>
    <w:lvl w:ilvl="2" w:tplc="0409000F">
      <w:start w:val="1"/>
      <w:numFmt w:val="decimal"/>
      <w:lvlText w:val="%3."/>
      <w:lvlJc w:val="left"/>
      <w:pPr>
        <w:tabs>
          <w:tab w:val="num" w:pos="2160"/>
        </w:tabs>
        <w:ind w:left="2160" w:hanging="360"/>
      </w:pPr>
    </w:lvl>
    <w:lvl w:ilvl="3" w:tplc="4C642C06">
      <w:start w:val="1"/>
      <w:numFmt w:val="lowerLetter"/>
      <w:lvlText w:val="(%4)"/>
      <w:lvlJc w:val="left"/>
      <w:pPr>
        <w:ind w:left="2700" w:hanging="360"/>
      </w:pPr>
      <w:rPr>
        <w:rFonts w:hint="default"/>
        <w:color w:val="auto"/>
      </w:rPr>
    </w:lvl>
    <w:lvl w:ilvl="4" w:tplc="276E3078">
      <w:start w:val="1"/>
      <w:numFmt w:val="decimal"/>
      <w:lvlText w:val="(%5)"/>
      <w:lvlJc w:val="left"/>
      <w:pPr>
        <w:ind w:left="3420" w:hanging="360"/>
      </w:pPr>
      <w:rPr>
        <w:rFonts w:hint="default"/>
        <w:color w:val="auto"/>
      </w:rPr>
    </w:lvl>
    <w:lvl w:ilvl="5" w:tplc="EE6EB49A">
      <w:start w:val="1"/>
      <w:numFmt w:val="upperLetter"/>
      <w:lvlText w:val="%6."/>
      <w:lvlJc w:val="left"/>
      <w:pPr>
        <w:ind w:left="4320" w:hanging="360"/>
      </w:pPr>
      <w:rPr>
        <w:rFonts w:hint="default"/>
      </w:rPr>
    </w:lvl>
    <w:lvl w:ilvl="6" w:tplc="E244EA82">
      <w:start w:val="1"/>
      <w:numFmt w:val="decimal"/>
      <w:lvlText w:val="%7"/>
      <w:lvlJc w:val="left"/>
      <w:pPr>
        <w:ind w:left="4860" w:hanging="360"/>
      </w:pPr>
      <w:rPr>
        <w:rFonts w:hint="default"/>
      </w:rPr>
    </w:lvl>
    <w:lvl w:ilvl="7" w:tplc="1F30DA20">
      <w:start w:val="1"/>
      <w:numFmt w:val="decimal"/>
      <w:lvlText w:val="%8)"/>
      <w:lvlJc w:val="left"/>
      <w:pPr>
        <w:ind w:left="5580" w:hanging="360"/>
      </w:pPr>
      <w:rPr>
        <w:rFonts w:hint="default"/>
      </w:rPr>
    </w:lvl>
    <w:lvl w:ilvl="8" w:tplc="0409001B" w:tentative="1">
      <w:start w:val="1"/>
      <w:numFmt w:val="lowerRoman"/>
      <w:lvlText w:val="%9."/>
      <w:lvlJc w:val="right"/>
      <w:pPr>
        <w:tabs>
          <w:tab w:val="num" w:pos="6300"/>
        </w:tabs>
        <w:ind w:left="6300" w:hanging="180"/>
      </w:pPr>
    </w:lvl>
  </w:abstractNum>
  <w:abstractNum w:abstractNumId="6">
    <w:nsid w:val="0E836E74"/>
    <w:multiLevelType w:val="hybridMultilevel"/>
    <w:tmpl w:val="38D82010"/>
    <w:lvl w:ilvl="0" w:tplc="1FD8FCC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F544B7F"/>
    <w:multiLevelType w:val="multilevel"/>
    <w:tmpl w:val="0D26AE7C"/>
    <w:lvl w:ilvl="0">
      <w:start w:val="1"/>
      <w:numFmt w:val="upperLetter"/>
      <w:lvlText w:val="%1."/>
      <w:lvlJc w:val="left"/>
      <w:pPr>
        <w:tabs>
          <w:tab w:val="num" w:pos="360"/>
        </w:tabs>
        <w:ind w:left="360" w:hanging="360"/>
      </w:pPr>
    </w:lvl>
    <w:lvl w:ilvl="1">
      <w:start w:val="1"/>
      <w:numFmt w:val="decimal"/>
      <w:lvlText w:val="(%2)"/>
      <w:lvlJc w:val="left"/>
      <w:pPr>
        <w:tabs>
          <w:tab w:val="num" w:pos="2850"/>
        </w:tabs>
        <w:ind w:left="2850" w:hanging="1410"/>
      </w:pPr>
      <w:rPr>
        <w:rFonts w:hint="default"/>
      </w:rPr>
    </w:lvl>
    <w:lvl w:ilvl="2">
      <w:start w:val="1"/>
      <w:numFmt w:val="lowerLetter"/>
      <w:lvlText w:val="%3."/>
      <w:lvlJc w:val="left"/>
      <w:pPr>
        <w:tabs>
          <w:tab w:val="num" w:pos="2700"/>
        </w:tabs>
        <w:ind w:left="2700" w:hanging="360"/>
      </w:pPr>
      <w:rPr>
        <w:rFonts w:hint="default"/>
      </w:rPr>
    </w:lvl>
    <w:lvl w:ilvl="3">
      <w:start w:val="5"/>
      <w:numFmt w:val="upperLetter"/>
      <w:lvlText w:val="%4."/>
      <w:lvlJc w:val="left"/>
      <w:pPr>
        <w:tabs>
          <w:tab w:val="num" w:pos="3240"/>
        </w:tabs>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124478DB"/>
    <w:multiLevelType w:val="multilevel"/>
    <w:tmpl w:val="C3286D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9">
    <w:nsid w:val="15DE0771"/>
    <w:multiLevelType w:val="hybridMultilevel"/>
    <w:tmpl w:val="46326FF8"/>
    <w:lvl w:ilvl="0" w:tplc="8246384E">
      <w:start w:val="1"/>
      <w:numFmt w:val="upperLetter"/>
      <w:lvlText w:val="%1."/>
      <w:lvlJc w:val="left"/>
      <w:pPr>
        <w:tabs>
          <w:tab w:val="num" w:pos="720"/>
        </w:tabs>
        <w:ind w:left="720" w:hanging="360"/>
      </w:pPr>
    </w:lvl>
    <w:lvl w:ilvl="1" w:tplc="1FD8FCCC">
      <w:start w:val="1"/>
      <w:numFmt w:val="decimal"/>
      <w:lvlText w:val="%2."/>
      <w:lvlJc w:val="left"/>
      <w:pPr>
        <w:tabs>
          <w:tab w:val="num" w:pos="1440"/>
        </w:tabs>
        <w:ind w:left="1440" w:hanging="360"/>
      </w:pPr>
    </w:lvl>
    <w:lvl w:ilvl="2" w:tplc="F1C0D20C">
      <w:start w:val="1"/>
      <w:numFmt w:val="lowerLetter"/>
      <w:lvlText w:val="%3."/>
      <w:lvlJc w:val="left"/>
      <w:pPr>
        <w:ind w:left="3479" w:hanging="360"/>
      </w:pPr>
      <w:rPr>
        <w:i w:val="0"/>
      </w:rPr>
    </w:lvl>
    <w:lvl w:ilvl="3" w:tplc="0409000F">
      <w:start w:val="1"/>
      <w:numFmt w:val="decimal"/>
      <w:lvlText w:val="%4."/>
      <w:lvlJc w:val="left"/>
      <w:pPr>
        <w:tabs>
          <w:tab w:val="num" w:pos="2880"/>
        </w:tabs>
        <w:ind w:left="2880" w:hanging="360"/>
      </w:pPr>
    </w:lvl>
    <w:lvl w:ilvl="4" w:tplc="105CDA76">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40403"/>
    <w:multiLevelType w:val="hybridMultilevel"/>
    <w:tmpl w:val="38465370"/>
    <w:lvl w:ilvl="0" w:tplc="C22A5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E56FF4"/>
    <w:multiLevelType w:val="hybridMultilevel"/>
    <w:tmpl w:val="C2DC27D0"/>
    <w:lvl w:ilvl="0" w:tplc="DE644EE0">
      <w:start w:val="1"/>
      <w:numFmt w:val="decimal"/>
      <w:lvlText w:val="%1."/>
      <w:lvlJc w:val="left"/>
      <w:pPr>
        <w:ind w:left="2062" w:hanging="360"/>
      </w:pPr>
      <w:rPr>
        <w:rFonts w:ascii="Times New Roman" w:eastAsia="Times New Roman" w:hAnsi="Times New Roman" w:cs="Times New Roman"/>
        <w:b w:val="0"/>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4">
    <w:nsid w:val="27D25C69"/>
    <w:multiLevelType w:val="hybridMultilevel"/>
    <w:tmpl w:val="F1E6B4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D879C2"/>
    <w:multiLevelType w:val="hybridMultilevel"/>
    <w:tmpl w:val="6E5E9F28"/>
    <w:lvl w:ilvl="0" w:tplc="FC20F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9C6105"/>
    <w:multiLevelType w:val="hybridMultilevel"/>
    <w:tmpl w:val="00C832B2"/>
    <w:lvl w:ilvl="0" w:tplc="3344FDBA">
      <w:start w:val="1"/>
      <w:numFmt w:val="lowerLetter"/>
      <w:lvlText w:val="%1."/>
      <w:lvlJc w:val="left"/>
      <w:pPr>
        <w:tabs>
          <w:tab w:val="num" w:pos="720"/>
        </w:tabs>
        <w:ind w:left="720" w:hanging="360"/>
      </w:pPr>
      <w:rPr>
        <w:rFonts w:hint="default"/>
      </w:rPr>
    </w:lvl>
    <w:lvl w:ilvl="1" w:tplc="2006E410">
      <w:start w:val="1"/>
      <w:numFmt w:val="decimal"/>
      <w:lvlText w:val="%2."/>
      <w:lvlJc w:val="left"/>
      <w:pPr>
        <w:tabs>
          <w:tab w:val="num" w:pos="1440"/>
        </w:tabs>
        <w:ind w:left="1440" w:hanging="360"/>
      </w:pPr>
      <w:rPr>
        <w:rFonts w:hint="default"/>
      </w:rPr>
    </w:lvl>
    <w:lvl w:ilvl="2" w:tplc="520ACE94">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135FC2"/>
    <w:multiLevelType w:val="hybridMultilevel"/>
    <w:tmpl w:val="D96C80DE"/>
    <w:lvl w:ilvl="0" w:tplc="04090019">
      <w:start w:val="1"/>
      <w:numFmt w:val="lowerLetter"/>
      <w:lvlText w:val="%1."/>
      <w:lvlJc w:val="left"/>
      <w:pPr>
        <w:ind w:left="720" w:hanging="360"/>
      </w:pPr>
      <w:rPr>
        <w:rFonts w:hint="default"/>
      </w:rPr>
    </w:lvl>
    <w:lvl w:ilvl="1" w:tplc="F8CC43D8">
      <w:start w:val="1"/>
      <w:numFmt w:val="decimal"/>
      <w:lvlText w:val="%2."/>
      <w:lvlJc w:val="left"/>
      <w:pPr>
        <w:ind w:left="1440" w:hanging="360"/>
      </w:pPr>
      <w:rPr>
        <w:rFonts w:hint="default"/>
      </w:rPr>
    </w:lvl>
    <w:lvl w:ilvl="2" w:tplc="8DE2BDA4">
      <w:start w:val="1"/>
      <w:numFmt w:val="lowerLetter"/>
      <w:lvlText w:val="(%3)"/>
      <w:lvlJc w:val="left"/>
      <w:pPr>
        <w:ind w:left="2340" w:hanging="360"/>
      </w:pPr>
      <w:rPr>
        <w:rFonts w:hint="default"/>
      </w:rPr>
    </w:lvl>
    <w:lvl w:ilvl="3" w:tplc="4260D38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342849"/>
    <w:multiLevelType w:val="multilevel"/>
    <w:tmpl w:val="DF80B63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ascii="Arial" w:eastAsia="Times New Roman" w:hAnsi="Arial" w:cs="Arial"/>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0">
    <w:nsid w:val="4633508F"/>
    <w:multiLevelType w:val="hybridMultilevel"/>
    <w:tmpl w:val="7A8263FC"/>
    <w:lvl w:ilvl="0" w:tplc="845414F0">
      <w:start w:val="1"/>
      <w:numFmt w:val="lowerLetter"/>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66E3BB5"/>
    <w:multiLevelType w:val="hybridMultilevel"/>
    <w:tmpl w:val="B210BC0C"/>
    <w:lvl w:ilvl="0" w:tplc="D2F20F60">
      <w:start w:val="1"/>
      <w:numFmt w:val="decimal"/>
      <w:lvlText w:val="%1."/>
      <w:lvlJc w:val="left"/>
      <w:pPr>
        <w:ind w:left="720" w:hanging="360"/>
      </w:pPr>
      <w:rPr>
        <w:rFonts w:ascii="Times New Roman" w:eastAsia="Times New Roman"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8C91694"/>
    <w:multiLevelType w:val="hybridMultilevel"/>
    <w:tmpl w:val="E7BCD42C"/>
    <w:lvl w:ilvl="0" w:tplc="1FD8FCC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CD09DE"/>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4">
    <w:nsid w:val="4CDF4F37"/>
    <w:multiLevelType w:val="hybridMultilevel"/>
    <w:tmpl w:val="E7343716"/>
    <w:lvl w:ilvl="0" w:tplc="CCD45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C2615F"/>
    <w:multiLevelType w:val="hybridMultilevel"/>
    <w:tmpl w:val="481858A0"/>
    <w:lvl w:ilvl="0" w:tplc="1E26D824">
      <w:start w:val="2"/>
      <w:numFmt w:val="upperLetter"/>
      <w:lvlText w:val="%1."/>
      <w:lvlJc w:val="left"/>
      <w:pPr>
        <w:ind w:left="1080" w:hanging="360"/>
      </w:pPr>
      <w:rPr>
        <w:rFonts w:hint="default"/>
      </w:rPr>
    </w:lvl>
    <w:lvl w:ilvl="1" w:tplc="119AB2DE">
      <w:start w:val="1"/>
      <w:numFmt w:val="decimal"/>
      <w:lvlText w:val="%2."/>
      <w:lvlJc w:val="left"/>
      <w:pPr>
        <w:ind w:left="1800" w:hanging="360"/>
      </w:pPr>
      <w:rPr>
        <w:rFonts w:ascii="Times New Roman" w:eastAsia="Calibri" w:hAnsi="Times New Roman" w:cs="Times New Roman"/>
      </w:rPr>
    </w:lvl>
    <w:lvl w:ilvl="2" w:tplc="03ECD700">
      <w:start w:val="1"/>
      <w:numFmt w:val="decimal"/>
      <w:lvlText w:val="(%3)"/>
      <w:lvlJc w:val="left"/>
      <w:pPr>
        <w:ind w:left="2700" w:hanging="360"/>
      </w:pPr>
      <w:rPr>
        <w:rFonts w:hint="default"/>
      </w:rPr>
    </w:lvl>
    <w:lvl w:ilvl="3" w:tplc="52829C08">
      <w:start w:val="3749"/>
      <w:numFmt w:val="decimal"/>
      <w:lvlText w:val="%4"/>
      <w:lvlJc w:val="left"/>
      <w:pPr>
        <w:ind w:left="3360" w:hanging="48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0E4C32"/>
    <w:multiLevelType w:val="hybridMultilevel"/>
    <w:tmpl w:val="1744D832"/>
    <w:lvl w:ilvl="0" w:tplc="57BAE3B8">
      <w:start w:val="1"/>
      <w:numFmt w:val="upperLetter"/>
      <w:lvlText w:val="%1."/>
      <w:lvlJc w:val="left"/>
      <w:pPr>
        <w:tabs>
          <w:tab w:val="num" w:pos="720"/>
        </w:tabs>
        <w:ind w:left="720" w:hanging="360"/>
      </w:pPr>
    </w:lvl>
    <w:lvl w:ilvl="1" w:tplc="9DE4BEA2">
      <w:start w:val="1"/>
      <w:numFmt w:val="decimal"/>
      <w:lvlText w:val="%2."/>
      <w:lvlJc w:val="left"/>
      <w:pPr>
        <w:tabs>
          <w:tab w:val="num" w:pos="1440"/>
        </w:tabs>
        <w:ind w:left="1440" w:hanging="360"/>
      </w:pPr>
      <w:rPr>
        <w:rFonts w:ascii="Times New Roman" w:eastAsia="Times New Roman" w:hAnsi="Times New Roman" w:cs="Times New Roman"/>
      </w:rPr>
    </w:lvl>
    <w:lvl w:ilvl="2" w:tplc="2294FEB8">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F6156C7"/>
    <w:multiLevelType w:val="hybridMultilevel"/>
    <w:tmpl w:val="31EE0938"/>
    <w:lvl w:ilvl="0" w:tplc="CCD45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E32E1F"/>
    <w:multiLevelType w:val="hybridMultilevel"/>
    <w:tmpl w:val="90F80194"/>
    <w:lvl w:ilvl="0" w:tplc="E1889C3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A47E23"/>
    <w:multiLevelType w:val="hybridMultilevel"/>
    <w:tmpl w:val="DE144576"/>
    <w:lvl w:ilvl="0" w:tplc="0022726A">
      <w:start w:val="1"/>
      <w:numFmt w:val="decimal"/>
      <w:lvlText w:val="%1."/>
      <w:lvlJc w:val="left"/>
      <w:pPr>
        <w:tabs>
          <w:tab w:val="num" w:pos="540"/>
        </w:tabs>
        <w:ind w:left="540" w:hanging="360"/>
      </w:pPr>
      <w:rPr>
        <w:rFonts w:hint="default"/>
      </w:rPr>
    </w:lvl>
    <w:lvl w:ilvl="1" w:tplc="04090019">
      <w:start w:val="1"/>
      <w:numFmt w:val="upperLetter"/>
      <w:lvlText w:val="%2."/>
      <w:lvlJc w:val="left"/>
      <w:pPr>
        <w:tabs>
          <w:tab w:val="num" w:pos="1260"/>
        </w:tabs>
        <w:ind w:left="1260" w:hanging="360"/>
      </w:pPr>
      <w:rPr>
        <w:rFonts w:hint="default"/>
      </w:rPr>
    </w:lvl>
    <w:lvl w:ilvl="2" w:tplc="0409001B">
      <w:start w:val="1"/>
      <w:numFmt w:val="lowerLetter"/>
      <w:lvlText w:val="%3."/>
      <w:lvlJc w:val="left"/>
      <w:pPr>
        <w:tabs>
          <w:tab w:val="num" w:pos="2160"/>
        </w:tabs>
        <w:ind w:left="2160" w:hanging="360"/>
      </w:pPr>
      <w:rPr>
        <w:rFonts w:hint="default"/>
        <w:b w:val="0"/>
      </w:rPr>
    </w:lvl>
    <w:lvl w:ilvl="3" w:tplc="0409000F">
      <w:start w:val="1"/>
      <w:numFmt w:val="decimal"/>
      <w:lvlText w:val="%4."/>
      <w:lvlJc w:val="left"/>
      <w:pPr>
        <w:tabs>
          <w:tab w:val="num" w:pos="2700"/>
        </w:tabs>
        <w:ind w:left="2700" w:hanging="360"/>
      </w:pPr>
    </w:lvl>
    <w:lvl w:ilvl="4" w:tplc="04090019">
      <w:start w:val="1"/>
      <w:numFmt w:val="lowerLetter"/>
      <w:lvlText w:val="(%5)"/>
      <w:lvlJc w:val="left"/>
      <w:pPr>
        <w:ind w:left="3420" w:hanging="360"/>
      </w:pPr>
      <w:rPr>
        <w:rFonts w:hint="default"/>
        <w:color w:val="000000"/>
        <w:sz w:val="23"/>
      </w:rPr>
    </w:lvl>
    <w:lvl w:ilvl="5" w:tplc="6C461D36"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6F711F79"/>
    <w:multiLevelType w:val="hybridMultilevel"/>
    <w:tmpl w:val="E528B5FA"/>
    <w:lvl w:ilvl="0" w:tplc="41420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9A3DDB"/>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32">
    <w:nsid w:val="7B7A5BD9"/>
    <w:multiLevelType w:val="multilevel"/>
    <w:tmpl w:val="E93C4D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7C552A4D"/>
    <w:multiLevelType w:val="hybridMultilevel"/>
    <w:tmpl w:val="ED580BA0"/>
    <w:lvl w:ilvl="0" w:tplc="39C6BC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B57BE8"/>
    <w:multiLevelType w:val="hybridMultilevel"/>
    <w:tmpl w:val="DFEC0192"/>
    <w:lvl w:ilvl="0" w:tplc="B2202BE6">
      <w:start w:val="1"/>
      <w:numFmt w:val="upperLetter"/>
      <w:lvlText w:val="%1."/>
      <w:lvlJc w:val="left"/>
      <w:pPr>
        <w:ind w:left="3960" w:hanging="360"/>
      </w:pPr>
      <w:rPr>
        <w:rFonts w:hint="default"/>
        <w:b/>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num w:numId="1">
    <w:abstractNumId w:val="11"/>
  </w:num>
  <w:num w:numId="2">
    <w:abstractNumId w:val="19"/>
  </w:num>
  <w:num w:numId="3">
    <w:abstractNumId w:val="0"/>
  </w:num>
  <w:num w:numId="4">
    <w:abstractNumId w:val="10"/>
  </w:num>
  <w:num w:numId="5">
    <w:abstractNumId w:val="31"/>
  </w:num>
  <w:num w:numId="6">
    <w:abstractNumId w:val="2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4"/>
  </w:num>
  <w:num w:numId="11">
    <w:abstractNumId w:val="1"/>
  </w:num>
  <w:num w:numId="12">
    <w:abstractNumId w:val="27"/>
  </w:num>
  <w:num w:numId="13">
    <w:abstractNumId w:val="24"/>
  </w:num>
  <w:num w:numId="14">
    <w:abstractNumId w:val="12"/>
  </w:num>
  <w:num w:numId="15">
    <w:abstractNumId w:val="29"/>
  </w:num>
  <w:num w:numId="16">
    <w:abstractNumId w:val="32"/>
  </w:num>
  <w:num w:numId="17">
    <w:abstractNumId w:val="5"/>
  </w:num>
  <w:num w:numId="18">
    <w:abstractNumId w:val="17"/>
  </w:num>
  <w:num w:numId="19">
    <w:abstractNumId w:val="4"/>
  </w:num>
  <w:num w:numId="20">
    <w:abstractNumId w:val="30"/>
  </w:num>
  <w:num w:numId="21">
    <w:abstractNumId w:val="14"/>
  </w:num>
  <w:num w:numId="22">
    <w:abstractNumId w:val="16"/>
  </w:num>
  <w:num w:numId="23">
    <w:abstractNumId w:val="25"/>
  </w:num>
  <w:num w:numId="24">
    <w:abstractNumId w:val="2"/>
  </w:num>
  <w:num w:numId="25">
    <w:abstractNumId w:val="7"/>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0"/>
  </w:num>
  <w:num w:numId="29">
    <w:abstractNumId w:val="15"/>
  </w:num>
  <w:num w:numId="30">
    <w:abstractNumId w:val="33"/>
  </w:num>
  <w:num w:numId="31">
    <w:abstractNumId w:val="13"/>
  </w:num>
  <w:num w:numId="32">
    <w:abstractNumId w:val="3"/>
  </w:num>
  <w:num w:numId="33">
    <w:abstractNumId w:val="21"/>
  </w:num>
  <w:num w:numId="34">
    <w:abstractNumId w:val="18"/>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HVNQz0SH3IfcghL1zO7DYE6VSDA=" w:salt="5+E9OMl5/2QXm/c+GQ1mIg=="/>
  <w:defaultTabStop w:val="720"/>
  <w:characterSpacingControl w:val="doNotCompress"/>
  <w:footnotePr>
    <w:footnote w:id="0"/>
    <w:footnote w:id="1"/>
  </w:footnotePr>
  <w:endnotePr>
    <w:endnote w:id="0"/>
    <w:endnote w:id="1"/>
  </w:endnotePr>
  <w:compat/>
  <w:rsids>
    <w:rsidRoot w:val="007E2386"/>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2728"/>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504FF"/>
    <w:rsid w:val="004600A5"/>
    <w:rsid w:val="0048072F"/>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E2386"/>
    <w:rsid w:val="007F1F85"/>
    <w:rsid w:val="007F5B31"/>
    <w:rsid w:val="007F7FEE"/>
    <w:rsid w:val="00813441"/>
    <w:rsid w:val="008356DE"/>
    <w:rsid w:val="00837FE8"/>
    <w:rsid w:val="0084746B"/>
    <w:rsid w:val="00875212"/>
    <w:rsid w:val="008A044E"/>
    <w:rsid w:val="008A1B63"/>
    <w:rsid w:val="008B1749"/>
    <w:rsid w:val="008B1E7D"/>
    <w:rsid w:val="008B3672"/>
    <w:rsid w:val="008C0DE8"/>
    <w:rsid w:val="008D1D14"/>
    <w:rsid w:val="008D5BD7"/>
    <w:rsid w:val="008F414E"/>
    <w:rsid w:val="009059C6"/>
    <w:rsid w:val="00910435"/>
    <w:rsid w:val="00957551"/>
    <w:rsid w:val="0096008D"/>
    <w:rsid w:val="009A0B05"/>
    <w:rsid w:val="009B20C1"/>
    <w:rsid w:val="009B499B"/>
    <w:rsid w:val="009F284E"/>
    <w:rsid w:val="00A31400"/>
    <w:rsid w:val="00A36969"/>
    <w:rsid w:val="00A42117"/>
    <w:rsid w:val="00A55332"/>
    <w:rsid w:val="00A615EC"/>
    <w:rsid w:val="00A72393"/>
    <w:rsid w:val="00AA647E"/>
    <w:rsid w:val="00AD1873"/>
    <w:rsid w:val="00AE490C"/>
    <w:rsid w:val="00AF575E"/>
    <w:rsid w:val="00B267B5"/>
    <w:rsid w:val="00B314BB"/>
    <w:rsid w:val="00B41472"/>
    <w:rsid w:val="00B4607B"/>
    <w:rsid w:val="00B660DB"/>
    <w:rsid w:val="00B8337D"/>
    <w:rsid w:val="00BB18A3"/>
    <w:rsid w:val="00BB751A"/>
    <w:rsid w:val="00BB7EA9"/>
    <w:rsid w:val="00BD7D85"/>
    <w:rsid w:val="00BE1E7A"/>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93E9F"/>
    <w:rsid w:val="00EC30B4"/>
    <w:rsid w:val="00EE1013"/>
    <w:rsid w:val="00F122FA"/>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8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B1E7D"/>
    <w:pPr>
      <w:keepNext/>
      <w:numPr>
        <w:ilvl w:val="1"/>
      </w:numPr>
      <w:tabs>
        <w:tab w:val="num" w:pos="2850"/>
      </w:tabs>
      <w:spacing w:line="528" w:lineRule="auto"/>
      <w:ind w:left="374" w:hanging="1410"/>
      <w:jc w:val="both"/>
      <w:outlineLvl w:val="3"/>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2386"/>
    <w:pPr>
      <w:tabs>
        <w:tab w:val="center" w:pos="4320"/>
        <w:tab w:val="right" w:pos="8640"/>
      </w:tabs>
    </w:pPr>
  </w:style>
  <w:style w:type="character" w:customStyle="1" w:styleId="HeaderChar">
    <w:name w:val="Header Char"/>
    <w:basedOn w:val="DefaultParagraphFont"/>
    <w:link w:val="Header"/>
    <w:uiPriority w:val="99"/>
    <w:rsid w:val="007E2386"/>
    <w:rPr>
      <w:rFonts w:ascii="Times New Roman" w:eastAsia="Times New Roman" w:hAnsi="Times New Roman" w:cs="Times New Roman"/>
      <w:sz w:val="24"/>
      <w:szCs w:val="24"/>
    </w:rPr>
  </w:style>
  <w:style w:type="paragraph" w:styleId="Footer">
    <w:name w:val="footer"/>
    <w:basedOn w:val="Normal"/>
    <w:link w:val="FooterChar"/>
    <w:uiPriority w:val="99"/>
    <w:rsid w:val="007E2386"/>
    <w:pPr>
      <w:tabs>
        <w:tab w:val="center" w:pos="4320"/>
        <w:tab w:val="right" w:pos="8640"/>
      </w:tabs>
    </w:pPr>
  </w:style>
  <w:style w:type="character" w:customStyle="1" w:styleId="FooterChar">
    <w:name w:val="Footer Char"/>
    <w:basedOn w:val="DefaultParagraphFont"/>
    <w:link w:val="Footer"/>
    <w:uiPriority w:val="99"/>
    <w:rsid w:val="007E2386"/>
    <w:rPr>
      <w:rFonts w:ascii="Times New Roman" w:eastAsia="Times New Roman" w:hAnsi="Times New Roman" w:cs="Times New Roman"/>
      <w:sz w:val="24"/>
      <w:szCs w:val="24"/>
    </w:rPr>
  </w:style>
  <w:style w:type="paragraph" w:styleId="BodyTextIndent">
    <w:name w:val="Body Text Indent"/>
    <w:basedOn w:val="Normal"/>
    <w:link w:val="BodyTextIndentChar"/>
    <w:rsid w:val="00A36969"/>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A36969"/>
    <w:rPr>
      <w:rFonts w:ascii="Times New Roman" w:eastAsia="Times New Roman" w:hAnsi="Times New Roman" w:cs="Times New Roman"/>
      <w:sz w:val="24"/>
      <w:szCs w:val="20"/>
    </w:rPr>
  </w:style>
  <w:style w:type="paragraph" w:styleId="BodyText3">
    <w:name w:val="Body Text 3"/>
    <w:basedOn w:val="Normal"/>
    <w:link w:val="BodyText3Char"/>
    <w:rsid w:val="00A36969"/>
    <w:pPr>
      <w:spacing w:after="120"/>
    </w:pPr>
    <w:rPr>
      <w:sz w:val="16"/>
      <w:szCs w:val="16"/>
    </w:rPr>
  </w:style>
  <w:style w:type="character" w:customStyle="1" w:styleId="BodyText3Char">
    <w:name w:val="Body Text 3 Char"/>
    <w:basedOn w:val="DefaultParagraphFont"/>
    <w:link w:val="BodyText3"/>
    <w:rsid w:val="00A36969"/>
    <w:rPr>
      <w:rFonts w:ascii="Times New Roman" w:eastAsia="Times New Roman" w:hAnsi="Times New Roman" w:cs="Times New Roman"/>
      <w:sz w:val="16"/>
      <w:szCs w:val="16"/>
    </w:rPr>
  </w:style>
  <w:style w:type="paragraph" w:customStyle="1" w:styleId="Default">
    <w:name w:val="Default"/>
    <w:rsid w:val="00E93E9F"/>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ListParagraph">
    <w:name w:val="List Paragraph"/>
    <w:aliases w:val="Body Text Char1,Char Char2,kepala,skripsi,Body of text,Header Char1"/>
    <w:basedOn w:val="Normal"/>
    <w:link w:val="ListParagraphChar"/>
    <w:uiPriority w:val="34"/>
    <w:qFormat/>
    <w:rsid w:val="00E93E9F"/>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E93E9F"/>
    <w:rPr>
      <w:rFonts w:ascii="Calibri" w:eastAsia="Calibri" w:hAnsi="Calibri" w:cs="Times New Roman"/>
      <w:lang w:val="id-ID"/>
    </w:rPr>
  </w:style>
  <w:style w:type="paragraph" w:styleId="BodyText">
    <w:name w:val="Body Text"/>
    <w:basedOn w:val="Normal"/>
    <w:link w:val="BodyTextChar"/>
    <w:uiPriority w:val="99"/>
    <w:semiHidden/>
    <w:unhideWhenUsed/>
    <w:rsid w:val="00E93E9F"/>
    <w:pPr>
      <w:spacing w:after="120"/>
    </w:pPr>
  </w:style>
  <w:style w:type="character" w:customStyle="1" w:styleId="BodyTextChar">
    <w:name w:val="Body Text Char"/>
    <w:basedOn w:val="DefaultParagraphFont"/>
    <w:link w:val="BodyText"/>
    <w:uiPriority w:val="99"/>
    <w:semiHidden/>
    <w:rsid w:val="00E93E9F"/>
    <w:rPr>
      <w:rFonts w:ascii="Times New Roman" w:eastAsia="Times New Roman" w:hAnsi="Times New Roman" w:cs="Times New Roman"/>
      <w:sz w:val="24"/>
      <w:szCs w:val="24"/>
    </w:rPr>
  </w:style>
  <w:style w:type="character" w:styleId="FootnoteReference">
    <w:name w:val="footnote reference"/>
    <w:uiPriority w:val="99"/>
    <w:rsid w:val="001E2728"/>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
    <w:basedOn w:val="Normal"/>
    <w:link w:val="FootnoteTextChar"/>
    <w:rsid w:val="001E2728"/>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rsid w:val="001E2728"/>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A7239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2393"/>
    <w:rPr>
      <w:rFonts w:ascii="Times New Roman" w:eastAsia="Times New Roman" w:hAnsi="Times New Roman" w:cs="Times New Roman"/>
      <w:sz w:val="16"/>
      <w:szCs w:val="16"/>
    </w:rPr>
  </w:style>
  <w:style w:type="character" w:customStyle="1" w:styleId="st">
    <w:name w:val="st"/>
    <w:basedOn w:val="DefaultParagraphFont"/>
    <w:rsid w:val="00A72393"/>
  </w:style>
  <w:style w:type="character" w:customStyle="1" w:styleId="Heading4Char">
    <w:name w:val="Heading 4 Char"/>
    <w:basedOn w:val="DefaultParagraphFont"/>
    <w:link w:val="Heading4"/>
    <w:rsid w:val="008B1E7D"/>
    <w:rPr>
      <w:rFonts w:ascii="Bookman Old Style" w:eastAsia="Times New Roman" w:hAnsi="Bookman Old Style" w:cs="Times New Roman"/>
      <w:b/>
      <w:sz w:val="24"/>
      <w:szCs w:val="24"/>
    </w:rPr>
  </w:style>
  <w:style w:type="character" w:styleId="Hyperlink">
    <w:name w:val="Hyperlink"/>
    <w:rsid w:val="008B1E7D"/>
    <w:rPr>
      <w:color w:val="0000FF"/>
      <w:u w:val="single"/>
    </w:rPr>
  </w:style>
  <w:style w:type="character" w:customStyle="1" w:styleId="lrzxr">
    <w:name w:val="lrzxr"/>
    <w:rsid w:val="008B1E7D"/>
  </w:style>
  <w:style w:type="character" w:customStyle="1" w:styleId="w8qarf">
    <w:name w:val="w8qarf"/>
    <w:rsid w:val="008B1E7D"/>
  </w:style>
  <w:style w:type="character" w:styleId="Emphasis">
    <w:name w:val="Emphasis"/>
    <w:uiPriority w:val="20"/>
    <w:qFormat/>
    <w:rsid w:val="008A044E"/>
    <w:rPr>
      <w:i/>
      <w:iCs/>
    </w:rPr>
  </w:style>
  <w:style w:type="character" w:customStyle="1" w:styleId="markedcontent">
    <w:name w:val="markedcontent"/>
    <w:rsid w:val="008A0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8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B1E7D"/>
    <w:pPr>
      <w:keepNext/>
      <w:numPr>
        <w:ilvl w:val="1"/>
      </w:numPr>
      <w:tabs>
        <w:tab w:val="num" w:pos="2850"/>
      </w:tabs>
      <w:spacing w:line="528" w:lineRule="auto"/>
      <w:ind w:left="374" w:hanging="1410"/>
      <w:jc w:val="both"/>
      <w:outlineLvl w:val="3"/>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2386"/>
    <w:pPr>
      <w:tabs>
        <w:tab w:val="center" w:pos="4320"/>
        <w:tab w:val="right" w:pos="8640"/>
      </w:tabs>
    </w:pPr>
  </w:style>
  <w:style w:type="character" w:customStyle="1" w:styleId="HeaderChar">
    <w:name w:val="Header Char"/>
    <w:basedOn w:val="DefaultParagraphFont"/>
    <w:link w:val="Header"/>
    <w:uiPriority w:val="99"/>
    <w:rsid w:val="007E2386"/>
    <w:rPr>
      <w:rFonts w:ascii="Times New Roman" w:eastAsia="Times New Roman" w:hAnsi="Times New Roman" w:cs="Times New Roman"/>
      <w:sz w:val="24"/>
      <w:szCs w:val="24"/>
    </w:rPr>
  </w:style>
  <w:style w:type="paragraph" w:styleId="Footer">
    <w:name w:val="footer"/>
    <w:basedOn w:val="Normal"/>
    <w:link w:val="FooterChar"/>
    <w:uiPriority w:val="99"/>
    <w:rsid w:val="007E2386"/>
    <w:pPr>
      <w:tabs>
        <w:tab w:val="center" w:pos="4320"/>
        <w:tab w:val="right" w:pos="8640"/>
      </w:tabs>
    </w:pPr>
  </w:style>
  <w:style w:type="character" w:customStyle="1" w:styleId="FooterChar">
    <w:name w:val="Footer Char"/>
    <w:basedOn w:val="DefaultParagraphFont"/>
    <w:link w:val="Footer"/>
    <w:uiPriority w:val="99"/>
    <w:rsid w:val="007E2386"/>
    <w:rPr>
      <w:rFonts w:ascii="Times New Roman" w:eastAsia="Times New Roman" w:hAnsi="Times New Roman" w:cs="Times New Roman"/>
      <w:sz w:val="24"/>
      <w:szCs w:val="24"/>
    </w:rPr>
  </w:style>
  <w:style w:type="paragraph" w:styleId="BodyTextIndent">
    <w:name w:val="Body Text Indent"/>
    <w:basedOn w:val="Normal"/>
    <w:link w:val="BodyTextIndentChar"/>
    <w:rsid w:val="00A36969"/>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A36969"/>
    <w:rPr>
      <w:rFonts w:ascii="Times New Roman" w:eastAsia="Times New Roman" w:hAnsi="Times New Roman" w:cs="Times New Roman"/>
      <w:sz w:val="24"/>
      <w:szCs w:val="20"/>
    </w:rPr>
  </w:style>
  <w:style w:type="paragraph" w:styleId="BodyText3">
    <w:name w:val="Body Text 3"/>
    <w:basedOn w:val="Normal"/>
    <w:link w:val="BodyText3Char"/>
    <w:rsid w:val="00A36969"/>
    <w:pPr>
      <w:spacing w:after="120"/>
    </w:pPr>
    <w:rPr>
      <w:sz w:val="16"/>
      <w:szCs w:val="16"/>
    </w:rPr>
  </w:style>
  <w:style w:type="character" w:customStyle="1" w:styleId="BodyText3Char">
    <w:name w:val="Body Text 3 Char"/>
    <w:basedOn w:val="DefaultParagraphFont"/>
    <w:link w:val="BodyText3"/>
    <w:rsid w:val="00A36969"/>
    <w:rPr>
      <w:rFonts w:ascii="Times New Roman" w:eastAsia="Times New Roman" w:hAnsi="Times New Roman" w:cs="Times New Roman"/>
      <w:sz w:val="16"/>
      <w:szCs w:val="16"/>
    </w:rPr>
  </w:style>
  <w:style w:type="paragraph" w:customStyle="1" w:styleId="Default">
    <w:name w:val="Default"/>
    <w:rsid w:val="00E93E9F"/>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ListParagraph">
    <w:name w:val="List Paragraph"/>
    <w:aliases w:val="Body Text Char1,Char Char2,kepala,skripsi,Body of text,Header Char1"/>
    <w:basedOn w:val="Normal"/>
    <w:link w:val="ListParagraphChar"/>
    <w:uiPriority w:val="34"/>
    <w:qFormat/>
    <w:rsid w:val="00E93E9F"/>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E93E9F"/>
    <w:rPr>
      <w:rFonts w:ascii="Calibri" w:eastAsia="Calibri" w:hAnsi="Calibri" w:cs="Times New Roman"/>
      <w:lang w:val="id-ID"/>
    </w:rPr>
  </w:style>
  <w:style w:type="paragraph" w:styleId="BodyText">
    <w:name w:val="Body Text"/>
    <w:basedOn w:val="Normal"/>
    <w:link w:val="BodyTextChar"/>
    <w:uiPriority w:val="99"/>
    <w:semiHidden/>
    <w:unhideWhenUsed/>
    <w:rsid w:val="00E93E9F"/>
    <w:pPr>
      <w:spacing w:after="120"/>
    </w:pPr>
  </w:style>
  <w:style w:type="character" w:customStyle="1" w:styleId="BodyTextChar">
    <w:name w:val="Body Text Char"/>
    <w:basedOn w:val="DefaultParagraphFont"/>
    <w:link w:val="BodyText"/>
    <w:uiPriority w:val="99"/>
    <w:semiHidden/>
    <w:rsid w:val="00E93E9F"/>
    <w:rPr>
      <w:rFonts w:ascii="Times New Roman" w:eastAsia="Times New Roman" w:hAnsi="Times New Roman" w:cs="Times New Roman"/>
      <w:sz w:val="24"/>
      <w:szCs w:val="24"/>
    </w:rPr>
  </w:style>
  <w:style w:type="character" w:styleId="FootnoteReference">
    <w:name w:val="footnote reference"/>
    <w:uiPriority w:val="99"/>
    <w:rsid w:val="001E2728"/>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
    <w:basedOn w:val="Normal"/>
    <w:link w:val="FootnoteTextChar"/>
    <w:rsid w:val="001E2728"/>
    <w:rPr>
      <w:sz w:val="20"/>
      <w:szCs w:val="20"/>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basedOn w:val="DefaultParagraphFont"/>
    <w:link w:val="FootnoteText"/>
    <w:rsid w:val="001E2728"/>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A7239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2393"/>
    <w:rPr>
      <w:rFonts w:ascii="Times New Roman" w:eastAsia="Times New Roman" w:hAnsi="Times New Roman" w:cs="Times New Roman"/>
      <w:sz w:val="16"/>
      <w:szCs w:val="16"/>
    </w:rPr>
  </w:style>
  <w:style w:type="character" w:customStyle="1" w:styleId="st">
    <w:name w:val="st"/>
    <w:basedOn w:val="DefaultParagraphFont"/>
    <w:rsid w:val="00A72393"/>
  </w:style>
  <w:style w:type="character" w:customStyle="1" w:styleId="Heading4Char">
    <w:name w:val="Heading 4 Char"/>
    <w:basedOn w:val="DefaultParagraphFont"/>
    <w:link w:val="Heading4"/>
    <w:rsid w:val="008B1E7D"/>
    <w:rPr>
      <w:rFonts w:ascii="Bookman Old Style" w:eastAsia="Times New Roman" w:hAnsi="Bookman Old Style" w:cs="Times New Roman"/>
      <w:b/>
      <w:sz w:val="24"/>
      <w:szCs w:val="24"/>
    </w:rPr>
  </w:style>
  <w:style w:type="character" w:styleId="Hyperlink">
    <w:name w:val="Hyperlink"/>
    <w:rsid w:val="008B1E7D"/>
    <w:rPr>
      <w:color w:val="0000FF"/>
      <w:u w:val="single"/>
    </w:rPr>
  </w:style>
  <w:style w:type="character" w:customStyle="1" w:styleId="lrzxr">
    <w:name w:val="lrzxr"/>
    <w:rsid w:val="008B1E7D"/>
  </w:style>
  <w:style w:type="character" w:customStyle="1" w:styleId="w8qarf">
    <w:name w:val="w8qarf"/>
    <w:rsid w:val="008B1E7D"/>
  </w:style>
  <w:style w:type="character" w:styleId="Emphasis">
    <w:name w:val="Emphasis"/>
    <w:uiPriority w:val="20"/>
    <w:qFormat/>
    <w:rsid w:val="008A044E"/>
    <w:rPr>
      <w:i/>
      <w:iCs/>
    </w:rPr>
  </w:style>
  <w:style w:type="character" w:customStyle="1" w:styleId="markedcontent">
    <w:name w:val="markedcontent"/>
    <w:rsid w:val="008A044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7134</Words>
  <Characters>40669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2025-11-21T01:42:00Z</dcterms:created>
  <dcterms:modified xsi:type="dcterms:W3CDTF">2025-11-21T01:42:00Z</dcterms:modified>
</cp:coreProperties>
</file>