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984" w:rsidRPr="00104A06" w:rsidRDefault="00AA4984" w:rsidP="00AA4984">
      <w:pPr>
        <w:pStyle w:val="BodyTextIndent"/>
        <w:tabs>
          <w:tab w:val="left" w:pos="1080"/>
        </w:tabs>
        <w:spacing w:after="0"/>
        <w:ind w:left="0"/>
        <w:jc w:val="center"/>
        <w:rPr>
          <w:b/>
        </w:rPr>
      </w:pPr>
      <w:r w:rsidRPr="00104A06">
        <w:rPr>
          <w:b/>
        </w:rPr>
        <w:t>ABSTRAK</w:t>
      </w:r>
    </w:p>
    <w:p w:rsidR="00AA4984" w:rsidRPr="00104A06" w:rsidRDefault="00AA4984" w:rsidP="00AA4984">
      <w:pPr>
        <w:pStyle w:val="BodyTextIndent"/>
        <w:tabs>
          <w:tab w:val="left" w:pos="1080"/>
        </w:tabs>
        <w:spacing w:after="0"/>
        <w:ind w:left="0"/>
        <w:jc w:val="center"/>
        <w:rPr>
          <w:b/>
        </w:rPr>
      </w:pPr>
    </w:p>
    <w:p w:rsidR="00AA4984" w:rsidRPr="00104A06" w:rsidRDefault="00AA4984" w:rsidP="00AA4984">
      <w:pPr>
        <w:pStyle w:val="BodyTextIndent"/>
        <w:tabs>
          <w:tab w:val="left" w:pos="1080"/>
        </w:tabs>
        <w:spacing w:after="0"/>
        <w:ind w:left="0"/>
        <w:jc w:val="center"/>
        <w:rPr>
          <w:b/>
          <w:bCs/>
          <w:shd w:val="clear" w:color="auto" w:fill="FFFFFF"/>
          <w:lang w:val="id-ID"/>
        </w:rPr>
      </w:pPr>
      <w:r w:rsidRPr="00104A06">
        <w:rPr>
          <w:b/>
          <w:bCs/>
          <w:spacing w:val="4"/>
          <w:lang w:val="id-ID"/>
        </w:rPr>
        <w:t xml:space="preserve">TINJAUAN YURIDIS </w:t>
      </w:r>
      <w:r w:rsidRPr="00104A06">
        <w:rPr>
          <w:b/>
          <w:bCs/>
          <w:shd w:val="clear" w:color="auto" w:fill="FFFFFF"/>
          <w:lang w:val="id-ID"/>
        </w:rPr>
        <w:t xml:space="preserve">PEMBATALAN PUTUSAN BADANPENYELESAIAN SENGKETA KONSUMEN AKIBAT </w:t>
      </w:r>
    </w:p>
    <w:p w:rsidR="00AA4984" w:rsidRPr="00104A06" w:rsidRDefault="00AA4984" w:rsidP="00AA4984">
      <w:pPr>
        <w:pStyle w:val="BodyTextIndent"/>
        <w:tabs>
          <w:tab w:val="left" w:pos="1080"/>
        </w:tabs>
        <w:spacing w:after="0"/>
        <w:ind w:left="0"/>
        <w:jc w:val="center"/>
        <w:rPr>
          <w:b/>
          <w:bCs/>
          <w:shd w:val="clear" w:color="auto" w:fill="FFFFFF"/>
          <w:lang w:val="id-ID"/>
        </w:rPr>
      </w:pPr>
      <w:r w:rsidRPr="00104A06">
        <w:rPr>
          <w:b/>
          <w:bCs/>
          <w:shd w:val="clear" w:color="auto" w:fill="FFFFFF"/>
          <w:lang w:val="id-ID"/>
        </w:rPr>
        <w:t xml:space="preserve">WANPRESTASI DALAM PERJANJIAN KREDIT </w:t>
      </w:r>
    </w:p>
    <w:p w:rsidR="00AA4984" w:rsidRPr="00104A06" w:rsidRDefault="00AA4984" w:rsidP="00AA4984">
      <w:pPr>
        <w:pStyle w:val="BodyTextIndent"/>
        <w:tabs>
          <w:tab w:val="left" w:pos="1080"/>
        </w:tabs>
        <w:spacing w:after="0"/>
        <w:ind w:left="0"/>
        <w:jc w:val="center"/>
        <w:rPr>
          <w:b/>
          <w:bCs/>
        </w:rPr>
      </w:pPr>
      <w:r w:rsidRPr="00104A06">
        <w:rPr>
          <w:b/>
          <w:bCs/>
          <w:shd w:val="clear" w:color="auto" w:fill="FFFFFF"/>
          <w:lang w:val="id-ID"/>
        </w:rPr>
        <w:t xml:space="preserve">(Studi Putusan </w:t>
      </w:r>
      <w:r w:rsidRPr="00104A06">
        <w:rPr>
          <w:b/>
          <w:bCs/>
        </w:rPr>
        <w:t>Nomor 587 K/Pdt.Sus-BPSK/2021)</w:t>
      </w:r>
    </w:p>
    <w:p w:rsidR="00AA4984" w:rsidRPr="00104A06" w:rsidRDefault="00AA4984" w:rsidP="00AA4984">
      <w:pPr>
        <w:pStyle w:val="BodyTextIndent"/>
        <w:tabs>
          <w:tab w:val="left" w:pos="1080"/>
        </w:tabs>
        <w:spacing w:after="0"/>
        <w:ind w:left="0"/>
        <w:jc w:val="center"/>
        <w:rPr>
          <w:b/>
        </w:rPr>
      </w:pPr>
    </w:p>
    <w:p w:rsidR="00AA4984" w:rsidRPr="00104A06" w:rsidRDefault="00AA4984" w:rsidP="00AA4984">
      <w:pPr>
        <w:jc w:val="center"/>
        <w:rPr>
          <w:b/>
        </w:rPr>
      </w:pPr>
      <w:r w:rsidRPr="00104A06">
        <w:rPr>
          <w:b/>
        </w:rPr>
        <w:t>Reza Marisi Jaya Napitupulu</w:t>
      </w:r>
    </w:p>
    <w:p w:rsidR="00AA4984" w:rsidRPr="00104A06" w:rsidRDefault="00AA4984" w:rsidP="00AA4984">
      <w:pPr>
        <w:jc w:val="center"/>
        <w:rPr>
          <w:b/>
          <w:sz w:val="20"/>
          <w:u w:val="single"/>
        </w:rPr>
      </w:pPr>
      <w:r w:rsidRPr="00104A06">
        <w:rPr>
          <w:b/>
          <w:sz w:val="20"/>
          <w:u w:val="single"/>
        </w:rPr>
        <w:t>(</w:t>
      </w:r>
      <w:r w:rsidRPr="00104A06">
        <w:rPr>
          <w:b/>
          <w:lang w:eastAsia="zh-CN"/>
        </w:rPr>
        <w:t>235114070)</w:t>
      </w:r>
    </w:p>
    <w:p w:rsidR="00AA4984" w:rsidRPr="00104A06" w:rsidRDefault="00AA4984" w:rsidP="00AA4984">
      <w:pPr>
        <w:pStyle w:val="BodyTextIndent"/>
        <w:tabs>
          <w:tab w:val="left" w:pos="1080"/>
        </w:tabs>
        <w:spacing w:after="0"/>
        <w:ind w:left="0"/>
        <w:jc w:val="center"/>
        <w:rPr>
          <w:b/>
        </w:rPr>
      </w:pPr>
      <w:r w:rsidRPr="00104A06">
        <w:rPr>
          <w:b/>
        </w:rPr>
        <w:tab/>
      </w:r>
      <w:r w:rsidRPr="00104A06">
        <w:rPr>
          <w:b/>
        </w:rPr>
        <w:tab/>
      </w:r>
      <w:r w:rsidRPr="00104A06">
        <w:rPr>
          <w:b/>
        </w:rPr>
        <w:tab/>
      </w:r>
      <w:r w:rsidRPr="00104A06">
        <w:rPr>
          <w:b/>
        </w:rPr>
        <w:tab/>
      </w:r>
      <w:r w:rsidRPr="00104A06">
        <w:rPr>
          <w:b/>
        </w:rPr>
        <w:tab/>
      </w:r>
      <w:r w:rsidRPr="00104A06">
        <w:rPr>
          <w:b/>
        </w:rPr>
        <w:tab/>
      </w:r>
    </w:p>
    <w:p w:rsidR="00AA4984" w:rsidRPr="00104A06" w:rsidRDefault="00AA4984" w:rsidP="00AA4984">
      <w:pPr>
        <w:autoSpaceDE w:val="0"/>
        <w:autoSpaceDN w:val="0"/>
        <w:adjustRightInd w:val="0"/>
        <w:jc w:val="both"/>
      </w:pPr>
      <w:r w:rsidRPr="00104A06">
        <w:t>Sengketakonsumenterjadikarenaadanyahak-hakkonsumen yang dilanggar.Penyelesaiansengketakonsumen yang dilakukan di luarpengadilandapatmelaluibadanpenyelesaiansengketa, ataudilakukansendiriolehparapihak.Rumusanmasalahdalamskripsiiniadalahbagaimanatujuanpembentukan</w:t>
      </w:r>
      <w:r w:rsidRPr="00104A06">
        <w:rPr>
          <w:bCs/>
          <w:color w:val="000000"/>
          <w:lang w:val="id-ID"/>
        </w:rPr>
        <w:t>Badan Penyelesaian Sengketa Konsumen</w:t>
      </w:r>
      <w:r w:rsidRPr="00104A06">
        <w:rPr>
          <w:bCs/>
          <w:color w:val="000000"/>
        </w:rPr>
        <w:t>, b</w:t>
      </w:r>
      <w:r w:rsidRPr="00104A06">
        <w:t>agaimana</w:t>
      </w:r>
      <w:r w:rsidRPr="00104A06">
        <w:rPr>
          <w:color w:val="000000"/>
          <w:lang w:val="id-ID"/>
        </w:rPr>
        <w:t>k</w:t>
      </w:r>
      <w:r w:rsidRPr="00104A06">
        <w:rPr>
          <w:bCs/>
          <w:color w:val="000000"/>
          <w:lang w:val="id-ID"/>
        </w:rPr>
        <w:t>ewenangan Badan Penyelesaian Sengketa Konsumen</w:t>
      </w:r>
      <w:r w:rsidRPr="00104A06">
        <w:rPr>
          <w:color w:val="000000"/>
          <w:lang w:val="id-ID"/>
        </w:rPr>
        <w:t xml:space="preserve"> dalam menyelesaikan </w:t>
      </w:r>
      <w:r w:rsidRPr="00104A06">
        <w:rPr>
          <w:i/>
          <w:iCs/>
          <w:color w:val="000000"/>
          <w:lang w:val="id-ID"/>
        </w:rPr>
        <w:t>wanprestasi</w:t>
      </w:r>
      <w:r w:rsidRPr="00104A06">
        <w:rPr>
          <w:color w:val="000000"/>
          <w:lang w:val="id-ID"/>
        </w:rPr>
        <w:t xml:space="preserve"> dalam perjanjiana kredit</w:t>
      </w:r>
      <w:r w:rsidRPr="00104A06">
        <w:rPr>
          <w:color w:val="000000"/>
        </w:rPr>
        <w:t>, b</w:t>
      </w:r>
      <w:r w:rsidRPr="00104A06">
        <w:rPr>
          <w:color w:val="000000"/>
          <w:shd w:val="clear" w:color="auto" w:fill="FFFFFF"/>
          <w:lang w:val="id-ID"/>
        </w:rPr>
        <w:t xml:space="preserve">agaimana pertimbangan hukum hakim dalam  </w:t>
      </w:r>
      <w:r w:rsidRPr="00104A06">
        <w:rPr>
          <w:lang w:val="id-ID"/>
        </w:rPr>
        <w:t xml:space="preserve">putusan </w:t>
      </w:r>
      <w:r w:rsidRPr="00104A06">
        <w:t>Nomor 587 K/Pdt.Sus-BPSK/2021</w:t>
      </w:r>
      <w:r w:rsidRPr="00104A06">
        <w:rPr>
          <w:lang w:val="id-ID"/>
        </w:rPr>
        <w:t xml:space="preserve"> yang membatalkan putusan </w:t>
      </w:r>
      <w:r w:rsidRPr="00104A06">
        <w:rPr>
          <w:bCs/>
          <w:color w:val="000000"/>
          <w:lang w:val="id-ID"/>
        </w:rPr>
        <w:t>Badan Penyelesaian Sengketa Konsumen</w:t>
      </w:r>
      <w:r w:rsidRPr="00104A06">
        <w:rPr>
          <w:bCs/>
          <w:color w:val="000000"/>
        </w:rPr>
        <w:t>.</w:t>
      </w:r>
    </w:p>
    <w:p w:rsidR="00AA4984" w:rsidRPr="00104A06" w:rsidRDefault="00AA4984" w:rsidP="00AA4984">
      <w:pPr>
        <w:adjustRightInd w:val="0"/>
        <w:jc w:val="both"/>
      </w:pPr>
      <w:r w:rsidRPr="00104A06">
        <w:t>Penelitianinibersifat</w:t>
      </w:r>
      <w:r w:rsidRPr="00104A06">
        <w:rPr>
          <w:rFonts w:eastAsia="MS Mincho"/>
        </w:rPr>
        <w:t>yuridisnormatif yang</w:t>
      </w:r>
      <w:r w:rsidRPr="00104A06">
        <w:t>menghubungkannyadenganperaturanperundang-undangan yang berlaku.Penelitianmenggunakanmetodepenelitiankepustakaan</w:t>
      </w:r>
      <w:r w:rsidRPr="00104A06">
        <w:rPr>
          <w:i/>
        </w:rPr>
        <w:t>(library research)</w:t>
      </w:r>
      <w:r w:rsidRPr="00104A06">
        <w:t>dan</w:t>
      </w:r>
      <w:r w:rsidRPr="00104A06">
        <w:rPr>
          <w:rFonts w:eastAsia="MS Mincho"/>
        </w:rPr>
        <w:t>data dianalisamenggunakananalisiskualitatifataudijabarkandengankalimat.</w:t>
      </w:r>
      <w:r w:rsidRPr="00104A06">
        <w:rPr>
          <w:bCs/>
          <w:color w:val="000000"/>
          <w:lang w:val="id-ID"/>
        </w:rPr>
        <w:t>Badan Penyelesaian Sengketa Konsumen</w:t>
      </w:r>
      <w:r w:rsidRPr="00104A06">
        <w:t>adalahbadan yang bertugasmenanganidanmenyelesaikansengketaantarapelakuusahadankonsumen. BadanPenyelesaianSengketaKonsumen (BPSK) merupakansuatulembagakhusus yang dibentukdandiaturdalamUndang-undangPerlindunganKonsumen, yang tugasutamanyaadalahmenyelesaikansengketaatauperselisihanantarakonsumendanpelakuusaha.</w:t>
      </w:r>
      <w:r w:rsidRPr="00104A06">
        <w:rPr>
          <w:bCs/>
          <w:color w:val="000000"/>
        </w:rPr>
        <w:t>K</w:t>
      </w:r>
      <w:r w:rsidRPr="00104A06">
        <w:rPr>
          <w:bCs/>
          <w:color w:val="000000"/>
          <w:lang w:val="id-ID"/>
        </w:rPr>
        <w:t>ewenangan Badan Penyelesaian Sengketa Konsumen</w:t>
      </w:r>
      <w:r w:rsidRPr="00104A06">
        <w:rPr>
          <w:color w:val="000000"/>
          <w:lang w:val="id-ID"/>
        </w:rPr>
        <w:t xml:space="preserve"> dalam menyelesaikan </w:t>
      </w:r>
      <w:r w:rsidRPr="00104A06">
        <w:rPr>
          <w:i/>
          <w:iCs/>
          <w:color w:val="000000"/>
          <w:lang w:val="id-ID"/>
        </w:rPr>
        <w:t>wanprestasi</w:t>
      </w:r>
      <w:r w:rsidRPr="00104A06">
        <w:rPr>
          <w:color w:val="000000"/>
          <w:lang w:val="id-ID"/>
        </w:rPr>
        <w:t xml:space="preserve"> dalam perjanjiana kredit </w:t>
      </w:r>
      <w:r w:rsidRPr="00104A06">
        <w:rPr>
          <w:color w:val="000000"/>
        </w:rPr>
        <w:t>adalah</w:t>
      </w:r>
      <w:r w:rsidRPr="00104A06">
        <w:rPr>
          <w:lang w:val="en-ID" w:eastAsia="id-ID"/>
        </w:rPr>
        <w:t>bukantermasukkewenangan BPSK, karenapenyelesaiansengketakreditmacettidakdiaturdalamtugasdankewenangan BPSK. BPSK melampauikewenangannyamenyelesaikansengketakreditmacet, karenakelirumenafsirkanPasal 52 Undang-UndangPerlindunganKonsumen.</w:t>
      </w:r>
      <w:r w:rsidRPr="00104A06">
        <w:rPr>
          <w:lang w:eastAsia="id-ID"/>
        </w:rPr>
        <w:t>Berdasarkanpembahasandiperolehkesimpulanbahwa</w:t>
      </w:r>
      <w:r w:rsidRPr="00104A06">
        <w:rPr>
          <w:color w:val="000000"/>
          <w:shd w:val="clear" w:color="auto" w:fill="FFFFFF"/>
        </w:rPr>
        <w:t>p</w:t>
      </w:r>
      <w:r w:rsidRPr="00104A06">
        <w:rPr>
          <w:color w:val="000000"/>
          <w:shd w:val="clear" w:color="auto" w:fill="FFFFFF"/>
          <w:lang w:val="id-ID"/>
        </w:rPr>
        <w:t xml:space="preserve">ertimbangan hukum hakim dalam  </w:t>
      </w:r>
      <w:r w:rsidRPr="00104A06">
        <w:rPr>
          <w:lang w:val="id-ID"/>
        </w:rPr>
        <w:t xml:space="preserve">putusan </w:t>
      </w:r>
      <w:r w:rsidRPr="00104A06">
        <w:t>Nomor 587 K/Pdt.Sus-BPSK/2021</w:t>
      </w:r>
      <w:r w:rsidRPr="00104A06">
        <w:rPr>
          <w:lang w:val="id-ID"/>
        </w:rPr>
        <w:t xml:space="preserve"> yang membatalkan putusan </w:t>
      </w:r>
      <w:r w:rsidRPr="00104A06">
        <w:rPr>
          <w:bCs/>
          <w:color w:val="000000"/>
          <w:lang w:val="id-ID"/>
        </w:rPr>
        <w:t>Badan Penyelesaian Sengketa Konsumen</w:t>
      </w:r>
      <w:r w:rsidRPr="00104A06">
        <w:rPr>
          <w:bCs/>
          <w:color w:val="000000"/>
        </w:rPr>
        <w:t>adalah</w:t>
      </w:r>
      <w:r w:rsidRPr="00104A06">
        <w:t>BPSK tidakberwenanguntukmenyelesaikansengketa/perkaradalambidanghukumperdataatausuatusengketa/perkara yang terbitberdasarkan</w:t>
      </w:r>
      <w:r w:rsidRPr="00104A06">
        <w:rPr>
          <w:i/>
          <w:iCs/>
        </w:rPr>
        <w:t>wanprestasi</w:t>
      </w:r>
      <w:r w:rsidRPr="00104A06">
        <w:t xml:space="preserve">terhadapperjanjian yang sudahdisepakatiolehparapihakdalamhaliniantaranasabah/debiturdengan bank yang hakdankewajibannyasudahdisepakatidalamperjanjiankredit. </w:t>
      </w:r>
    </w:p>
    <w:p w:rsidR="00AA4984" w:rsidRPr="00104A06" w:rsidRDefault="00AA4984" w:rsidP="00AA4984">
      <w:pPr>
        <w:tabs>
          <w:tab w:val="num" w:pos="720"/>
        </w:tabs>
        <w:adjustRightInd w:val="0"/>
        <w:jc w:val="both"/>
      </w:pPr>
    </w:p>
    <w:p w:rsidR="00AA4984" w:rsidRPr="00104A06" w:rsidRDefault="00AA4984" w:rsidP="00AA4984">
      <w:pPr>
        <w:adjustRightInd w:val="0"/>
        <w:jc w:val="both"/>
        <w:rPr>
          <w:b/>
          <w:bCs/>
          <w:iCs/>
          <w:color w:val="000000"/>
        </w:rPr>
      </w:pPr>
      <w:r w:rsidRPr="00104A06">
        <w:rPr>
          <w:b/>
          <w:bCs/>
        </w:rPr>
        <w:t xml:space="preserve">Kata Kunci: </w:t>
      </w:r>
      <w:r w:rsidRPr="00104A06">
        <w:rPr>
          <w:b/>
          <w:bCs/>
          <w:color w:val="000000"/>
          <w:kern w:val="16"/>
        </w:rPr>
        <w:t>Pembatalan, Putusan, BPSK</w:t>
      </w:r>
      <w:r w:rsidRPr="00104A06">
        <w:rPr>
          <w:b/>
          <w:bCs/>
          <w:iCs/>
          <w:color w:val="000000"/>
        </w:rPr>
        <w:t>, Wanprestasi.</w:t>
      </w:r>
    </w:p>
    <w:p w:rsidR="00AA4984" w:rsidRPr="00104A06" w:rsidRDefault="00AA4984" w:rsidP="00AA4984">
      <w:pPr>
        <w:adjustRightInd w:val="0"/>
        <w:jc w:val="both"/>
        <w:rPr>
          <w:b/>
          <w:bCs/>
          <w:iCs/>
          <w:color w:val="000000"/>
        </w:rPr>
      </w:pPr>
    </w:p>
    <w:p w:rsidR="00AA4984" w:rsidRPr="00104A06" w:rsidRDefault="00AA4984" w:rsidP="00AA4984">
      <w:pPr>
        <w:adjustRightInd w:val="0"/>
        <w:jc w:val="both"/>
        <w:rPr>
          <w:b/>
          <w:bCs/>
          <w:iCs/>
          <w:color w:val="000000"/>
        </w:rPr>
      </w:pPr>
    </w:p>
    <w:p w:rsidR="00AA4984" w:rsidRPr="00104A06" w:rsidRDefault="00AA4984" w:rsidP="00AA4984">
      <w:pPr>
        <w:adjustRightInd w:val="0"/>
        <w:jc w:val="both"/>
        <w:rPr>
          <w:b/>
          <w:bCs/>
          <w:iCs/>
          <w:color w:val="000000"/>
        </w:rPr>
      </w:pPr>
    </w:p>
    <w:p w:rsidR="00AA4984" w:rsidRPr="00104A06" w:rsidRDefault="00AA4984" w:rsidP="00AA4984">
      <w:pPr>
        <w:adjustRightInd w:val="0"/>
        <w:jc w:val="both"/>
        <w:rPr>
          <w:b/>
          <w:bCs/>
          <w:iCs/>
          <w:color w:val="000000"/>
        </w:rPr>
      </w:pPr>
    </w:p>
    <w:p w:rsidR="00AA4984" w:rsidRPr="00104A06" w:rsidRDefault="00AA4984" w:rsidP="00AA4984">
      <w:pPr>
        <w:adjustRightInd w:val="0"/>
        <w:jc w:val="both"/>
        <w:rPr>
          <w:b/>
          <w:bCs/>
          <w:iCs/>
          <w:color w:val="000000"/>
        </w:rPr>
      </w:pPr>
    </w:p>
    <w:p w:rsidR="00AA4984" w:rsidRPr="00104A06" w:rsidRDefault="00AA4984" w:rsidP="00AA4984">
      <w:pPr>
        <w:pStyle w:val="BodyText3"/>
        <w:rPr>
          <w:b/>
          <w:i/>
          <w:sz w:val="24"/>
          <w:szCs w:val="24"/>
        </w:rPr>
      </w:pPr>
      <w:r w:rsidRPr="00104A06">
        <w:rPr>
          <w:b/>
          <w:i/>
          <w:sz w:val="24"/>
          <w:szCs w:val="24"/>
        </w:rPr>
        <w:t>ABSTRACT</w:t>
      </w:r>
    </w:p>
    <w:p w:rsidR="00AA4984" w:rsidRPr="00104A06" w:rsidRDefault="00AA4984" w:rsidP="00AA4984">
      <w:pPr>
        <w:pStyle w:val="BodyText3"/>
        <w:rPr>
          <w:b/>
          <w:i/>
          <w:sz w:val="24"/>
          <w:szCs w:val="24"/>
        </w:rPr>
      </w:pPr>
    </w:p>
    <w:p w:rsidR="00AA4984" w:rsidRPr="00104A06" w:rsidRDefault="00AA4984" w:rsidP="00AA4984">
      <w:pPr>
        <w:pStyle w:val="BodyText3"/>
        <w:rPr>
          <w:b/>
          <w:i/>
          <w:sz w:val="24"/>
          <w:szCs w:val="24"/>
        </w:rPr>
      </w:pPr>
      <w:r w:rsidRPr="00104A06">
        <w:rPr>
          <w:b/>
          <w:i/>
          <w:sz w:val="24"/>
          <w:szCs w:val="24"/>
        </w:rPr>
        <w:t>LEGAL REVIEW OF THE CANCELLATION OF THE DECISION OF THE CONSUMER DISPUTE RESOLUTION AGENCY DUE TO</w:t>
      </w:r>
    </w:p>
    <w:p w:rsidR="00AA4984" w:rsidRPr="00104A06" w:rsidRDefault="00AA4984" w:rsidP="00AA4984">
      <w:pPr>
        <w:pStyle w:val="BodyText3"/>
        <w:rPr>
          <w:b/>
          <w:i/>
          <w:sz w:val="24"/>
          <w:szCs w:val="24"/>
        </w:rPr>
      </w:pPr>
      <w:r w:rsidRPr="00104A06">
        <w:rPr>
          <w:b/>
          <w:i/>
          <w:sz w:val="24"/>
          <w:szCs w:val="24"/>
        </w:rPr>
        <w:t>DEFAULT IN CREDIT AGREEMENT</w:t>
      </w:r>
    </w:p>
    <w:p w:rsidR="00AA4984" w:rsidRPr="00104A06" w:rsidRDefault="00AA4984" w:rsidP="00AA4984">
      <w:pPr>
        <w:pStyle w:val="BodyText3"/>
        <w:rPr>
          <w:b/>
          <w:i/>
          <w:sz w:val="24"/>
          <w:szCs w:val="24"/>
        </w:rPr>
      </w:pPr>
      <w:r w:rsidRPr="00104A06">
        <w:rPr>
          <w:b/>
          <w:i/>
          <w:sz w:val="24"/>
          <w:szCs w:val="24"/>
        </w:rPr>
        <w:t>(Study of Decision Number 587 K/Pdt.Sus-BPSK/2021)</w:t>
      </w:r>
    </w:p>
    <w:p w:rsidR="00AA4984" w:rsidRPr="00104A06" w:rsidRDefault="00AA4984" w:rsidP="00AA4984">
      <w:pPr>
        <w:pStyle w:val="BodyText3"/>
        <w:rPr>
          <w:b/>
          <w:i/>
          <w:sz w:val="24"/>
          <w:szCs w:val="24"/>
        </w:rPr>
      </w:pPr>
    </w:p>
    <w:p w:rsidR="00AA4984" w:rsidRPr="00104A06" w:rsidRDefault="00AA4984" w:rsidP="00AA4984">
      <w:pPr>
        <w:jc w:val="center"/>
        <w:rPr>
          <w:b/>
        </w:rPr>
      </w:pPr>
      <w:r w:rsidRPr="00104A06">
        <w:rPr>
          <w:b/>
        </w:rPr>
        <w:t>Reza Marisi Jaya Napitupulu</w:t>
      </w:r>
    </w:p>
    <w:p w:rsidR="00AA4984" w:rsidRPr="00104A06" w:rsidRDefault="00AA4984" w:rsidP="00AA4984">
      <w:pPr>
        <w:jc w:val="center"/>
        <w:rPr>
          <w:b/>
          <w:sz w:val="20"/>
          <w:u w:val="single"/>
        </w:rPr>
      </w:pPr>
      <w:r w:rsidRPr="00104A06">
        <w:rPr>
          <w:b/>
          <w:sz w:val="20"/>
          <w:u w:val="single"/>
        </w:rPr>
        <w:t>(</w:t>
      </w:r>
      <w:r w:rsidRPr="00104A06">
        <w:rPr>
          <w:b/>
          <w:lang w:eastAsia="zh-CN"/>
        </w:rPr>
        <w:t>235114070)</w:t>
      </w:r>
    </w:p>
    <w:p w:rsidR="00AA4984" w:rsidRPr="00104A06" w:rsidRDefault="00AA4984" w:rsidP="00AA4984">
      <w:pPr>
        <w:pStyle w:val="BodyText3"/>
        <w:jc w:val="both"/>
        <w:rPr>
          <w:i/>
          <w:sz w:val="24"/>
          <w:szCs w:val="24"/>
        </w:rPr>
      </w:pPr>
    </w:p>
    <w:p w:rsidR="00AA4984" w:rsidRPr="00104A06" w:rsidRDefault="00AA4984" w:rsidP="00AA4984">
      <w:pPr>
        <w:pStyle w:val="BodyText3"/>
        <w:jc w:val="both"/>
        <w:rPr>
          <w:i/>
          <w:sz w:val="24"/>
          <w:szCs w:val="24"/>
        </w:rPr>
      </w:pPr>
      <w:r w:rsidRPr="00104A06">
        <w:rPr>
          <w:i/>
          <w:sz w:val="24"/>
          <w:szCs w:val="24"/>
        </w:rPr>
        <w:t>Consumer disputes occur because consumer rights are violated. Settlement of consumer disputes carried out outside the court can be through a dispute resolution body, or carried out by the parties themselves. The formulation of the problem in this thesis is what is the purpose of establishing the Consumer Dispute Resolution Body, what is the authority of the Consumer Dispute Resolution Body in resolving defaults in credit agreements, what are the legal considerations of the judge in decision Number 587 K/Pdt.Sus-BPSK/2021 which canceled the decision of the Consumer Dispute Resolution Body. This research is of a normative juridical nature that connects it with applicable laws and regulations. The research uses a library research method and the data is analyzed using qualitative analysis or described in sentences. The Consumer Dispute Resolution Body is a body tasked with handling and resolving disputes between business actors and consumers. The Consumer Dispute Resolution Agency (BPSK) is a special institution established and regulated in the Consumer Protection Law, whose main task is to resolve disputes or disagreements between consumers and business actors. The authority of the Consumer Dispute Resolution Agency in resolving defaults in credit agreements is not included in the authority of the BPSK, because the resolution of bad credit disputes is not regulated in the duties and authorities of the BPSK. The BPSK exceeded its authority to resolve bad credit disputes, because it misinterpreted Article 52 of the Consumer Protection Law. Based on the discussion, it was concluded that the legal considerations of the judge in decision Number 587 K/Pdt.Sus-BPSK/2021 which canceled the decision of the Consumer Dispute Resolution Agency were that the BPSK was not authorized to resolve disputes/cases in the field of civil law or a dispute/case issued based on a default on an agreement that had been agreed upon by the parties in this case between the customer/debtor and the bank whose rights and obligations had been agreed upon in the credit agreement.</w:t>
      </w:r>
    </w:p>
    <w:p w:rsidR="00AA4984" w:rsidRPr="00104A06" w:rsidRDefault="00AA4984" w:rsidP="00AA4984">
      <w:pPr>
        <w:pStyle w:val="BodyText3"/>
        <w:rPr>
          <w:b/>
          <w:sz w:val="24"/>
          <w:szCs w:val="24"/>
        </w:rPr>
      </w:pPr>
    </w:p>
    <w:p w:rsidR="00AA4984" w:rsidRPr="00104A06" w:rsidRDefault="00AA4984" w:rsidP="00AA4984">
      <w:pPr>
        <w:pStyle w:val="BodyText3"/>
        <w:jc w:val="both"/>
        <w:rPr>
          <w:b/>
          <w:i/>
          <w:sz w:val="24"/>
          <w:szCs w:val="24"/>
        </w:rPr>
      </w:pPr>
      <w:r w:rsidRPr="00104A06">
        <w:rPr>
          <w:b/>
          <w:i/>
          <w:sz w:val="24"/>
          <w:szCs w:val="24"/>
        </w:rPr>
        <w:t>Keywords: Cancellation, Decision, BPSK, Default</w:t>
      </w:r>
    </w:p>
    <w:p w:rsidR="001625C8" w:rsidRPr="00AA4984" w:rsidRDefault="001625C8" w:rsidP="00AA4984">
      <w:bookmarkStart w:id="0" w:name="_GoBack"/>
      <w:bookmarkEnd w:id="0"/>
    </w:p>
    <w:sectPr w:rsidR="001625C8" w:rsidRPr="00AA4984" w:rsidSect="009E579C">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66E" w:rsidRDefault="00FD266E" w:rsidP="00183CEE">
      <w:r>
        <w:separator/>
      </w:r>
    </w:p>
  </w:endnote>
  <w:endnote w:type="continuationSeparator" w:id="1">
    <w:p w:rsidR="00FD266E" w:rsidRDefault="00FD266E" w:rsidP="00183C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6" w:rsidRDefault="000B37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914" w:rsidRDefault="00FD266E">
    <w:pPr>
      <w:pStyle w:val="Footer"/>
      <w:jc w:val="center"/>
    </w:pPr>
  </w:p>
  <w:p w:rsidR="00281914" w:rsidRDefault="00FD26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6" w:rsidRDefault="000B37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66E" w:rsidRDefault="00FD266E" w:rsidP="00183CEE">
      <w:r>
        <w:separator/>
      </w:r>
    </w:p>
  </w:footnote>
  <w:footnote w:type="continuationSeparator" w:id="1">
    <w:p w:rsidR="00FD266E" w:rsidRDefault="00FD266E" w:rsidP="00183C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6" w:rsidRDefault="000B37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6" w:rsidRPr="00031054" w:rsidRDefault="000B3766" w:rsidP="000B3766">
    <w:pPr>
      <w:pStyle w:val="Header"/>
      <w:jc w:val="right"/>
      <w:rPr>
        <w:lang w:val="id-ID"/>
      </w:rPr>
    </w:pPr>
    <w:r>
      <w:rPr>
        <w:lang w:val="id-ID"/>
      </w:rPr>
      <w:t>PUBLISH: 21/11/2025 8:56:02</w:t>
    </w:r>
  </w:p>
  <w:p w:rsidR="00281914" w:rsidRDefault="00FD266E">
    <w:pPr>
      <w:pStyle w:val="Header"/>
      <w:jc w:val="right"/>
    </w:pPr>
  </w:p>
  <w:p w:rsidR="00281914" w:rsidRPr="007E1322" w:rsidRDefault="00AA4984" w:rsidP="00316C21">
    <w:pPr>
      <w:tabs>
        <w:tab w:val="left" w:pos="2700"/>
        <w:tab w:val="center" w:pos="4308"/>
      </w:tabs>
      <w:spacing w:line="360" w:lineRule="auto"/>
      <w:ind w:right="-680"/>
      <w:rPr>
        <w:b/>
        <w:color w:val="00B050"/>
        <w:sz w:val="28"/>
      </w:rPr>
    </w:pPr>
    <w:r>
      <w:rPr>
        <w:b/>
        <w:color w:val="00B050"/>
      </w:rPr>
      <w:tab/>
    </w:r>
    <w:r>
      <w:rPr>
        <w:b/>
        <w:color w:val="00B050"/>
      </w:rPr>
      <w:tab/>
    </w:r>
  </w:p>
  <w:p w:rsidR="00281914" w:rsidRDefault="00AA4984">
    <w:pPr>
      <w:pStyle w:val="Header"/>
    </w:pPr>
    <w:r>
      <w:rPr>
        <w:b/>
        <w:noProof/>
        <w:color w:val="00B050"/>
        <w:lang w:val="id-ID" w:eastAsia="id-ID"/>
      </w:rPr>
      <w:drawing>
        <wp:anchor distT="0" distB="0" distL="114300" distR="114300" simplePos="0" relativeHeight="251660288" behindDoc="1" locked="0" layoutInCell="1" allowOverlap="1">
          <wp:simplePos x="0" y="0"/>
          <wp:positionH relativeFrom="column">
            <wp:posOffset>68580</wp:posOffset>
          </wp:positionH>
          <wp:positionV relativeFrom="paragraph">
            <wp:posOffset>2331085</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766" w:rsidRDefault="000B37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Gp+Q25MG7ksLUe9Ep8zlHZf0UP8=" w:salt="KNG75O/uo72duXiwvzEPLQ=="/>
  <w:defaultTabStop w:val="720"/>
  <w:characterSpacingControl w:val="doNotCompress"/>
  <w:footnotePr>
    <w:footnote w:id="0"/>
    <w:footnote w:id="1"/>
  </w:footnotePr>
  <w:endnotePr>
    <w:endnote w:id="0"/>
    <w:endnote w:id="1"/>
  </w:endnotePr>
  <w:compat/>
  <w:rsids>
    <w:rsidRoot w:val="009E579C"/>
    <w:rsid w:val="0000171E"/>
    <w:rsid w:val="00090E11"/>
    <w:rsid w:val="000A0308"/>
    <w:rsid w:val="000A5525"/>
    <w:rsid w:val="000B1147"/>
    <w:rsid w:val="000B2594"/>
    <w:rsid w:val="000B3766"/>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83CEE"/>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4746B"/>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E579C"/>
    <w:rsid w:val="009F284E"/>
    <w:rsid w:val="00A31400"/>
    <w:rsid w:val="00A42117"/>
    <w:rsid w:val="00A55332"/>
    <w:rsid w:val="00A615EC"/>
    <w:rsid w:val="00AA4984"/>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 w:val="00FD266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79C"/>
    <w:pPr>
      <w:tabs>
        <w:tab w:val="center" w:pos="4320"/>
        <w:tab w:val="right" w:pos="8640"/>
      </w:tabs>
    </w:pPr>
  </w:style>
  <w:style w:type="character" w:customStyle="1" w:styleId="HeaderChar">
    <w:name w:val="Header Char"/>
    <w:basedOn w:val="DefaultParagraphFont"/>
    <w:link w:val="Header"/>
    <w:uiPriority w:val="99"/>
    <w:rsid w:val="009E579C"/>
    <w:rPr>
      <w:rFonts w:ascii="Times New Roman" w:eastAsia="Times New Roman" w:hAnsi="Times New Roman" w:cs="Times New Roman"/>
      <w:sz w:val="24"/>
      <w:szCs w:val="24"/>
    </w:rPr>
  </w:style>
  <w:style w:type="paragraph" w:styleId="Footer">
    <w:name w:val="footer"/>
    <w:basedOn w:val="Normal"/>
    <w:link w:val="FooterChar"/>
    <w:uiPriority w:val="99"/>
    <w:rsid w:val="009E579C"/>
    <w:pPr>
      <w:tabs>
        <w:tab w:val="center" w:pos="4320"/>
        <w:tab w:val="right" w:pos="8640"/>
      </w:tabs>
    </w:pPr>
  </w:style>
  <w:style w:type="character" w:customStyle="1" w:styleId="FooterChar">
    <w:name w:val="Footer Char"/>
    <w:basedOn w:val="DefaultParagraphFont"/>
    <w:link w:val="Footer"/>
    <w:uiPriority w:val="99"/>
    <w:rsid w:val="009E579C"/>
    <w:rPr>
      <w:rFonts w:ascii="Times New Roman" w:eastAsia="Times New Roman" w:hAnsi="Times New Roman" w:cs="Times New Roman"/>
      <w:sz w:val="24"/>
      <w:szCs w:val="24"/>
    </w:rPr>
  </w:style>
  <w:style w:type="paragraph" w:styleId="BodyText3">
    <w:name w:val="Body Text 3"/>
    <w:basedOn w:val="Normal"/>
    <w:link w:val="BodyText3Char"/>
    <w:rsid w:val="00AA4984"/>
    <w:pPr>
      <w:jc w:val="center"/>
    </w:pPr>
    <w:rPr>
      <w:sz w:val="36"/>
      <w:szCs w:val="20"/>
    </w:rPr>
  </w:style>
  <w:style w:type="character" w:customStyle="1" w:styleId="BodyText3Char">
    <w:name w:val="Body Text 3 Char"/>
    <w:basedOn w:val="DefaultParagraphFont"/>
    <w:link w:val="BodyText3"/>
    <w:rsid w:val="00AA4984"/>
    <w:rPr>
      <w:rFonts w:ascii="Times New Roman" w:eastAsia="Times New Roman" w:hAnsi="Times New Roman" w:cs="Times New Roman"/>
      <w:sz w:val="36"/>
      <w:szCs w:val="20"/>
    </w:rPr>
  </w:style>
  <w:style w:type="paragraph" w:styleId="BodyTextIndent">
    <w:name w:val="Body Text Indent"/>
    <w:basedOn w:val="Normal"/>
    <w:link w:val="BodyTextIndentChar"/>
    <w:rsid w:val="00AA4984"/>
    <w:pPr>
      <w:spacing w:after="120"/>
      <w:ind w:left="360"/>
    </w:pPr>
  </w:style>
  <w:style w:type="character" w:customStyle="1" w:styleId="BodyTextIndentChar">
    <w:name w:val="Body Text Indent Char"/>
    <w:basedOn w:val="DefaultParagraphFont"/>
    <w:link w:val="BodyTextIndent"/>
    <w:rsid w:val="00AA498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7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579C"/>
    <w:pPr>
      <w:tabs>
        <w:tab w:val="center" w:pos="4320"/>
        <w:tab w:val="right" w:pos="8640"/>
      </w:tabs>
    </w:pPr>
  </w:style>
  <w:style w:type="character" w:customStyle="1" w:styleId="HeaderChar">
    <w:name w:val="Header Char"/>
    <w:basedOn w:val="DefaultParagraphFont"/>
    <w:link w:val="Header"/>
    <w:uiPriority w:val="99"/>
    <w:rsid w:val="009E579C"/>
    <w:rPr>
      <w:rFonts w:ascii="Times New Roman" w:eastAsia="Times New Roman" w:hAnsi="Times New Roman" w:cs="Times New Roman"/>
      <w:sz w:val="24"/>
      <w:szCs w:val="24"/>
    </w:rPr>
  </w:style>
  <w:style w:type="paragraph" w:styleId="Footer">
    <w:name w:val="footer"/>
    <w:basedOn w:val="Normal"/>
    <w:link w:val="FooterChar"/>
    <w:uiPriority w:val="99"/>
    <w:rsid w:val="009E579C"/>
    <w:pPr>
      <w:tabs>
        <w:tab w:val="center" w:pos="4320"/>
        <w:tab w:val="right" w:pos="8640"/>
      </w:tabs>
    </w:pPr>
  </w:style>
  <w:style w:type="character" w:customStyle="1" w:styleId="FooterChar">
    <w:name w:val="Footer Char"/>
    <w:basedOn w:val="DefaultParagraphFont"/>
    <w:link w:val="Footer"/>
    <w:uiPriority w:val="99"/>
    <w:rsid w:val="009E579C"/>
    <w:rPr>
      <w:rFonts w:ascii="Times New Roman" w:eastAsia="Times New Roman" w:hAnsi="Times New Roman" w:cs="Times New Roman"/>
      <w:sz w:val="24"/>
      <w:szCs w:val="24"/>
    </w:rPr>
  </w:style>
  <w:style w:type="paragraph" w:styleId="BodyText3">
    <w:name w:val="Body Text 3"/>
    <w:basedOn w:val="Normal"/>
    <w:link w:val="BodyText3Char"/>
    <w:rsid w:val="00AA4984"/>
    <w:pPr>
      <w:jc w:val="center"/>
    </w:pPr>
    <w:rPr>
      <w:sz w:val="36"/>
      <w:szCs w:val="20"/>
    </w:rPr>
  </w:style>
  <w:style w:type="character" w:customStyle="1" w:styleId="BodyText3Char">
    <w:name w:val="Body Text 3 Char"/>
    <w:basedOn w:val="DefaultParagraphFont"/>
    <w:link w:val="BodyText3"/>
    <w:rsid w:val="00AA4984"/>
    <w:rPr>
      <w:rFonts w:ascii="Times New Roman" w:eastAsia="Times New Roman" w:hAnsi="Times New Roman" w:cs="Times New Roman"/>
      <w:sz w:val="36"/>
      <w:szCs w:val="20"/>
    </w:rPr>
  </w:style>
  <w:style w:type="paragraph" w:styleId="BodyTextIndent">
    <w:name w:val="Body Text Indent"/>
    <w:basedOn w:val="Normal"/>
    <w:link w:val="BodyTextIndentChar"/>
    <w:rsid w:val="00AA4984"/>
    <w:pPr>
      <w:spacing w:after="120"/>
      <w:ind w:left="360"/>
    </w:pPr>
  </w:style>
  <w:style w:type="character" w:customStyle="1" w:styleId="BodyTextIndentChar">
    <w:name w:val="Body Text Indent Char"/>
    <w:basedOn w:val="DefaultParagraphFont"/>
    <w:link w:val="BodyTextIndent"/>
    <w:rsid w:val="00AA498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2025-11-21T01:56:00Z</dcterms:created>
  <dcterms:modified xsi:type="dcterms:W3CDTF">2025-11-21T01:56:00Z</dcterms:modified>
</cp:coreProperties>
</file>