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95" w:rsidRPr="00052B2E" w:rsidRDefault="00FB1B95" w:rsidP="00FB1B95">
      <w:pPr>
        <w:spacing w:line="480" w:lineRule="auto"/>
        <w:jc w:val="center"/>
        <w:rPr>
          <w:b/>
        </w:rPr>
      </w:pPr>
      <w:r w:rsidRPr="00052B2E">
        <w:rPr>
          <w:b/>
        </w:rPr>
        <w:t>BAB II</w:t>
      </w:r>
    </w:p>
    <w:p w:rsidR="00FB1B95" w:rsidRPr="00052B2E" w:rsidRDefault="00FB1B95" w:rsidP="00FB1B95">
      <w:pPr>
        <w:spacing w:line="480" w:lineRule="auto"/>
        <w:jc w:val="center"/>
        <w:rPr>
          <w:b/>
        </w:rPr>
      </w:pPr>
      <w:r w:rsidRPr="00052B2E">
        <w:rPr>
          <w:b/>
        </w:rPr>
        <w:t>TINJAUAN PUSTAKA</w:t>
      </w:r>
    </w:p>
    <w:p w:rsidR="00FB1B95" w:rsidRPr="00052B2E" w:rsidRDefault="00FB1B95" w:rsidP="00FB1B95">
      <w:pPr>
        <w:jc w:val="center"/>
        <w:rPr>
          <w:b/>
          <w:snapToGrid w:val="0"/>
        </w:rPr>
      </w:pPr>
    </w:p>
    <w:p w:rsidR="00FB1B95" w:rsidRPr="00052B2E" w:rsidRDefault="00FB1B95" w:rsidP="000B51B6">
      <w:pPr>
        <w:pStyle w:val="Heading4"/>
        <w:numPr>
          <w:ilvl w:val="0"/>
          <w:numId w:val="2"/>
        </w:numPr>
        <w:tabs>
          <w:tab w:val="num" w:pos="360"/>
        </w:tabs>
        <w:snapToGrid w:val="0"/>
        <w:spacing w:before="0" w:after="0" w:line="456" w:lineRule="auto"/>
        <w:ind w:left="360"/>
        <w:jc w:val="both"/>
        <w:rPr>
          <w:sz w:val="24"/>
          <w:szCs w:val="24"/>
        </w:rPr>
      </w:pPr>
      <w:r w:rsidRPr="00052B2E">
        <w:rPr>
          <w:sz w:val="24"/>
          <w:szCs w:val="24"/>
        </w:rPr>
        <w:t>Tinjauan Tentang Kepailitan</w:t>
      </w:r>
    </w:p>
    <w:p w:rsidR="00FB1B95" w:rsidRPr="00052B2E" w:rsidRDefault="00FB1B95" w:rsidP="000B51B6">
      <w:pPr>
        <w:pStyle w:val="Heading4"/>
        <w:numPr>
          <w:ilvl w:val="1"/>
          <w:numId w:val="2"/>
        </w:numPr>
        <w:tabs>
          <w:tab w:val="clear" w:pos="1440"/>
          <w:tab w:val="num" w:pos="709"/>
        </w:tabs>
        <w:snapToGrid w:val="0"/>
        <w:spacing w:before="0" w:after="0" w:line="456" w:lineRule="auto"/>
        <w:ind w:left="709"/>
        <w:jc w:val="both"/>
        <w:rPr>
          <w:sz w:val="24"/>
          <w:szCs w:val="24"/>
        </w:rPr>
      </w:pPr>
      <w:r w:rsidRPr="00052B2E">
        <w:rPr>
          <w:sz w:val="24"/>
          <w:szCs w:val="24"/>
        </w:rPr>
        <w:t>Pengertian Kepailitan</w:t>
      </w:r>
    </w:p>
    <w:p w:rsidR="00FB1B95" w:rsidRPr="00052B2E" w:rsidRDefault="00FB1B95" w:rsidP="00FB1B95">
      <w:pPr>
        <w:spacing w:line="456" w:lineRule="auto"/>
        <w:ind w:firstLine="720"/>
        <w:jc w:val="both"/>
      </w:pPr>
      <w:r w:rsidRPr="00052B2E">
        <w:t xml:space="preserve">Kepailitan menurut Pasal 1 angka  (1) Undang-Undang Nomor 37 Tahun 2004 tentang Kepailitan dan Penundaan Kewajiban Pembayaran Utang (selanjutnya disebut UU Kepailitan dan PKPU) adalah sita umum atas semua kekayaan debitur pailit yang penguasaan dan pemberesannya dilakukan oleh kurator dibawah pengawasan hakim pengawas sebagaimana diatur dalam undang-undang ini. </w:t>
      </w:r>
    </w:p>
    <w:p w:rsidR="00FB1B95" w:rsidRPr="00052B2E" w:rsidRDefault="00FB1B95" w:rsidP="00FB1B95">
      <w:pPr>
        <w:spacing w:line="480" w:lineRule="auto"/>
        <w:ind w:firstLine="720"/>
        <w:jc w:val="both"/>
      </w:pPr>
      <w:r w:rsidRPr="00052B2E">
        <w:t>Kepailitan merupakan suatu jalan keluar bersifat komersial untuk menyelesaikan persoalan utang piutang yang menghimpit seorang debitur, sehingga debitur tersebut sudah tidak mempunyai kemampuan lagi untuk membayar utang-utang tersebut kepada para krediturnya.</w:t>
      </w:r>
    </w:p>
    <w:p w:rsidR="00FB1B95" w:rsidRPr="00052B2E" w:rsidRDefault="00FB1B95" w:rsidP="00FB1B95">
      <w:pPr>
        <w:spacing w:line="480" w:lineRule="auto"/>
        <w:ind w:firstLine="720"/>
        <w:jc w:val="both"/>
      </w:pPr>
      <w:r w:rsidRPr="00052B2E">
        <w:t>Menurut Rudy Lontoh disebutkan bahwa yang dimaksud dengan kepailitan adalah :</w:t>
      </w:r>
    </w:p>
    <w:p w:rsidR="00FB1B95" w:rsidRPr="00052B2E" w:rsidRDefault="00FB1B95" w:rsidP="00FB1B95">
      <w:pPr>
        <w:ind w:left="426"/>
        <w:jc w:val="both"/>
      </w:pPr>
      <w:r w:rsidRPr="00052B2E">
        <w:t>Suatu proses di mana seorang debitur yang mempunyai kesulitan keuangan untuk membayar utangnya dinyatakan pailit oleh Pengadilan (dalam hal ini Pengadilan Niaga) dikarenakan debitur tersebut tidak dapat membayar utangnya. Harta debitur dapat dibagikan kepada para kreditur sesuai dengan peraturan Pemerintah.</w:t>
      </w:r>
      <w:r w:rsidRPr="00052B2E">
        <w:rPr>
          <w:rStyle w:val="FootnoteReference"/>
        </w:rPr>
        <w:footnoteReference w:id="2"/>
      </w:r>
      <w:r w:rsidRPr="00052B2E">
        <w:t xml:space="preserve"> </w:t>
      </w:r>
    </w:p>
    <w:p w:rsidR="00FB1B95" w:rsidRPr="00052B2E" w:rsidRDefault="00FB1B95" w:rsidP="00FB1B95">
      <w:pPr>
        <w:ind w:left="426"/>
        <w:jc w:val="both"/>
      </w:pPr>
    </w:p>
    <w:p w:rsidR="00FB1B95" w:rsidRPr="00052B2E" w:rsidRDefault="00FB1B95" w:rsidP="00FB1B95">
      <w:pPr>
        <w:ind w:left="426"/>
        <w:jc w:val="both"/>
      </w:pPr>
      <w:r w:rsidRPr="00052B2E">
        <w:t>Jika keadaan ketidak mampuan untuk membayar kewajiban yang telah jatuh tempo tersebut disadarai oleh debitur, maka langkah untuk mengajukan permohonan penetapan status pailit terhadap dirinya (</w:t>
      </w:r>
      <w:r w:rsidRPr="00052B2E">
        <w:rPr>
          <w:i/>
          <w:iCs/>
        </w:rPr>
        <w:t>voluntary petition for self bankruptcy</w:t>
      </w:r>
      <w:r w:rsidRPr="00052B2E">
        <w:t xml:space="preserve">) menjadi suatu langkah yang memungkinkan. Atau penetapan status pailit oleh pengadilan terhadap debitur tersebut bila kemudian </w:t>
      </w:r>
      <w:r w:rsidRPr="00052B2E">
        <w:lastRenderedPageBreak/>
        <w:t>ditemukan bukti bahwa debitur tersebut memang telah tidak mampu lagi membayar utangnya yang telah jatuh tempo dan dapat ditagih (</w:t>
      </w:r>
      <w:r w:rsidRPr="00052B2E">
        <w:rPr>
          <w:i/>
          <w:iCs/>
        </w:rPr>
        <w:t>involuntary petition for self bankruptcy</w:t>
      </w:r>
      <w:r w:rsidRPr="00052B2E">
        <w:t>).</w:t>
      </w:r>
      <w:r w:rsidRPr="00052B2E">
        <w:rPr>
          <w:rStyle w:val="FootnoteReference"/>
        </w:rPr>
        <w:footnoteReference w:id="3"/>
      </w:r>
      <w:r w:rsidRPr="00052B2E">
        <w:t xml:space="preserve"> </w:t>
      </w:r>
    </w:p>
    <w:p w:rsidR="00FB1B95" w:rsidRPr="00052B2E" w:rsidRDefault="00FB1B95" w:rsidP="00FB1B95">
      <w:pPr>
        <w:ind w:left="426"/>
        <w:jc w:val="both"/>
      </w:pPr>
    </w:p>
    <w:p w:rsidR="00FB1B95" w:rsidRPr="00052B2E" w:rsidRDefault="00FB1B95" w:rsidP="00FB1B95">
      <w:pPr>
        <w:spacing w:line="480" w:lineRule="auto"/>
        <w:ind w:firstLine="720"/>
        <w:jc w:val="both"/>
      </w:pPr>
      <w:r w:rsidRPr="00052B2E">
        <w:t>Lembaga kepailitan ini diharapkan berfungsi sebagai lembaga alternatif untuk menyelesaikan kewajiban-kewajiban debitur terhadap kreditur secara lebih efektif, efesien, dan proporsional.</w:t>
      </w:r>
    </w:p>
    <w:p w:rsidR="00FB1B95" w:rsidRPr="00052B2E" w:rsidRDefault="00FB1B95" w:rsidP="00FB1B95">
      <w:pPr>
        <w:ind w:left="567"/>
        <w:jc w:val="both"/>
      </w:pPr>
      <w:r w:rsidRPr="00052B2E">
        <w:t xml:space="preserve">Kepailitan adalah merupakan pelaksanaan lebih lanjut dari prinsip </w:t>
      </w:r>
      <w:r w:rsidRPr="00052B2E">
        <w:rPr>
          <w:i/>
          <w:iCs/>
        </w:rPr>
        <w:t xml:space="preserve">paritas creditorium </w:t>
      </w:r>
      <w:r w:rsidRPr="00052B2E">
        <w:t xml:space="preserve">dan prinsip </w:t>
      </w:r>
      <w:r w:rsidRPr="00052B2E">
        <w:rPr>
          <w:i/>
          <w:iCs/>
        </w:rPr>
        <w:t xml:space="preserve">pari passau prorate parte </w:t>
      </w:r>
      <w:r w:rsidRPr="00052B2E">
        <w:t>dalam rezim hukum harta kekayaan (</w:t>
      </w:r>
      <w:r w:rsidRPr="00052B2E">
        <w:rPr>
          <w:i/>
          <w:iCs/>
        </w:rPr>
        <w:t>vermogensreechts</w:t>
      </w:r>
      <w:r w:rsidRPr="00052B2E">
        <w:t xml:space="preserve">). Prinsip </w:t>
      </w:r>
      <w:r w:rsidRPr="00052B2E">
        <w:rPr>
          <w:i/>
          <w:iCs/>
        </w:rPr>
        <w:t xml:space="preserve">paritas creditorium </w:t>
      </w:r>
      <w:r w:rsidRPr="00052B2E">
        <w:t>berarti bahwa semua kekayaan debitur baik yang berupa barang bergerak ataupun barang tidak bergerak maupun harta yang sekarang telah dipunyai debitur dan barang-barang di kemudian hari akan dimiliki debitur terikat kepada penyelesaian kewajiban debitur.</w:t>
      </w:r>
      <w:r w:rsidRPr="00052B2E">
        <w:rPr>
          <w:rStyle w:val="FootnoteReference"/>
        </w:rPr>
        <w:footnoteReference w:id="4"/>
      </w:r>
      <w:r w:rsidRPr="00052B2E">
        <w:t xml:space="preserve"> </w:t>
      </w:r>
    </w:p>
    <w:p w:rsidR="00FB1B95" w:rsidRPr="00052B2E" w:rsidRDefault="00FB1B95" w:rsidP="00FB1B95">
      <w:pPr>
        <w:ind w:left="567"/>
        <w:jc w:val="both"/>
      </w:pPr>
    </w:p>
    <w:p w:rsidR="00FB1B95" w:rsidRPr="00052B2E" w:rsidRDefault="00FB1B95" w:rsidP="00FB1B95">
      <w:pPr>
        <w:spacing w:line="480" w:lineRule="auto"/>
        <w:ind w:firstLine="720"/>
        <w:jc w:val="both"/>
      </w:pPr>
      <w:r w:rsidRPr="00052B2E">
        <w:t xml:space="preserve">Prinsip </w:t>
      </w:r>
      <w:r w:rsidRPr="00052B2E">
        <w:rPr>
          <w:i/>
          <w:iCs/>
        </w:rPr>
        <w:t xml:space="preserve">pari passau prorate parte </w:t>
      </w:r>
      <w:r w:rsidRPr="00052B2E">
        <w:t>berarti :</w:t>
      </w:r>
    </w:p>
    <w:p w:rsidR="00FB1B95" w:rsidRPr="00052B2E" w:rsidRDefault="00FB1B95" w:rsidP="00FB1B95">
      <w:pPr>
        <w:ind w:left="567"/>
        <w:jc w:val="both"/>
      </w:pPr>
      <w:r w:rsidRPr="00052B2E">
        <w:t>Harta kekayaan tersebut merupakan jaminan bersama untuk para kreditur dan hasilnya harus dibagikan secara proporsional antara mereka, kecuali apabila antara para kreditur itu ada yang menurut undang-undang harus didahulukan dalam menerima pembayaran tagihannya.</w:t>
      </w:r>
      <w:r w:rsidRPr="00052B2E">
        <w:rPr>
          <w:rStyle w:val="FootnoteReference"/>
        </w:rPr>
        <w:footnoteReference w:id="5"/>
      </w:r>
    </w:p>
    <w:p w:rsidR="00FB1B95" w:rsidRPr="00052B2E" w:rsidRDefault="00FB1B95" w:rsidP="00FB1B95">
      <w:pPr>
        <w:ind w:left="567"/>
        <w:jc w:val="both"/>
      </w:pPr>
    </w:p>
    <w:p w:rsidR="00FB1B95" w:rsidRPr="00052B2E" w:rsidRDefault="00FB1B95" w:rsidP="00FB1B95">
      <w:pPr>
        <w:spacing w:line="480" w:lineRule="auto"/>
        <w:ind w:firstLine="720"/>
        <w:jc w:val="both"/>
      </w:pPr>
      <w:r w:rsidRPr="00052B2E">
        <w:rPr>
          <w:lang w:eastAsia="id-ID"/>
        </w:rPr>
        <w:pict>
          <v:roundrect id="_x0000_s1053" style="position:absolute;left:0;text-align:left;margin-left:163.3pt;margin-top:287.4pt;width:1in;height:1in;z-index:251657216" arcsize="10923f" stroked="f"/>
        </w:pict>
      </w:r>
      <w:r w:rsidRPr="00052B2E">
        <w:t xml:space="preserve">Seorang debitur hanya mempunyai satu kreditur dan debitur tidak membayar utangnya dengan suka rela, maka kreditur akan menggugat debitur secara perdata ke Pengadilan Negeri Niaga yang berwenang dan seluruh harta debitur menjadi sumber pelunasan utangnya kepada kreditur tersebut. Hasil bersih eksekusi harta debitur dipakai untuk membayar kreditur tersebut. Sebaliknya dalam hal debitur mempunyai banyak kreditur dan harta kekayaan debitur tidak cukup untuk membayar lunas semua kreditur, maka para kreditur akan berusaha dengan segala cara untuk mendapatkan pelunasan tagihannya terlebih dahulu.Kreditur yang datang belakangan mungkin sudah tidak dapat lagi </w:t>
      </w:r>
      <w:r w:rsidRPr="00052B2E">
        <w:lastRenderedPageBreak/>
        <w:t>pembayaran atas utangnya, karena harta debitur sudah habis. Hal ini sangat tidak adil dan merugikan kreditur-kreditur lainnya.</w:t>
      </w:r>
    </w:p>
    <w:p w:rsidR="00FB1B95" w:rsidRPr="00052B2E" w:rsidRDefault="00FB1B95" w:rsidP="00FB1B95">
      <w:pPr>
        <w:spacing w:line="480" w:lineRule="auto"/>
        <w:ind w:firstLine="720"/>
        <w:jc w:val="both"/>
      </w:pPr>
      <w:r w:rsidRPr="00052B2E">
        <w:t>Dilihat menurut sudut sejarah hukum, undang-undang kepailitan pada mulanya bertujuan untuk melindungi para kreditur dengan memberikan jalan yang jelas dan pasti untuk menyelesaikan utang yang tidak dapat dibayar.</w:t>
      </w:r>
    </w:p>
    <w:p w:rsidR="00FB1B95" w:rsidRPr="00052B2E" w:rsidRDefault="00FB1B95" w:rsidP="00FB1B95">
      <w:pPr>
        <w:spacing w:line="480" w:lineRule="auto"/>
        <w:ind w:firstLine="720"/>
        <w:jc w:val="both"/>
      </w:pPr>
      <w:r w:rsidRPr="00052B2E">
        <w:t>Menurut Adriani Nurdin bahwa tujuan kepailitan adalah :</w:t>
      </w:r>
    </w:p>
    <w:p w:rsidR="00FB1B95" w:rsidRPr="00052B2E" w:rsidRDefault="00FB1B95" w:rsidP="00FB1B95">
      <w:pPr>
        <w:ind w:left="567"/>
        <w:jc w:val="both"/>
      </w:pPr>
      <w:r w:rsidRPr="00052B2E">
        <w:t>Melakukan pembagian antara para kreditur atas kekayaan debitur oleh kurator atau kepailitan dimaksudkan untuk menghindari terjadinya sitaan terpisah atau eksekusi terpisah oleh kreditur dan menggantikannya dengan mengadakan sitaan bersama sehingga kekayaan debitur dapat dibagikan kepada semua kreditur sesuai dengan hak masing-masing.</w:t>
      </w:r>
      <w:r w:rsidRPr="00052B2E">
        <w:rPr>
          <w:rStyle w:val="FootnoteReference"/>
        </w:rPr>
        <w:footnoteReference w:id="6"/>
      </w:r>
    </w:p>
    <w:p w:rsidR="00FB1B95" w:rsidRPr="00052B2E" w:rsidRDefault="00FB1B95" w:rsidP="00FB1B95">
      <w:pPr>
        <w:ind w:left="567"/>
        <w:jc w:val="both"/>
      </w:pPr>
    </w:p>
    <w:p w:rsidR="00FB1B95" w:rsidRPr="00052B2E" w:rsidRDefault="00FB1B95" w:rsidP="00FB1B95">
      <w:pPr>
        <w:ind w:firstLine="720"/>
        <w:jc w:val="both"/>
      </w:pPr>
    </w:p>
    <w:p w:rsidR="00FB1B95" w:rsidRPr="00052B2E" w:rsidRDefault="00FB1B95" w:rsidP="000B51B6">
      <w:pPr>
        <w:pStyle w:val="Heading3"/>
        <w:numPr>
          <w:ilvl w:val="1"/>
          <w:numId w:val="2"/>
        </w:numPr>
        <w:tabs>
          <w:tab w:val="clear" w:pos="1440"/>
          <w:tab w:val="num" w:pos="360"/>
          <w:tab w:val="left" w:pos="1701"/>
        </w:tabs>
        <w:spacing w:before="0" w:after="0" w:line="480" w:lineRule="auto"/>
        <w:ind w:left="360"/>
        <w:jc w:val="both"/>
        <w:rPr>
          <w:snapToGrid w:val="0"/>
          <w:sz w:val="24"/>
          <w:szCs w:val="24"/>
        </w:rPr>
      </w:pPr>
      <w:r w:rsidRPr="00052B2E">
        <w:rPr>
          <w:bCs w:val="0"/>
          <w:sz w:val="24"/>
          <w:szCs w:val="24"/>
        </w:rPr>
        <w:t>Syarat-Syarat Untuk Dapat Dipailitkan</w:t>
      </w:r>
    </w:p>
    <w:p w:rsidR="00FB1B95" w:rsidRPr="00052B2E" w:rsidRDefault="00FB1B95" w:rsidP="00FB1B95">
      <w:pPr>
        <w:autoSpaceDE w:val="0"/>
        <w:autoSpaceDN w:val="0"/>
        <w:adjustRightInd w:val="0"/>
        <w:spacing w:line="480" w:lineRule="auto"/>
        <w:ind w:firstLine="720"/>
        <w:jc w:val="both"/>
      </w:pPr>
      <w:r w:rsidRPr="00052B2E">
        <w:t>Pasal 2 UU Kepailitan dan PKPU, menentukan bahwa :</w:t>
      </w:r>
    </w:p>
    <w:p w:rsidR="00FB1B95" w:rsidRPr="00052B2E" w:rsidRDefault="00FB1B95" w:rsidP="000B51B6">
      <w:pPr>
        <w:numPr>
          <w:ilvl w:val="0"/>
          <w:numId w:val="9"/>
        </w:numPr>
        <w:autoSpaceDE w:val="0"/>
        <w:autoSpaceDN w:val="0"/>
        <w:adjustRightInd w:val="0"/>
        <w:spacing w:line="216" w:lineRule="auto"/>
        <w:ind w:left="714" w:hanging="357"/>
        <w:jc w:val="both"/>
      </w:pPr>
      <w:r w:rsidRPr="00052B2E">
        <w:t>Debitur yang mempunyai dua atau lebih Kreditur dan tidak membayar lunas sedikitnya satu utang yang telah jatuh waktu dan dapat ditagih, dinyatakan pailit dengan putusan Pengadilan, baik atas permohonannya sendiri maupun atas permohonan satu atau lebih krediturnya.</w:t>
      </w:r>
    </w:p>
    <w:p w:rsidR="00FB1B95" w:rsidRPr="00052B2E" w:rsidRDefault="00FB1B95" w:rsidP="000B51B6">
      <w:pPr>
        <w:numPr>
          <w:ilvl w:val="0"/>
          <w:numId w:val="9"/>
        </w:numPr>
        <w:autoSpaceDE w:val="0"/>
        <w:autoSpaceDN w:val="0"/>
        <w:adjustRightInd w:val="0"/>
        <w:spacing w:line="216" w:lineRule="auto"/>
        <w:ind w:left="714" w:hanging="357"/>
        <w:jc w:val="both"/>
      </w:pPr>
      <w:r w:rsidRPr="00052B2E">
        <w:t>Permohonan sebagaimana dimaksud pada ayat (1) dapat juga diajukan oleh kejaksaan untuk kepentingan umum.</w:t>
      </w:r>
    </w:p>
    <w:p w:rsidR="00FB1B95" w:rsidRPr="00052B2E" w:rsidRDefault="00FB1B95" w:rsidP="000B51B6">
      <w:pPr>
        <w:numPr>
          <w:ilvl w:val="0"/>
          <w:numId w:val="9"/>
        </w:numPr>
        <w:autoSpaceDE w:val="0"/>
        <w:autoSpaceDN w:val="0"/>
        <w:adjustRightInd w:val="0"/>
        <w:spacing w:line="216" w:lineRule="auto"/>
        <w:ind w:left="714" w:hanging="357"/>
        <w:jc w:val="both"/>
      </w:pPr>
      <w:r w:rsidRPr="00052B2E">
        <w:t>Dalam hal debitur adalah bank, permohonan pernyataan pailit hanya dapat diajukan oleh Bank Indonesia.</w:t>
      </w:r>
    </w:p>
    <w:p w:rsidR="00FB1B95" w:rsidRPr="00052B2E" w:rsidRDefault="00FB1B95" w:rsidP="000B51B6">
      <w:pPr>
        <w:numPr>
          <w:ilvl w:val="0"/>
          <w:numId w:val="9"/>
        </w:numPr>
        <w:autoSpaceDE w:val="0"/>
        <w:autoSpaceDN w:val="0"/>
        <w:adjustRightInd w:val="0"/>
        <w:spacing w:line="216" w:lineRule="auto"/>
        <w:ind w:left="714" w:hanging="357"/>
        <w:jc w:val="both"/>
      </w:pPr>
      <w:r w:rsidRPr="00052B2E">
        <w:t>Dalam hal debitur adalah Perusahaan Efek, Bursa Efek, Lembaga Kliring dan Penjaminan, Lembaga Penyimpanan dan Penyelesaian, permohonan pernyataan pailit hanya dapat diajukan oleh Badan Pengawas Pasar Modal.</w:t>
      </w:r>
    </w:p>
    <w:p w:rsidR="00FB1B95" w:rsidRPr="00052B2E" w:rsidRDefault="00FB1B95" w:rsidP="000B51B6">
      <w:pPr>
        <w:numPr>
          <w:ilvl w:val="0"/>
          <w:numId w:val="9"/>
        </w:numPr>
        <w:autoSpaceDE w:val="0"/>
        <w:autoSpaceDN w:val="0"/>
        <w:adjustRightInd w:val="0"/>
        <w:jc w:val="both"/>
      </w:pPr>
      <w:r w:rsidRPr="00052B2E">
        <w:t>Dalam hal debitur adalah Perusahaan Asuransi, Perusahaan Reasuransi, Dana Pensiun, atau Badan Usaha Milik Negara yang bergerak di bidang kepentingan publik, permohonan pernyataan pailit hanya dapat diajukan oleh Menteri Keuangan.</w:t>
      </w:r>
    </w:p>
    <w:p w:rsidR="00FB1B95" w:rsidRPr="00052B2E" w:rsidRDefault="00FB1B95" w:rsidP="00FB1B95">
      <w:pPr>
        <w:autoSpaceDE w:val="0"/>
        <w:autoSpaceDN w:val="0"/>
        <w:adjustRightInd w:val="0"/>
        <w:ind w:firstLine="720"/>
        <w:jc w:val="both"/>
      </w:pPr>
    </w:p>
    <w:p w:rsidR="00FB1B95" w:rsidRPr="00052B2E" w:rsidRDefault="00FB1B95" w:rsidP="00FB1B95">
      <w:pPr>
        <w:autoSpaceDE w:val="0"/>
        <w:autoSpaceDN w:val="0"/>
        <w:adjustRightInd w:val="0"/>
        <w:spacing w:line="480" w:lineRule="auto"/>
        <w:ind w:firstLine="720"/>
        <w:jc w:val="both"/>
      </w:pPr>
      <w:r w:rsidRPr="00052B2E">
        <w:t>Debitur dinyatakan pailit harus memenuhi dua syarat yaitu:</w:t>
      </w:r>
    </w:p>
    <w:p w:rsidR="00FB1B95" w:rsidRPr="00052B2E" w:rsidRDefault="00FB1B95" w:rsidP="000B51B6">
      <w:pPr>
        <w:numPr>
          <w:ilvl w:val="0"/>
          <w:numId w:val="3"/>
        </w:numPr>
        <w:autoSpaceDE w:val="0"/>
        <w:autoSpaceDN w:val="0"/>
        <w:adjustRightInd w:val="0"/>
        <w:spacing w:line="480" w:lineRule="auto"/>
        <w:ind w:left="360"/>
        <w:jc w:val="both"/>
      </w:pPr>
      <w:r w:rsidRPr="00052B2E">
        <w:t>Memiliki minimal dua kreditur atau lebih</w:t>
      </w:r>
    </w:p>
    <w:p w:rsidR="00FB1B95" w:rsidRPr="00052B2E" w:rsidRDefault="00FB1B95" w:rsidP="000B51B6">
      <w:pPr>
        <w:numPr>
          <w:ilvl w:val="0"/>
          <w:numId w:val="3"/>
        </w:numPr>
        <w:autoSpaceDE w:val="0"/>
        <w:autoSpaceDN w:val="0"/>
        <w:adjustRightInd w:val="0"/>
        <w:spacing w:line="480" w:lineRule="auto"/>
        <w:ind w:left="360"/>
        <w:jc w:val="both"/>
      </w:pPr>
      <w:r w:rsidRPr="00052B2E">
        <w:t>Tidak membayar minimal satu utang yang telah jatuh tempo dan dapat ditagih.</w:t>
      </w:r>
    </w:p>
    <w:p w:rsidR="00FB1B95" w:rsidRPr="00052B2E" w:rsidRDefault="00FB1B95" w:rsidP="00FB1B95">
      <w:pPr>
        <w:autoSpaceDE w:val="0"/>
        <w:autoSpaceDN w:val="0"/>
        <w:adjustRightInd w:val="0"/>
        <w:spacing w:line="480" w:lineRule="auto"/>
        <w:ind w:firstLine="720"/>
        <w:jc w:val="both"/>
      </w:pPr>
      <w:r w:rsidRPr="00052B2E">
        <w:lastRenderedPageBreak/>
        <w:t xml:space="preserve">Kreditur yang tidak dibayar tersebut, kemudian dapat dan sah secara hukum untuk mempailitkan debitur, tanpa melihat jumlah piutangnya. </w:t>
      </w:r>
    </w:p>
    <w:p w:rsidR="00FB1B95" w:rsidRPr="00052B2E" w:rsidRDefault="00FB1B95" w:rsidP="00FB1B95">
      <w:pPr>
        <w:autoSpaceDE w:val="0"/>
        <w:autoSpaceDN w:val="0"/>
        <w:adjustRightInd w:val="0"/>
        <w:spacing w:line="480" w:lineRule="auto"/>
        <w:ind w:firstLine="720"/>
        <w:jc w:val="both"/>
      </w:pPr>
      <w:r w:rsidRPr="00052B2E">
        <w:t>Berdasarkan syarat pailit yang diatur dalam Pasal 2 UU Kepailitan dan PKPU dapat ditarik kesimpulan bahwa syarat yuridis agar dapat dinyatakan pailit adalah:</w:t>
      </w:r>
    </w:p>
    <w:p w:rsidR="00FB1B95" w:rsidRPr="00052B2E" w:rsidRDefault="00FB1B95" w:rsidP="000B51B6">
      <w:pPr>
        <w:numPr>
          <w:ilvl w:val="0"/>
          <w:numId w:val="4"/>
        </w:numPr>
        <w:autoSpaceDE w:val="0"/>
        <w:autoSpaceDN w:val="0"/>
        <w:adjustRightInd w:val="0"/>
        <w:ind w:left="709" w:hanging="283"/>
      </w:pPr>
      <w:r w:rsidRPr="00052B2E">
        <w:t>Adanya utang</w:t>
      </w:r>
    </w:p>
    <w:p w:rsidR="00FB1B95" w:rsidRPr="00052B2E" w:rsidRDefault="00FB1B95" w:rsidP="000B51B6">
      <w:pPr>
        <w:numPr>
          <w:ilvl w:val="0"/>
          <w:numId w:val="4"/>
        </w:numPr>
        <w:autoSpaceDE w:val="0"/>
        <w:autoSpaceDN w:val="0"/>
        <w:adjustRightInd w:val="0"/>
        <w:ind w:left="709" w:hanging="283"/>
      </w:pPr>
      <w:r w:rsidRPr="00052B2E">
        <w:t>Minimal satu dari utang sudah jatuh tempo</w:t>
      </w:r>
    </w:p>
    <w:p w:rsidR="00FB1B95" w:rsidRPr="00052B2E" w:rsidRDefault="00FB1B95" w:rsidP="000B51B6">
      <w:pPr>
        <w:numPr>
          <w:ilvl w:val="0"/>
          <w:numId w:val="4"/>
        </w:numPr>
        <w:autoSpaceDE w:val="0"/>
        <w:autoSpaceDN w:val="0"/>
        <w:adjustRightInd w:val="0"/>
        <w:ind w:left="709" w:hanging="283"/>
      </w:pPr>
      <w:r w:rsidRPr="00052B2E">
        <w:t>Minimal satu dari utang dapat ditagih</w:t>
      </w:r>
    </w:p>
    <w:p w:rsidR="00FB1B95" w:rsidRPr="00052B2E" w:rsidRDefault="00FB1B95" w:rsidP="000B51B6">
      <w:pPr>
        <w:numPr>
          <w:ilvl w:val="0"/>
          <w:numId w:val="4"/>
        </w:numPr>
        <w:autoSpaceDE w:val="0"/>
        <w:autoSpaceDN w:val="0"/>
        <w:adjustRightInd w:val="0"/>
        <w:ind w:left="709" w:hanging="283"/>
      </w:pPr>
      <w:r w:rsidRPr="00052B2E">
        <w:t>Adanya debitur</w:t>
      </w:r>
    </w:p>
    <w:p w:rsidR="00FB1B95" w:rsidRPr="00052B2E" w:rsidRDefault="00FB1B95" w:rsidP="000B51B6">
      <w:pPr>
        <w:numPr>
          <w:ilvl w:val="0"/>
          <w:numId w:val="4"/>
        </w:numPr>
        <w:autoSpaceDE w:val="0"/>
        <w:autoSpaceDN w:val="0"/>
        <w:adjustRightInd w:val="0"/>
        <w:ind w:left="709" w:hanging="283"/>
      </w:pPr>
      <w:r w:rsidRPr="00052B2E">
        <w:t>Adanya kreditur</w:t>
      </w:r>
    </w:p>
    <w:p w:rsidR="00FB1B95" w:rsidRPr="00052B2E" w:rsidRDefault="00FB1B95" w:rsidP="000B51B6">
      <w:pPr>
        <w:numPr>
          <w:ilvl w:val="0"/>
          <w:numId w:val="4"/>
        </w:numPr>
        <w:autoSpaceDE w:val="0"/>
        <w:autoSpaceDN w:val="0"/>
        <w:adjustRightInd w:val="0"/>
        <w:ind w:left="709" w:hanging="283"/>
      </w:pPr>
      <w:r w:rsidRPr="00052B2E">
        <w:t>Kreditur lebih dari satu</w:t>
      </w:r>
    </w:p>
    <w:p w:rsidR="00FB1B95" w:rsidRPr="00052B2E" w:rsidRDefault="00FB1B95" w:rsidP="000B51B6">
      <w:pPr>
        <w:numPr>
          <w:ilvl w:val="0"/>
          <w:numId w:val="4"/>
        </w:numPr>
        <w:autoSpaceDE w:val="0"/>
        <w:autoSpaceDN w:val="0"/>
        <w:adjustRightInd w:val="0"/>
        <w:ind w:left="709" w:hanging="283"/>
        <w:jc w:val="both"/>
      </w:pPr>
      <w:r w:rsidRPr="00052B2E">
        <w:t>Pernyataan pailit dilakukan oleh Pengadilan khusus yang disebut dengan Pengadilan Niaga.</w:t>
      </w:r>
    </w:p>
    <w:p w:rsidR="00FB1B95" w:rsidRPr="00052B2E" w:rsidRDefault="00FB1B95" w:rsidP="000B51B6">
      <w:pPr>
        <w:numPr>
          <w:ilvl w:val="0"/>
          <w:numId w:val="4"/>
        </w:numPr>
        <w:autoSpaceDE w:val="0"/>
        <w:autoSpaceDN w:val="0"/>
        <w:adjustRightInd w:val="0"/>
        <w:ind w:left="709" w:hanging="283"/>
        <w:jc w:val="both"/>
      </w:pPr>
      <w:r w:rsidRPr="00052B2E">
        <w:t>Permohonan pernyataan pailit diajukan oleh pihak yang berwenang yaitu:</w:t>
      </w:r>
    </w:p>
    <w:p w:rsidR="00FB1B95" w:rsidRPr="00052B2E" w:rsidRDefault="00FB1B95" w:rsidP="000B51B6">
      <w:pPr>
        <w:numPr>
          <w:ilvl w:val="0"/>
          <w:numId w:val="5"/>
        </w:numPr>
        <w:autoSpaceDE w:val="0"/>
        <w:autoSpaceDN w:val="0"/>
        <w:adjustRightInd w:val="0"/>
        <w:ind w:left="993" w:hanging="283"/>
      </w:pPr>
      <w:r w:rsidRPr="00052B2E">
        <w:t>Pihak Debitur</w:t>
      </w:r>
    </w:p>
    <w:p w:rsidR="00FB1B95" w:rsidRPr="00052B2E" w:rsidRDefault="00FB1B95" w:rsidP="000B51B6">
      <w:pPr>
        <w:numPr>
          <w:ilvl w:val="0"/>
          <w:numId w:val="5"/>
        </w:numPr>
        <w:autoSpaceDE w:val="0"/>
        <w:autoSpaceDN w:val="0"/>
        <w:adjustRightInd w:val="0"/>
        <w:ind w:left="993" w:hanging="283"/>
      </w:pPr>
      <w:r w:rsidRPr="00052B2E">
        <w:t>Satu atau lebih Kreditur</w:t>
      </w:r>
    </w:p>
    <w:p w:rsidR="00FB1B95" w:rsidRPr="00052B2E" w:rsidRDefault="00FB1B95" w:rsidP="000B51B6">
      <w:pPr>
        <w:numPr>
          <w:ilvl w:val="0"/>
          <w:numId w:val="5"/>
        </w:numPr>
        <w:autoSpaceDE w:val="0"/>
        <w:autoSpaceDN w:val="0"/>
        <w:adjustRightInd w:val="0"/>
        <w:ind w:left="993" w:hanging="283"/>
      </w:pPr>
      <w:r w:rsidRPr="00052B2E">
        <w:t>Jaksa untuk kepentingan umum</w:t>
      </w:r>
    </w:p>
    <w:p w:rsidR="00FB1B95" w:rsidRPr="00052B2E" w:rsidRDefault="00FB1B95" w:rsidP="000B51B6">
      <w:pPr>
        <w:numPr>
          <w:ilvl w:val="0"/>
          <w:numId w:val="5"/>
        </w:numPr>
        <w:ind w:left="993" w:hanging="283"/>
        <w:jc w:val="both"/>
      </w:pPr>
      <w:r w:rsidRPr="00052B2E">
        <w:t>Bank Indonesia jika Debiturnya bank</w:t>
      </w:r>
    </w:p>
    <w:p w:rsidR="00FB1B95" w:rsidRPr="00052B2E" w:rsidRDefault="00FB1B95" w:rsidP="000B51B6">
      <w:pPr>
        <w:numPr>
          <w:ilvl w:val="0"/>
          <w:numId w:val="5"/>
        </w:numPr>
        <w:autoSpaceDE w:val="0"/>
        <w:autoSpaceDN w:val="0"/>
        <w:adjustRightInd w:val="0"/>
        <w:ind w:left="993" w:hanging="283"/>
        <w:jc w:val="both"/>
      </w:pPr>
      <w:r w:rsidRPr="00052B2E">
        <w:t>Bapepam jika Debiturnya perusahaan efek, bursa efek, lembaga kliring dan penjaminan, dan lembaga penyimpanan dan penyelesaian.</w:t>
      </w:r>
    </w:p>
    <w:p w:rsidR="00FB1B95" w:rsidRPr="00052B2E" w:rsidRDefault="00FB1B95" w:rsidP="000B51B6">
      <w:pPr>
        <w:numPr>
          <w:ilvl w:val="0"/>
          <w:numId w:val="5"/>
        </w:numPr>
        <w:autoSpaceDE w:val="0"/>
        <w:autoSpaceDN w:val="0"/>
        <w:adjustRightInd w:val="0"/>
        <w:ind w:left="993" w:hanging="283"/>
        <w:jc w:val="both"/>
      </w:pPr>
      <w:r w:rsidRPr="00052B2E">
        <w:t>Menteri Keuangan jika Debiturnya perusahaan asuransi, reasuransi, dana pensiun dan BUMN yang bergerak di bidang kepentingan public.</w:t>
      </w:r>
    </w:p>
    <w:p w:rsidR="00FB1B95" w:rsidRPr="00052B2E" w:rsidRDefault="00FB1B95" w:rsidP="000B51B6">
      <w:pPr>
        <w:numPr>
          <w:ilvl w:val="0"/>
          <w:numId w:val="4"/>
        </w:numPr>
        <w:autoSpaceDE w:val="0"/>
        <w:autoSpaceDN w:val="0"/>
        <w:adjustRightInd w:val="0"/>
        <w:ind w:left="709" w:hanging="283"/>
        <w:jc w:val="both"/>
      </w:pPr>
      <w:r w:rsidRPr="00052B2E">
        <w:t>Syarat-syarat yuridis lainnya yang disebutkan dalam Undang-Undang Kepailitan dan PKPU.</w:t>
      </w:r>
    </w:p>
    <w:p w:rsidR="00FB1B95" w:rsidRPr="00052B2E" w:rsidRDefault="00FB1B95" w:rsidP="000B51B6">
      <w:pPr>
        <w:numPr>
          <w:ilvl w:val="0"/>
          <w:numId w:val="4"/>
        </w:numPr>
        <w:autoSpaceDE w:val="0"/>
        <w:autoSpaceDN w:val="0"/>
        <w:adjustRightInd w:val="0"/>
        <w:ind w:left="709" w:hanging="283"/>
        <w:jc w:val="both"/>
      </w:pPr>
      <w:r w:rsidRPr="00052B2E">
        <w:t>Apabila syarat-syarat terpenuhi, Hakim “menyatakan pailit” bukan ”dapat dinyatakan pailit.” Sehingga dalam hal ini kepada Hakim tidak dapat diberikan ruang untuk memberikan ”</w:t>
      </w:r>
      <w:r w:rsidRPr="00052B2E">
        <w:rPr>
          <w:i/>
          <w:iCs/>
        </w:rPr>
        <w:t>judgement</w:t>
      </w:r>
      <w:r w:rsidRPr="00052B2E">
        <w:t>” yang luas.</w:t>
      </w:r>
      <w:r w:rsidRPr="00052B2E">
        <w:rPr>
          <w:rStyle w:val="FootnoteReference"/>
        </w:rPr>
        <w:footnoteReference w:id="7"/>
      </w:r>
    </w:p>
    <w:p w:rsidR="00FB1B95" w:rsidRPr="00052B2E" w:rsidRDefault="00FB1B95" w:rsidP="00FB1B95">
      <w:pPr>
        <w:autoSpaceDE w:val="0"/>
        <w:autoSpaceDN w:val="0"/>
        <w:adjustRightInd w:val="0"/>
        <w:ind w:left="709"/>
        <w:jc w:val="both"/>
      </w:pPr>
    </w:p>
    <w:p w:rsidR="00FB1B95" w:rsidRPr="00052B2E" w:rsidRDefault="00FB1B95" w:rsidP="00FB1B95">
      <w:pPr>
        <w:autoSpaceDE w:val="0"/>
        <w:autoSpaceDN w:val="0"/>
        <w:adjustRightInd w:val="0"/>
        <w:spacing w:line="480" w:lineRule="auto"/>
        <w:ind w:firstLine="720"/>
        <w:jc w:val="both"/>
      </w:pPr>
      <w:r w:rsidRPr="00052B2E">
        <w:t>Esensi kepailitan secara singkat dapat dikatakan sebagai sita umum atas harta kekayaan debitur untuk kepentingan semua kreditur yang pada waktu debitur dinyatakan pailit mempunyai hutang.</w:t>
      </w:r>
    </w:p>
    <w:p w:rsidR="00FB1B95" w:rsidRPr="00052B2E" w:rsidRDefault="00FB1B95" w:rsidP="000B51B6">
      <w:pPr>
        <w:numPr>
          <w:ilvl w:val="1"/>
          <w:numId w:val="2"/>
        </w:numPr>
        <w:tabs>
          <w:tab w:val="clear" w:pos="1440"/>
          <w:tab w:val="num" w:pos="360"/>
        </w:tabs>
        <w:spacing w:line="480" w:lineRule="auto"/>
        <w:ind w:left="360"/>
        <w:rPr>
          <w:b/>
          <w:snapToGrid w:val="0"/>
        </w:rPr>
      </w:pPr>
      <w:r w:rsidRPr="00052B2E">
        <w:rPr>
          <w:b/>
        </w:rPr>
        <w:t>Para Kreditur</w:t>
      </w:r>
    </w:p>
    <w:p w:rsidR="00FB1B95" w:rsidRPr="00052B2E" w:rsidRDefault="00FB1B95" w:rsidP="00FB1B95">
      <w:pPr>
        <w:spacing w:line="480" w:lineRule="auto"/>
        <w:ind w:firstLine="709"/>
        <w:jc w:val="both"/>
      </w:pPr>
      <w:r w:rsidRPr="00052B2E">
        <w:rPr>
          <w:color w:val="000000"/>
        </w:rPr>
        <w:lastRenderedPageBreak/>
        <w:t xml:space="preserve">Dasar hukum kedudukan kreditur dalam kepailitan diatur dalam </w:t>
      </w:r>
      <w:hyperlink r:id="rId8" w:history="1">
        <w:r w:rsidRPr="00052B2E">
          <w:rPr>
            <w:rStyle w:val="Hyperlink"/>
            <w:bCs/>
            <w:color w:val="000000"/>
          </w:rPr>
          <w:t>KUHPerdata</w:t>
        </w:r>
      </w:hyperlink>
      <w:r w:rsidRPr="00052B2E">
        <w:rPr>
          <w:color w:val="000000"/>
        </w:rPr>
        <w:t xml:space="preserve"> yaitu:</w:t>
      </w:r>
    </w:p>
    <w:p w:rsidR="00FB1B95" w:rsidRPr="00052B2E" w:rsidRDefault="00FB1B95" w:rsidP="000B51B6">
      <w:pPr>
        <w:numPr>
          <w:ilvl w:val="1"/>
          <w:numId w:val="5"/>
        </w:numPr>
        <w:spacing w:line="480" w:lineRule="auto"/>
        <w:ind w:left="360"/>
        <w:jc w:val="both"/>
        <w:rPr>
          <w:color w:val="000000"/>
        </w:rPr>
      </w:pPr>
      <w:r w:rsidRPr="00052B2E">
        <w:rPr>
          <w:color w:val="000000"/>
        </w:rPr>
        <w:t>P</w:t>
      </w:r>
      <w:r w:rsidRPr="00052B2E">
        <w:rPr>
          <w:bCs/>
          <w:color w:val="000000"/>
        </w:rPr>
        <w:t>asal 1131 KUHPerdata</w:t>
      </w:r>
      <w:r w:rsidRPr="00052B2E">
        <w:rPr>
          <w:color w:val="000000"/>
        </w:rPr>
        <w:t xml:space="preserve">: </w:t>
      </w:r>
      <w:r w:rsidRPr="00052B2E">
        <w:rPr>
          <w:iCs/>
          <w:color w:val="000000"/>
        </w:rPr>
        <w:t>Segala kebendaan si berutang, baik yang bergerak maupun yang tak bergerak, baik yang sudah ada, maupun yang baru akan ada di kemudian hari, menjadi tanggungan untuk segala perikatan perseorangan.</w:t>
      </w:r>
    </w:p>
    <w:p w:rsidR="00FB1B95" w:rsidRPr="00052B2E" w:rsidRDefault="00FB1B95" w:rsidP="000B51B6">
      <w:pPr>
        <w:numPr>
          <w:ilvl w:val="1"/>
          <w:numId w:val="5"/>
        </w:numPr>
        <w:spacing w:line="480" w:lineRule="auto"/>
        <w:ind w:left="360"/>
        <w:jc w:val="both"/>
        <w:rPr>
          <w:color w:val="000000"/>
        </w:rPr>
      </w:pPr>
      <w:r w:rsidRPr="00052B2E">
        <w:rPr>
          <w:bCs/>
          <w:color w:val="000000"/>
        </w:rPr>
        <w:t>Pasal 1132 KUHPerdata</w:t>
      </w:r>
      <w:r w:rsidRPr="00052B2E">
        <w:rPr>
          <w:color w:val="000000"/>
        </w:rPr>
        <w:t xml:space="preserve">: </w:t>
      </w:r>
      <w:r w:rsidRPr="00052B2E">
        <w:rPr>
          <w:iCs/>
          <w:color w:val="000000"/>
        </w:rPr>
        <w:t>Kebendaan tersebut menjadi jaminan bersama-sama bagi semua orang yang mengutangkan padanya, pendapatan penjualan benda-benda itu dibagi-bagi menurut keseimbanganya itu menurut besar kecilnya piutang masing-masing, kecuali apabila di antara para berpiutang itu ada alasan-alasan yang sah untuk didahulukan.</w:t>
      </w:r>
    </w:p>
    <w:p w:rsidR="00FB1B95" w:rsidRPr="00052B2E" w:rsidRDefault="00FB1B95" w:rsidP="000B51B6">
      <w:pPr>
        <w:numPr>
          <w:ilvl w:val="1"/>
          <w:numId w:val="5"/>
        </w:numPr>
        <w:spacing w:line="480" w:lineRule="auto"/>
        <w:ind w:left="360"/>
        <w:jc w:val="both"/>
        <w:rPr>
          <w:color w:val="000000"/>
        </w:rPr>
      </w:pPr>
      <w:r w:rsidRPr="00052B2E">
        <w:rPr>
          <w:bCs/>
          <w:color w:val="000000"/>
        </w:rPr>
        <w:t>Pasal 1134 KUHPerdata</w:t>
      </w:r>
      <w:r w:rsidRPr="00052B2E">
        <w:rPr>
          <w:color w:val="000000"/>
        </w:rPr>
        <w:t xml:space="preserve">: </w:t>
      </w:r>
      <w:r w:rsidRPr="00052B2E">
        <w:rPr>
          <w:iCs/>
          <w:color w:val="000000"/>
        </w:rPr>
        <w:t>Hak istimewa ialah suatu hak yang oleh undang-undang diberikan kepada seorang berpiutang sehingga tingkatnya lebih tinggi daripada orang yang berpiutang lainnya, semata-mata berdasarkan sifat piutangnya. Gadai dan hipotik adalah lebih tinggi daripada hak istimewa, kecuali dalam hal-hal di mana olehUndang-Undang ditentukan sebaliknya.</w:t>
      </w:r>
    </w:p>
    <w:p w:rsidR="00FB1B95" w:rsidRPr="00052B2E" w:rsidRDefault="00FB1B95" w:rsidP="000B51B6">
      <w:pPr>
        <w:numPr>
          <w:ilvl w:val="1"/>
          <w:numId w:val="5"/>
        </w:numPr>
        <w:spacing w:line="480" w:lineRule="auto"/>
        <w:ind w:left="360"/>
        <w:jc w:val="both"/>
        <w:rPr>
          <w:color w:val="000000"/>
        </w:rPr>
      </w:pPr>
      <w:r w:rsidRPr="00052B2E">
        <w:rPr>
          <w:bCs/>
          <w:color w:val="000000"/>
        </w:rPr>
        <w:t>Pasal 1135 KUHPerdata</w:t>
      </w:r>
      <w:r w:rsidRPr="00052B2E">
        <w:rPr>
          <w:color w:val="000000"/>
        </w:rPr>
        <w:t xml:space="preserve">: </w:t>
      </w:r>
      <w:r w:rsidRPr="00052B2E">
        <w:rPr>
          <w:iCs/>
          <w:color w:val="000000"/>
        </w:rPr>
        <w:t>Di antara orang-orang berpiutang yang diistimewakan, tingkatannnya diatur menurut berbagai-bagai sifat hak-hak istimewanya</w:t>
      </w:r>
      <w:r w:rsidRPr="00052B2E">
        <w:rPr>
          <w:color w:val="000000"/>
        </w:rPr>
        <w:t>.</w:t>
      </w:r>
    </w:p>
    <w:p w:rsidR="00FB1B95" w:rsidRPr="00052B2E" w:rsidRDefault="00FB1B95" w:rsidP="00FB1B95">
      <w:pPr>
        <w:pStyle w:val="NormalWeb"/>
        <w:spacing w:before="0" w:beforeAutospacing="0" w:after="0" w:afterAutospacing="0" w:line="480" w:lineRule="auto"/>
        <w:ind w:firstLine="720"/>
        <w:jc w:val="both"/>
        <w:rPr>
          <w:color w:val="000000"/>
        </w:rPr>
      </w:pPr>
      <w:r w:rsidRPr="00052B2E">
        <w:rPr>
          <w:color w:val="000000"/>
          <w:shd w:val="clear" w:color="auto" w:fill="FFFFFF"/>
        </w:rPr>
        <w:t>Berdasarkan ketentuan-ketentuan di atas, kreditur dapat digolongkan menjadi tiga yaitu:</w:t>
      </w:r>
    </w:p>
    <w:p w:rsidR="00FB1B95" w:rsidRPr="00052B2E" w:rsidRDefault="00FB1B95" w:rsidP="000B51B6">
      <w:pPr>
        <w:numPr>
          <w:ilvl w:val="0"/>
          <w:numId w:val="7"/>
        </w:numPr>
        <w:tabs>
          <w:tab w:val="left" w:pos="851"/>
        </w:tabs>
        <w:spacing w:line="216" w:lineRule="auto"/>
        <w:ind w:left="851"/>
        <w:jc w:val="both"/>
        <w:rPr>
          <w:color w:val="000000"/>
        </w:rPr>
      </w:pPr>
      <w:r w:rsidRPr="00052B2E">
        <w:rPr>
          <w:color w:val="000000"/>
          <w:shd w:val="clear" w:color="auto" w:fill="FFFFFF"/>
        </w:rPr>
        <w:t xml:space="preserve">Kreditur </w:t>
      </w:r>
      <w:r w:rsidRPr="00052B2E">
        <w:rPr>
          <w:i/>
          <w:color w:val="000000"/>
          <w:shd w:val="clear" w:color="auto" w:fill="FFFFFF"/>
        </w:rPr>
        <w:t xml:space="preserve">separatis </w:t>
      </w:r>
      <w:r w:rsidRPr="00052B2E">
        <w:rPr>
          <w:color w:val="000000"/>
          <w:shd w:val="clear" w:color="auto" w:fill="FFFFFF"/>
        </w:rPr>
        <w:t xml:space="preserve">yaitu kreditur pemegang jaminan kebendaan berdasarkan </w:t>
      </w:r>
      <w:r w:rsidRPr="00052B2E">
        <w:rPr>
          <w:bCs/>
          <w:color w:val="000000"/>
          <w:shd w:val="clear" w:color="auto" w:fill="FFFFFF"/>
        </w:rPr>
        <w:t>Pasal 1134 ayat (2) KUH Perdata</w:t>
      </w:r>
      <w:r w:rsidRPr="00052B2E">
        <w:rPr>
          <w:color w:val="000000"/>
          <w:shd w:val="clear" w:color="auto" w:fill="FFFFFF"/>
        </w:rPr>
        <w:t xml:space="preserve"> yaitu gadai dan hipotik. Saat ini jaminan-jaminan kebendaan yang diatur di Indonesia adalah:</w:t>
      </w:r>
    </w:p>
    <w:p w:rsidR="00FB1B95" w:rsidRPr="00052B2E" w:rsidRDefault="00FB1B95" w:rsidP="000B51B6">
      <w:pPr>
        <w:numPr>
          <w:ilvl w:val="0"/>
          <w:numId w:val="8"/>
        </w:numPr>
        <w:tabs>
          <w:tab w:val="left" w:pos="1276"/>
        </w:tabs>
        <w:spacing w:line="216" w:lineRule="auto"/>
        <w:ind w:left="1276" w:hanging="425"/>
        <w:jc w:val="both"/>
        <w:rPr>
          <w:color w:val="000000"/>
        </w:rPr>
      </w:pPr>
      <w:r w:rsidRPr="00052B2E">
        <w:rPr>
          <w:color w:val="000000"/>
        </w:rPr>
        <w:t>Gadai (</w:t>
      </w:r>
      <w:r w:rsidRPr="00052B2E">
        <w:rPr>
          <w:bCs/>
          <w:color w:val="000000"/>
        </w:rPr>
        <w:t>Pasal 1150 sampai dengan Pasal 1160 KUH Perdata</w:t>
      </w:r>
      <w:r w:rsidRPr="00052B2E">
        <w:rPr>
          <w:color w:val="000000"/>
        </w:rPr>
        <w:t>)</w:t>
      </w:r>
    </w:p>
    <w:p w:rsidR="00FB1B95" w:rsidRPr="00052B2E" w:rsidRDefault="00FB1B95" w:rsidP="000B51B6">
      <w:pPr>
        <w:numPr>
          <w:ilvl w:val="0"/>
          <w:numId w:val="8"/>
        </w:numPr>
        <w:tabs>
          <w:tab w:val="left" w:pos="1276"/>
        </w:tabs>
        <w:spacing w:line="216" w:lineRule="auto"/>
        <w:ind w:left="1276" w:hanging="425"/>
        <w:jc w:val="both"/>
        <w:rPr>
          <w:color w:val="000000"/>
        </w:rPr>
      </w:pPr>
      <w:r w:rsidRPr="00052B2E">
        <w:rPr>
          <w:color w:val="000000"/>
        </w:rPr>
        <w:t>Fidusia (</w:t>
      </w:r>
      <w:hyperlink r:id="rId9" w:history="1">
        <w:r w:rsidRPr="00052B2E">
          <w:rPr>
            <w:rStyle w:val="Hyperlink"/>
            <w:bCs/>
            <w:color w:val="000000"/>
          </w:rPr>
          <w:t>UU No. 42 Tahun 1999 tentang Jaminan Fidusia</w:t>
        </w:r>
      </w:hyperlink>
      <w:r w:rsidRPr="00052B2E">
        <w:rPr>
          <w:color w:val="000000"/>
        </w:rPr>
        <w:t>);</w:t>
      </w:r>
    </w:p>
    <w:p w:rsidR="00FB1B95" w:rsidRPr="00052B2E" w:rsidRDefault="00FB1B95" w:rsidP="000B51B6">
      <w:pPr>
        <w:numPr>
          <w:ilvl w:val="0"/>
          <w:numId w:val="8"/>
        </w:numPr>
        <w:tabs>
          <w:tab w:val="left" w:pos="1276"/>
        </w:tabs>
        <w:spacing w:line="216" w:lineRule="auto"/>
        <w:ind w:left="1276" w:hanging="425"/>
        <w:jc w:val="both"/>
        <w:rPr>
          <w:color w:val="000000"/>
        </w:rPr>
      </w:pPr>
      <w:r w:rsidRPr="00052B2E">
        <w:rPr>
          <w:color w:val="000000"/>
        </w:rPr>
        <w:lastRenderedPageBreak/>
        <w:t>Hak Tanggungan (</w:t>
      </w:r>
      <w:hyperlink r:id="rId10" w:history="1">
        <w:r w:rsidRPr="00052B2E">
          <w:rPr>
            <w:rStyle w:val="Hyperlink"/>
            <w:bCs/>
            <w:color w:val="000000"/>
          </w:rPr>
          <w:t>UU No. 4 Tahun 1996 tentang Hak Tanggungan Atas Tanah Beserta Benda-Benda yang Berkaitan Dengan Tanah</w:t>
        </w:r>
      </w:hyperlink>
      <w:r w:rsidRPr="00052B2E">
        <w:rPr>
          <w:color w:val="000000"/>
        </w:rPr>
        <w:t>)</w:t>
      </w:r>
    </w:p>
    <w:p w:rsidR="00FB1B95" w:rsidRPr="00052B2E" w:rsidRDefault="00FB1B95" w:rsidP="000B51B6">
      <w:pPr>
        <w:numPr>
          <w:ilvl w:val="0"/>
          <w:numId w:val="8"/>
        </w:numPr>
        <w:tabs>
          <w:tab w:val="left" w:pos="1276"/>
        </w:tabs>
        <w:spacing w:line="216" w:lineRule="auto"/>
        <w:ind w:left="1276" w:hanging="425"/>
        <w:jc w:val="both"/>
        <w:rPr>
          <w:color w:val="000000"/>
        </w:rPr>
      </w:pPr>
      <w:r w:rsidRPr="00052B2E">
        <w:rPr>
          <w:color w:val="000000"/>
        </w:rPr>
        <w:t>Hipotik Kapal (</w:t>
      </w:r>
      <w:r w:rsidRPr="00052B2E">
        <w:rPr>
          <w:bCs/>
          <w:color w:val="000000"/>
        </w:rPr>
        <w:t>Pasal 1162 sampai dengan Pasal 1232 KUH Perdata</w:t>
      </w:r>
      <w:r w:rsidRPr="00052B2E">
        <w:rPr>
          <w:color w:val="000000"/>
        </w:rPr>
        <w:t>)</w:t>
      </w:r>
    </w:p>
    <w:p w:rsidR="00FB1B95" w:rsidRPr="00052B2E" w:rsidRDefault="00FB1B95" w:rsidP="000B51B6">
      <w:pPr>
        <w:numPr>
          <w:ilvl w:val="0"/>
          <w:numId w:val="8"/>
        </w:numPr>
        <w:tabs>
          <w:tab w:val="left" w:pos="1276"/>
        </w:tabs>
        <w:spacing w:line="216" w:lineRule="auto"/>
        <w:ind w:left="1276" w:hanging="425"/>
        <w:jc w:val="both"/>
        <w:rPr>
          <w:color w:val="000000"/>
        </w:rPr>
      </w:pPr>
      <w:r w:rsidRPr="00052B2E">
        <w:rPr>
          <w:color w:val="000000"/>
        </w:rPr>
        <w:t>Resi Gudang (</w:t>
      </w:r>
      <w:hyperlink r:id="rId11" w:history="1">
        <w:r w:rsidRPr="00052B2E">
          <w:rPr>
            <w:rStyle w:val="Hyperlink"/>
            <w:bCs/>
            <w:color w:val="000000"/>
          </w:rPr>
          <w:t>UU No. 9 Tahun 2006 tentang Sistem Resi Gudang</w:t>
        </w:r>
      </w:hyperlink>
      <w:r w:rsidRPr="00052B2E">
        <w:rPr>
          <w:color w:val="000000"/>
        </w:rPr>
        <w:t xml:space="preserve"> sebagaimana telah diubah dengan </w:t>
      </w:r>
      <w:hyperlink r:id="rId12" w:history="1">
        <w:r w:rsidRPr="00052B2E">
          <w:rPr>
            <w:rStyle w:val="Hyperlink"/>
            <w:bCs/>
            <w:color w:val="000000"/>
          </w:rPr>
          <w:t>UU No. 9 Tahun 2011</w:t>
        </w:r>
      </w:hyperlink>
      <w:r w:rsidRPr="00052B2E">
        <w:rPr>
          <w:color w:val="000000"/>
        </w:rPr>
        <w:t>)</w:t>
      </w:r>
    </w:p>
    <w:p w:rsidR="00FB1B95" w:rsidRPr="00052B2E" w:rsidRDefault="00FB1B95" w:rsidP="000B51B6">
      <w:pPr>
        <w:numPr>
          <w:ilvl w:val="0"/>
          <w:numId w:val="7"/>
        </w:numPr>
        <w:shd w:val="clear" w:color="auto" w:fill="FFFFFF"/>
        <w:tabs>
          <w:tab w:val="left" w:pos="851"/>
        </w:tabs>
        <w:spacing w:line="216" w:lineRule="auto"/>
        <w:ind w:left="851"/>
        <w:jc w:val="both"/>
        <w:rPr>
          <w:color w:val="000000"/>
        </w:rPr>
      </w:pPr>
      <w:r w:rsidRPr="00052B2E">
        <w:rPr>
          <w:color w:val="000000"/>
          <w:shd w:val="clear" w:color="auto" w:fill="FFFFFF"/>
        </w:rPr>
        <w:t xml:space="preserve">Kreditur </w:t>
      </w:r>
      <w:r w:rsidRPr="00052B2E">
        <w:rPr>
          <w:i/>
          <w:color w:val="000000"/>
          <w:shd w:val="clear" w:color="auto" w:fill="FFFFFF"/>
        </w:rPr>
        <w:t>preferen</w:t>
      </w:r>
      <w:r w:rsidRPr="00052B2E">
        <w:rPr>
          <w:color w:val="000000"/>
          <w:shd w:val="clear" w:color="auto" w:fill="FFFFFF"/>
        </w:rPr>
        <w:t xml:space="preserve"> yaitu kreditur yang mempunyai hak mendahului </w:t>
      </w:r>
      <w:r w:rsidRPr="00052B2E">
        <w:rPr>
          <w:color w:val="000000"/>
        </w:rPr>
        <w:t>karena sifat piutangnya oleh undang-undang diberi kedudukan istimewa</w:t>
      </w:r>
      <w:r w:rsidRPr="00052B2E">
        <w:rPr>
          <w:color w:val="000000"/>
          <w:shd w:val="clear" w:color="auto" w:fill="FFFFFF"/>
        </w:rPr>
        <w:t xml:space="preserve">. Kreditur Preferen terdiri dari kreditur </w:t>
      </w:r>
      <w:r w:rsidRPr="00052B2E">
        <w:rPr>
          <w:i/>
          <w:color w:val="000000"/>
          <w:shd w:val="clear" w:color="auto" w:fill="FFFFFF"/>
        </w:rPr>
        <w:t>preferen</w:t>
      </w:r>
      <w:r w:rsidRPr="00052B2E">
        <w:rPr>
          <w:color w:val="000000"/>
          <w:shd w:val="clear" w:color="auto" w:fill="FFFFFF"/>
        </w:rPr>
        <w:t xml:space="preserve"> khusus, sebagaimana diatur dalam </w:t>
      </w:r>
      <w:r w:rsidRPr="00052B2E">
        <w:rPr>
          <w:bCs/>
          <w:color w:val="000000"/>
          <w:shd w:val="clear" w:color="auto" w:fill="FFFFFF"/>
        </w:rPr>
        <w:t>Pasal 1139 KUH Perdata</w:t>
      </w:r>
      <w:r w:rsidRPr="00052B2E">
        <w:rPr>
          <w:color w:val="000000"/>
          <w:shd w:val="clear" w:color="auto" w:fill="FFFFFF"/>
        </w:rPr>
        <w:t xml:space="preserve">, dan Kreditur </w:t>
      </w:r>
      <w:r w:rsidRPr="00052B2E">
        <w:rPr>
          <w:i/>
          <w:color w:val="000000"/>
          <w:shd w:val="clear" w:color="auto" w:fill="FFFFFF"/>
        </w:rPr>
        <w:t>preferen</w:t>
      </w:r>
      <w:r w:rsidRPr="00052B2E">
        <w:rPr>
          <w:color w:val="000000"/>
          <w:shd w:val="clear" w:color="auto" w:fill="FFFFFF"/>
        </w:rPr>
        <w:t xml:space="preserve"> Umum, sebagaimana diatur dalam </w:t>
      </w:r>
      <w:r w:rsidRPr="00052B2E">
        <w:rPr>
          <w:bCs/>
          <w:color w:val="000000"/>
          <w:shd w:val="clear" w:color="auto" w:fill="FFFFFF"/>
        </w:rPr>
        <w:t>Pasal 1149 KUH Perdata</w:t>
      </w:r>
      <w:r w:rsidRPr="00052B2E">
        <w:rPr>
          <w:color w:val="000000"/>
          <w:shd w:val="clear" w:color="auto" w:fill="FFFFFF"/>
        </w:rPr>
        <w:t>.</w:t>
      </w:r>
    </w:p>
    <w:p w:rsidR="00FB1B95" w:rsidRPr="00052B2E" w:rsidRDefault="00FB1B95" w:rsidP="000B51B6">
      <w:pPr>
        <w:numPr>
          <w:ilvl w:val="0"/>
          <w:numId w:val="7"/>
        </w:numPr>
        <w:shd w:val="clear" w:color="auto" w:fill="FFFFFF"/>
        <w:tabs>
          <w:tab w:val="left" w:pos="851"/>
        </w:tabs>
        <w:ind w:left="851"/>
        <w:jc w:val="both"/>
        <w:rPr>
          <w:color w:val="000000"/>
        </w:rPr>
      </w:pPr>
      <w:r w:rsidRPr="00052B2E">
        <w:rPr>
          <w:color w:val="000000"/>
          <w:shd w:val="clear" w:color="auto" w:fill="FFFFFF"/>
        </w:rPr>
        <w:t xml:space="preserve">Kreditur </w:t>
      </w:r>
      <w:r w:rsidRPr="00052B2E">
        <w:rPr>
          <w:i/>
          <w:color w:val="000000"/>
          <w:shd w:val="clear" w:color="auto" w:fill="FFFFFF"/>
        </w:rPr>
        <w:t>konkuren</w:t>
      </w:r>
      <w:r w:rsidRPr="00052B2E">
        <w:rPr>
          <w:color w:val="000000"/>
          <w:shd w:val="clear" w:color="auto" w:fill="FFFFFF"/>
        </w:rPr>
        <w:t xml:space="preserve"> yaitu kreditur yang tidak termasuk dalam kreditur </w:t>
      </w:r>
      <w:r w:rsidRPr="00052B2E">
        <w:rPr>
          <w:i/>
          <w:color w:val="000000"/>
          <w:shd w:val="clear" w:color="auto" w:fill="FFFFFF"/>
        </w:rPr>
        <w:t>separatis</w:t>
      </w:r>
      <w:r w:rsidRPr="00052B2E">
        <w:rPr>
          <w:color w:val="000000"/>
          <w:shd w:val="clear" w:color="auto" w:fill="FFFFFF"/>
        </w:rPr>
        <w:t xml:space="preserve"> dan kreditur </w:t>
      </w:r>
      <w:r w:rsidRPr="00052B2E">
        <w:rPr>
          <w:i/>
          <w:color w:val="000000"/>
          <w:shd w:val="clear" w:color="auto" w:fill="FFFFFF"/>
        </w:rPr>
        <w:t>preferen</w:t>
      </w:r>
      <w:r w:rsidRPr="00052B2E">
        <w:rPr>
          <w:color w:val="000000"/>
          <w:shd w:val="clear" w:color="auto" w:fill="FFFFFF"/>
        </w:rPr>
        <w:t xml:space="preserve"> (</w:t>
      </w:r>
      <w:r w:rsidRPr="00052B2E">
        <w:rPr>
          <w:bCs/>
          <w:color w:val="000000"/>
          <w:shd w:val="clear" w:color="auto" w:fill="FFFFFF"/>
        </w:rPr>
        <w:t>Pasal 1131 jo. Pasal 1132 KUH Perdata</w:t>
      </w:r>
      <w:r w:rsidRPr="00052B2E">
        <w:rPr>
          <w:color w:val="000000"/>
          <w:shd w:val="clear" w:color="auto" w:fill="FFFFFF"/>
        </w:rPr>
        <w:t>).</w:t>
      </w:r>
      <w:r w:rsidRPr="00052B2E">
        <w:rPr>
          <w:rStyle w:val="FootnoteReference"/>
          <w:color w:val="000000"/>
          <w:shd w:val="clear" w:color="auto" w:fill="FFFFFF"/>
        </w:rPr>
        <w:footnoteReference w:id="8"/>
      </w:r>
    </w:p>
    <w:p w:rsidR="00FB1B95" w:rsidRPr="00052B2E" w:rsidRDefault="00FB1B95" w:rsidP="00FB1B95">
      <w:pPr>
        <w:spacing w:line="288" w:lineRule="auto"/>
        <w:jc w:val="both"/>
        <w:rPr>
          <w:color w:val="000000"/>
        </w:rPr>
      </w:pPr>
      <w:r w:rsidRPr="00052B2E">
        <w:rPr>
          <w:color w:val="000000"/>
        </w:rPr>
        <w:t> </w:t>
      </w:r>
    </w:p>
    <w:p w:rsidR="00FB1B95" w:rsidRPr="00052B2E" w:rsidRDefault="00FB1B95" w:rsidP="00FB1B95">
      <w:pPr>
        <w:pStyle w:val="NormalWeb"/>
        <w:spacing w:before="0" w:beforeAutospacing="0" w:after="0" w:afterAutospacing="0" w:line="480" w:lineRule="auto"/>
        <w:ind w:firstLine="720"/>
        <w:jc w:val="both"/>
        <w:rPr>
          <w:color w:val="000000"/>
        </w:rPr>
      </w:pPr>
      <w:r w:rsidRPr="00052B2E">
        <w:rPr>
          <w:color w:val="000000"/>
        </w:rPr>
        <w:t xml:space="preserve">Perbedaan kreditur </w:t>
      </w:r>
      <w:r w:rsidRPr="00052B2E">
        <w:rPr>
          <w:i/>
          <w:color w:val="000000"/>
        </w:rPr>
        <w:t>separatis</w:t>
      </w:r>
      <w:r w:rsidRPr="00052B2E">
        <w:rPr>
          <w:color w:val="000000"/>
        </w:rPr>
        <w:t xml:space="preserve"> dengan kreditur </w:t>
      </w:r>
      <w:r w:rsidRPr="00052B2E">
        <w:rPr>
          <w:i/>
          <w:color w:val="000000"/>
        </w:rPr>
        <w:t xml:space="preserve">konkuren </w:t>
      </w:r>
      <w:r w:rsidRPr="00052B2E">
        <w:rPr>
          <w:color w:val="000000"/>
        </w:rPr>
        <w:t>adalah :</w:t>
      </w:r>
    </w:p>
    <w:p w:rsidR="00FB1B95" w:rsidRPr="00052B2E" w:rsidRDefault="00FB1B95" w:rsidP="00FB1B95">
      <w:pPr>
        <w:pStyle w:val="NormalWeb"/>
        <w:spacing w:before="0" w:beforeAutospacing="0" w:after="0" w:afterAutospacing="0"/>
        <w:ind w:left="567"/>
        <w:jc w:val="both"/>
        <w:rPr>
          <w:color w:val="000000"/>
        </w:rPr>
      </w:pPr>
      <w:r w:rsidRPr="00052B2E">
        <w:rPr>
          <w:color w:val="000000"/>
        </w:rPr>
        <w:t xml:space="preserve">Kreditur </w:t>
      </w:r>
      <w:r w:rsidRPr="00052B2E">
        <w:rPr>
          <w:i/>
          <w:color w:val="000000"/>
        </w:rPr>
        <w:t>separatis</w:t>
      </w:r>
      <w:r w:rsidRPr="00052B2E">
        <w:rPr>
          <w:color w:val="000000"/>
        </w:rPr>
        <w:t xml:space="preserve"> </w:t>
      </w:r>
      <w:r w:rsidRPr="00052B2E">
        <w:rPr>
          <w:color w:val="000000"/>
          <w:shd w:val="clear" w:color="auto" w:fill="FFFFFF"/>
        </w:rPr>
        <w:t>memiliki hak untuk melakukan eksekusi objek jaminannya seolah-olah tanpa terjadinya kepailitan (</w:t>
      </w:r>
      <w:r w:rsidRPr="00052B2E">
        <w:rPr>
          <w:bCs/>
          <w:color w:val="000000"/>
          <w:shd w:val="clear" w:color="auto" w:fill="FFFFFF"/>
        </w:rPr>
        <w:t xml:space="preserve">Pasal 55 </w:t>
      </w:r>
      <w:hyperlink r:id="rId13" w:history="1">
        <w:r w:rsidRPr="00052B2E">
          <w:rPr>
            <w:rStyle w:val="Hyperlink"/>
            <w:bCs/>
            <w:color w:val="000000"/>
            <w:shd w:val="clear" w:color="auto" w:fill="FFFFFF"/>
          </w:rPr>
          <w:t>UU No. 37 Tahun 2004 tentang Kepailitan dan Penundaan Kewajiban Pembayaran Utang</w:t>
        </w:r>
      </w:hyperlink>
      <w:r w:rsidRPr="00052B2E">
        <w:rPr>
          <w:color w:val="000000"/>
          <w:shd w:val="clear" w:color="auto" w:fill="FFFFFF"/>
        </w:rPr>
        <w:t xml:space="preserve">) dan mendapatkan pembayaran piutang terlebih dahulu dari kreditur </w:t>
      </w:r>
      <w:r w:rsidRPr="00052B2E">
        <w:rPr>
          <w:i/>
          <w:color w:val="000000"/>
          <w:shd w:val="clear" w:color="auto" w:fill="FFFFFF"/>
        </w:rPr>
        <w:t>konkuren</w:t>
      </w:r>
      <w:r w:rsidRPr="00052B2E">
        <w:rPr>
          <w:color w:val="000000"/>
          <w:shd w:val="clear" w:color="auto" w:fill="FFFFFF"/>
        </w:rPr>
        <w:t xml:space="preserve">. </w:t>
      </w:r>
      <w:r w:rsidRPr="00052B2E">
        <w:rPr>
          <w:color w:val="000000"/>
        </w:rPr>
        <w:t xml:space="preserve">Pembagian hasil penjualan harta pailit, dilakukan berdasarkan urutan prioritas di mana kreditur yang kedudukannnya lebih tinggi mendapatkan pembagian lebih dahulu dari kreditur lain yang kedudukannya lebih rendah, dan antara kreditur yang memiliki tingkatan yang sama memperoleh pembayaran dengan asas </w:t>
      </w:r>
      <w:r w:rsidRPr="00052B2E">
        <w:rPr>
          <w:i/>
          <w:color w:val="000000"/>
        </w:rPr>
        <w:t xml:space="preserve">prorata </w:t>
      </w:r>
      <w:r w:rsidRPr="00052B2E">
        <w:rPr>
          <w:color w:val="000000"/>
        </w:rPr>
        <w:t>(</w:t>
      </w:r>
      <w:r w:rsidRPr="00052B2E">
        <w:rPr>
          <w:i/>
          <w:iCs/>
          <w:color w:val="000000"/>
        </w:rPr>
        <w:t>pari passu prorata parte</w:t>
      </w:r>
      <w:r w:rsidRPr="00052B2E">
        <w:rPr>
          <w:color w:val="000000"/>
        </w:rPr>
        <w:t>).</w:t>
      </w:r>
      <w:r w:rsidRPr="00052B2E">
        <w:rPr>
          <w:rStyle w:val="FootnoteReference"/>
          <w:color w:val="000000"/>
        </w:rPr>
        <w:footnoteReference w:id="9"/>
      </w:r>
      <w:r w:rsidRPr="00052B2E">
        <w:rPr>
          <w:color w:val="000000"/>
        </w:rPr>
        <w:t xml:space="preserve"> </w:t>
      </w:r>
    </w:p>
    <w:p w:rsidR="00FB1B95" w:rsidRPr="00052B2E" w:rsidRDefault="00FB1B95" w:rsidP="00FB1B95">
      <w:pPr>
        <w:pStyle w:val="NormalWeb"/>
        <w:spacing w:before="0" w:beforeAutospacing="0" w:after="0" w:afterAutospacing="0"/>
        <w:ind w:left="567"/>
        <w:jc w:val="both"/>
        <w:rPr>
          <w:color w:val="000000"/>
        </w:rPr>
      </w:pPr>
    </w:p>
    <w:p w:rsidR="00FB1B95" w:rsidRPr="00052B2E" w:rsidRDefault="00FB1B95" w:rsidP="00FB1B95">
      <w:pPr>
        <w:ind w:firstLine="709"/>
        <w:rPr>
          <w:snapToGrid w:val="0"/>
        </w:rPr>
      </w:pPr>
    </w:p>
    <w:p w:rsidR="00FB1B95" w:rsidRPr="00052B2E" w:rsidRDefault="00FB1B95" w:rsidP="000B51B6">
      <w:pPr>
        <w:pStyle w:val="Heading4"/>
        <w:numPr>
          <w:ilvl w:val="0"/>
          <w:numId w:val="2"/>
        </w:numPr>
        <w:tabs>
          <w:tab w:val="clear" w:pos="720"/>
          <w:tab w:val="num" w:pos="360"/>
        </w:tabs>
        <w:snapToGrid w:val="0"/>
        <w:spacing w:before="0" w:after="0" w:line="480" w:lineRule="auto"/>
        <w:ind w:left="360"/>
        <w:jc w:val="both"/>
        <w:rPr>
          <w:sz w:val="24"/>
          <w:szCs w:val="24"/>
        </w:rPr>
      </w:pPr>
      <w:r w:rsidRPr="00052B2E">
        <w:rPr>
          <w:sz w:val="24"/>
          <w:szCs w:val="24"/>
        </w:rPr>
        <w:t>Tinjauan Tentang Penundaan Kewajiban Pembayaran Utang (PKPU)</w:t>
      </w:r>
    </w:p>
    <w:p w:rsidR="00FB1B95" w:rsidRPr="00052B2E" w:rsidRDefault="00FB1B95" w:rsidP="000B51B6">
      <w:pPr>
        <w:pStyle w:val="Heading4"/>
        <w:numPr>
          <w:ilvl w:val="1"/>
          <w:numId w:val="2"/>
        </w:numPr>
        <w:tabs>
          <w:tab w:val="clear" w:pos="1440"/>
          <w:tab w:val="num" w:pos="720"/>
        </w:tabs>
        <w:snapToGrid w:val="0"/>
        <w:spacing w:before="0" w:after="0" w:line="480" w:lineRule="auto"/>
        <w:ind w:left="720"/>
        <w:jc w:val="both"/>
        <w:rPr>
          <w:sz w:val="24"/>
          <w:szCs w:val="24"/>
        </w:rPr>
      </w:pPr>
      <w:r w:rsidRPr="00052B2E">
        <w:rPr>
          <w:bCs w:val="0"/>
          <w:sz w:val="24"/>
          <w:szCs w:val="24"/>
        </w:rPr>
        <w:t>Pengertian PKPU dan Pelaksanaannya</w:t>
      </w:r>
    </w:p>
    <w:p w:rsidR="00FB1B95" w:rsidRPr="00052B2E" w:rsidRDefault="00FB1B95" w:rsidP="00FB1B95">
      <w:pPr>
        <w:autoSpaceDE w:val="0"/>
        <w:autoSpaceDN w:val="0"/>
        <w:adjustRightInd w:val="0"/>
        <w:spacing w:line="480" w:lineRule="auto"/>
        <w:ind w:firstLine="720"/>
        <w:jc w:val="both"/>
      </w:pPr>
      <w:r w:rsidRPr="00052B2E">
        <w:t>Menurut pendapat Munir Fuady bahwa PKPU adalah :</w:t>
      </w:r>
    </w:p>
    <w:p w:rsidR="00FB1B95" w:rsidRPr="00052B2E" w:rsidRDefault="00FB1B95" w:rsidP="00FB1B95">
      <w:pPr>
        <w:autoSpaceDE w:val="0"/>
        <w:autoSpaceDN w:val="0"/>
        <w:adjustRightInd w:val="0"/>
        <w:ind w:left="426"/>
        <w:jc w:val="both"/>
      </w:pPr>
      <w:r w:rsidRPr="00052B2E">
        <w:t>Suatu periode waktu tertentu yang diberikan oleh undang-undang melalui putusan pengadilan niaga, dimana dalam periode waktu tersebut kepada kreditur dan debitur diberikan kesepakatan untuk memusyawarahkan cara-cara pembayaran utang-utangnya dengan memberikan rencana perdamaian (</w:t>
      </w:r>
      <w:r w:rsidRPr="00052B2E">
        <w:rPr>
          <w:i/>
          <w:iCs/>
        </w:rPr>
        <w:t>composition plan</w:t>
      </w:r>
      <w:r w:rsidRPr="00052B2E">
        <w:t>) terhadap seluruh atau sebagian utangnya itu, termasuk apabita perlu merestrukturisasi utangnya tersebut. Dengan demikian Penundaan Kewajiban Pembayaran Utang (PKPU) merupakan semacam moratorium dalam hal ini legal moratorium.</w:t>
      </w:r>
      <w:r w:rsidRPr="00052B2E">
        <w:rPr>
          <w:rStyle w:val="FootnoteReference"/>
        </w:rPr>
        <w:footnoteReference w:id="10"/>
      </w:r>
    </w:p>
    <w:p w:rsidR="00FB1B95" w:rsidRPr="00052B2E" w:rsidRDefault="00FB1B95" w:rsidP="00FB1B95">
      <w:pPr>
        <w:autoSpaceDE w:val="0"/>
        <w:autoSpaceDN w:val="0"/>
        <w:adjustRightInd w:val="0"/>
        <w:ind w:left="426"/>
        <w:jc w:val="both"/>
      </w:pPr>
    </w:p>
    <w:p w:rsidR="00FB1B95" w:rsidRPr="00052B2E" w:rsidRDefault="00FB1B95" w:rsidP="00FB1B95">
      <w:pPr>
        <w:autoSpaceDE w:val="0"/>
        <w:autoSpaceDN w:val="0"/>
        <w:adjustRightInd w:val="0"/>
        <w:spacing w:line="480" w:lineRule="auto"/>
        <w:ind w:firstLine="720"/>
        <w:jc w:val="both"/>
      </w:pPr>
      <w:r w:rsidRPr="00052B2E">
        <w:lastRenderedPageBreak/>
        <w:t>Pasal 222 ayat (2) UU Kepailitan dan PKPU disebutkan bahwa “Debitur yang tidak dapat atau memperkirakan dapat melanjutkan membayar utang-utangnya yang sudah jatuh waktu dan dapat ditagih, dapat memohon penundaan kewajiban pembayaran utang dengan maksud untuk mengajukan rencana perdamaian yang meliputi tawaran pembayaran sebagian atau seluruh utang kepada kreditur”.</w:t>
      </w:r>
    </w:p>
    <w:p w:rsidR="00FB1B95" w:rsidRPr="00052B2E" w:rsidRDefault="00FB1B95" w:rsidP="00FB1B95">
      <w:pPr>
        <w:autoSpaceDE w:val="0"/>
        <w:autoSpaceDN w:val="0"/>
        <w:adjustRightInd w:val="0"/>
        <w:spacing w:line="480" w:lineRule="auto"/>
        <w:ind w:firstLine="720"/>
        <w:jc w:val="both"/>
      </w:pPr>
      <w:r w:rsidRPr="00052B2E">
        <w:t>Permohonan PKPU oleh si debitur ini dilakukan sebelum permohonan pernyataan pailit diajukan oleh pihak lain kepada debitur. Tetapi ada juga PKPU ini diajukan oleh si debitur pada saat permohonan pernyataan pailit si debitur oleh pihak lain telah dimohonkan ke pihak pengadilan. Apabila permohonan pernyataan pailit dan permohonan PKPU ini diperiksa pada saat yang bersamaan maka permohonan PKPU inl harus diputus terlebih dahulu.</w:t>
      </w:r>
    </w:p>
    <w:p w:rsidR="00FB1B95" w:rsidRPr="00052B2E" w:rsidRDefault="00FB1B95" w:rsidP="00FB1B95">
      <w:pPr>
        <w:autoSpaceDE w:val="0"/>
        <w:autoSpaceDN w:val="0"/>
        <w:adjustRightInd w:val="0"/>
        <w:spacing w:line="480" w:lineRule="auto"/>
        <w:ind w:firstLine="720"/>
        <w:jc w:val="both"/>
      </w:pPr>
      <w:r w:rsidRPr="00052B2E">
        <w:t>Menurut Munir Fuady  mengatakan :</w:t>
      </w:r>
    </w:p>
    <w:p w:rsidR="00FB1B95" w:rsidRPr="00052B2E" w:rsidRDefault="00FB1B95" w:rsidP="00FB1B95">
      <w:pPr>
        <w:autoSpaceDE w:val="0"/>
        <w:autoSpaceDN w:val="0"/>
        <w:adjustRightInd w:val="0"/>
        <w:ind w:left="426"/>
        <w:jc w:val="both"/>
      </w:pPr>
      <w:r w:rsidRPr="00052B2E">
        <w:t>Akan tetapi, ada kalanya juga sebenarnya permohonan PKPU oleh debitur terpaksa dilakukan oleh debitur dengan tujuan untuk melawan permohonan pailit yang telah diajukan oleh para krediturnya. Jika diajukan permohonan PKPU padahal permohonan pailit telah dilakukan maka hakim harus mengabuikan PKPU dalam hal ini PKPU sementara untuk jangka waktu 45 hari sementara gugatan pailit gugur demi hukum.</w:t>
      </w:r>
      <w:r w:rsidRPr="00052B2E">
        <w:rPr>
          <w:rStyle w:val="FootnoteReference"/>
        </w:rPr>
        <w:footnoteReference w:id="11"/>
      </w:r>
    </w:p>
    <w:p w:rsidR="00FB1B95" w:rsidRPr="00052B2E" w:rsidRDefault="00FB1B95" w:rsidP="00FB1B95">
      <w:pPr>
        <w:autoSpaceDE w:val="0"/>
        <w:autoSpaceDN w:val="0"/>
        <w:adjustRightInd w:val="0"/>
        <w:ind w:left="426"/>
        <w:jc w:val="both"/>
      </w:pPr>
    </w:p>
    <w:p w:rsidR="00FB1B95" w:rsidRPr="00052B2E" w:rsidRDefault="00FB1B95" w:rsidP="00FB1B95">
      <w:pPr>
        <w:autoSpaceDE w:val="0"/>
        <w:autoSpaceDN w:val="0"/>
        <w:adjustRightInd w:val="0"/>
        <w:spacing w:line="528" w:lineRule="auto"/>
        <w:ind w:firstLine="720"/>
        <w:jc w:val="both"/>
      </w:pPr>
      <w:r w:rsidRPr="00052B2E">
        <w:t>PKPU bukanlah satu-satunya cara untuk melepaskan si debitur dari kepailitan dan likuidasi terhadap harta bendanya, menurut Sutan Remy Syahdeini dalam bukunya “Hukum Kepailitan” ada dua cara untuk melepaskan si debitur dari kepailitan ini:</w:t>
      </w:r>
    </w:p>
    <w:p w:rsidR="00FB1B95" w:rsidRPr="00052B2E" w:rsidRDefault="00FB1B95" w:rsidP="000B51B6">
      <w:pPr>
        <w:numPr>
          <w:ilvl w:val="0"/>
          <w:numId w:val="6"/>
        </w:numPr>
        <w:autoSpaceDE w:val="0"/>
        <w:autoSpaceDN w:val="0"/>
        <w:adjustRightInd w:val="0"/>
      </w:pPr>
      <w:r w:rsidRPr="00052B2E">
        <w:t>Mengajukan PKPU</w:t>
      </w:r>
    </w:p>
    <w:p w:rsidR="00FB1B95" w:rsidRPr="00052B2E" w:rsidRDefault="00FB1B95" w:rsidP="000B51B6">
      <w:pPr>
        <w:numPr>
          <w:ilvl w:val="0"/>
          <w:numId w:val="6"/>
        </w:numPr>
        <w:autoSpaceDE w:val="0"/>
        <w:autoSpaceDN w:val="0"/>
        <w:adjustRightInd w:val="0"/>
        <w:jc w:val="both"/>
        <w:rPr>
          <w:rStyle w:val="FootnoteReference"/>
        </w:rPr>
      </w:pPr>
      <w:r w:rsidRPr="00052B2E">
        <w:lastRenderedPageBreak/>
        <w:t>Dengan mengadakan perdamaian antara debitur dengan krediturnya, setelah debitur dinyatakan pailit oleh pengadilan. Perdamaian ini memang tidak dapat menghindarkan kepailitan, karena kepailitan itu sudah terjadi, akan tetapi apabila perdamaian itu tercapai maka kepailitan debitur yang telah diputus oleh pengadilan itu menjadi berakhir.</w:t>
      </w:r>
      <w:r w:rsidRPr="00052B2E">
        <w:rPr>
          <w:rStyle w:val="FootnoteReference"/>
        </w:rPr>
        <w:t xml:space="preserve"> </w:t>
      </w:r>
      <w:r w:rsidRPr="00052B2E">
        <w:rPr>
          <w:rStyle w:val="FootnoteReference"/>
        </w:rPr>
        <w:footnoteReference w:id="12"/>
      </w:r>
    </w:p>
    <w:p w:rsidR="00FB1B95" w:rsidRPr="00052B2E" w:rsidRDefault="00FB1B95" w:rsidP="00FB1B95">
      <w:pPr>
        <w:autoSpaceDE w:val="0"/>
        <w:autoSpaceDN w:val="0"/>
        <w:adjustRightInd w:val="0"/>
        <w:ind w:left="720"/>
        <w:jc w:val="both"/>
      </w:pPr>
    </w:p>
    <w:p w:rsidR="00FB1B95" w:rsidRPr="00052B2E" w:rsidRDefault="00FB1B95" w:rsidP="00FB1B95">
      <w:pPr>
        <w:autoSpaceDE w:val="0"/>
        <w:autoSpaceDN w:val="0"/>
        <w:adjustRightInd w:val="0"/>
        <w:spacing w:line="480" w:lineRule="auto"/>
        <w:ind w:firstLine="720"/>
        <w:jc w:val="both"/>
      </w:pPr>
      <w:r w:rsidRPr="00052B2E">
        <w:t>Jelasnya perihal PKPU ini akan dibedakan kepailitan dengan PKPU dan likuidasi perusahaan dapat dilihat pada table berikut ini :</w:t>
      </w:r>
    </w:p>
    <w:p w:rsidR="00FB1B95" w:rsidRPr="00052B2E" w:rsidRDefault="00FB1B95" w:rsidP="00FB1B95">
      <w:pPr>
        <w:autoSpaceDE w:val="0"/>
        <w:autoSpaceDN w:val="0"/>
        <w:adjustRightInd w:val="0"/>
        <w:jc w:val="center"/>
        <w:rPr>
          <w:b/>
        </w:rPr>
      </w:pPr>
      <w:r w:rsidRPr="00052B2E">
        <w:rPr>
          <w:b/>
        </w:rPr>
        <w:t>Tabel 1</w:t>
      </w:r>
    </w:p>
    <w:p w:rsidR="00FB1B95" w:rsidRPr="00052B2E" w:rsidRDefault="00FB1B95" w:rsidP="00FB1B95">
      <w:pPr>
        <w:autoSpaceDE w:val="0"/>
        <w:autoSpaceDN w:val="0"/>
        <w:adjustRightInd w:val="0"/>
        <w:spacing w:line="480" w:lineRule="auto"/>
        <w:jc w:val="center"/>
        <w:rPr>
          <w:b/>
        </w:rPr>
      </w:pPr>
      <w:r w:rsidRPr="00052B2E">
        <w:rPr>
          <w:b/>
        </w:rPr>
        <w:t>Perbedaan Kepailitan dengan PKPU dan Likuidasi Perusahaan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2718"/>
        <w:gridCol w:w="2469"/>
      </w:tblGrid>
      <w:tr w:rsidR="00FB1B95" w:rsidRPr="00052B2E" w:rsidTr="000B51B6">
        <w:tc>
          <w:tcPr>
            <w:tcW w:w="2610" w:type="dxa"/>
          </w:tcPr>
          <w:p w:rsidR="00FB1B95" w:rsidRPr="00052B2E" w:rsidRDefault="00FB1B95" w:rsidP="000B51B6">
            <w:pPr>
              <w:spacing w:line="456" w:lineRule="auto"/>
              <w:jc w:val="center"/>
            </w:pPr>
            <w:r w:rsidRPr="00052B2E">
              <w:rPr>
                <w:b/>
                <w:bCs/>
              </w:rPr>
              <w:t>Pailit</w:t>
            </w:r>
          </w:p>
        </w:tc>
        <w:tc>
          <w:tcPr>
            <w:tcW w:w="2718" w:type="dxa"/>
          </w:tcPr>
          <w:p w:rsidR="00FB1B95" w:rsidRPr="00052B2E" w:rsidRDefault="00FB1B95" w:rsidP="000B51B6">
            <w:pPr>
              <w:spacing w:line="456" w:lineRule="auto"/>
              <w:jc w:val="center"/>
              <w:rPr>
                <w:b/>
              </w:rPr>
            </w:pPr>
            <w:r w:rsidRPr="00052B2E">
              <w:rPr>
                <w:b/>
              </w:rPr>
              <w:t>PKPU</w:t>
            </w:r>
          </w:p>
        </w:tc>
        <w:tc>
          <w:tcPr>
            <w:tcW w:w="2469" w:type="dxa"/>
          </w:tcPr>
          <w:p w:rsidR="00FB1B95" w:rsidRPr="00052B2E" w:rsidRDefault="00FB1B95" w:rsidP="000B51B6">
            <w:pPr>
              <w:spacing w:line="456" w:lineRule="auto"/>
              <w:jc w:val="center"/>
            </w:pPr>
            <w:r w:rsidRPr="00052B2E">
              <w:rPr>
                <w:b/>
                <w:bCs/>
              </w:rPr>
              <w:t>Likuidasi</w:t>
            </w:r>
          </w:p>
        </w:tc>
      </w:tr>
      <w:tr w:rsidR="00FB1B95" w:rsidRPr="00052B2E" w:rsidTr="000B51B6">
        <w:tc>
          <w:tcPr>
            <w:tcW w:w="2610" w:type="dxa"/>
          </w:tcPr>
          <w:p w:rsidR="00FB1B95" w:rsidRPr="00052B2E" w:rsidRDefault="00FB1B95" w:rsidP="000B51B6">
            <w:pPr>
              <w:autoSpaceDE w:val="0"/>
              <w:autoSpaceDN w:val="0"/>
              <w:adjustRightInd w:val="0"/>
              <w:jc w:val="both"/>
            </w:pPr>
            <w:r w:rsidRPr="00052B2E">
              <w:t>Debitur sama sekali tidak mempunyai kewenangan mengurus perusahaannya lagi, pemberesan harta pailit sepenuhnya oleh seorang kurator.</w:t>
            </w:r>
          </w:p>
        </w:tc>
        <w:tc>
          <w:tcPr>
            <w:tcW w:w="2718" w:type="dxa"/>
          </w:tcPr>
          <w:p w:rsidR="00FB1B95" w:rsidRPr="00052B2E" w:rsidRDefault="00FB1B95" w:rsidP="000B51B6">
            <w:pPr>
              <w:autoSpaceDE w:val="0"/>
              <w:autoSpaceDN w:val="0"/>
              <w:adjustRightInd w:val="0"/>
              <w:jc w:val="both"/>
            </w:pPr>
            <w:r w:rsidRPr="00052B2E">
              <w:t>Masih memiliki kewenangan menjalankan kegiatan perusahaan namun dengan bersama-sama pengurus yang ditunjuk oleh keputusan pengadilan.</w:t>
            </w:r>
          </w:p>
        </w:tc>
        <w:tc>
          <w:tcPr>
            <w:tcW w:w="2469" w:type="dxa"/>
          </w:tcPr>
          <w:p w:rsidR="00FB1B95" w:rsidRPr="00052B2E" w:rsidRDefault="00FB1B95" w:rsidP="000B51B6">
            <w:pPr>
              <w:autoSpaceDE w:val="0"/>
              <w:autoSpaceDN w:val="0"/>
              <w:adjustRightInd w:val="0"/>
              <w:jc w:val="both"/>
            </w:pPr>
            <w:r w:rsidRPr="00052B2E">
              <w:t>Menutup dan memberhentikan semua kegiatan perusahaan dan membereskannya serta membagibagikan aktiva tersebut kepada kreditur dan pemegang saham dengan cara internal perusahaan dengan ditunjukkan likuidator.</w:t>
            </w:r>
          </w:p>
        </w:tc>
      </w:tr>
      <w:tr w:rsidR="00FB1B95" w:rsidRPr="00052B2E" w:rsidTr="000B51B6">
        <w:tc>
          <w:tcPr>
            <w:tcW w:w="2610" w:type="dxa"/>
          </w:tcPr>
          <w:p w:rsidR="00FB1B95" w:rsidRPr="00052B2E" w:rsidRDefault="00FB1B95" w:rsidP="000B51B6">
            <w:pPr>
              <w:autoSpaceDE w:val="0"/>
              <w:autoSpaceDN w:val="0"/>
              <w:adjustRightInd w:val="0"/>
              <w:jc w:val="both"/>
            </w:pPr>
            <w:r w:rsidRPr="00052B2E">
              <w:t>Perdamaian dalam peristiwa kepailitan adalah sebatas perdamaian yang berkenaan dengan pemberesan harta pailit (</w:t>
            </w:r>
            <w:r w:rsidRPr="00052B2E">
              <w:rPr>
                <w:i/>
                <w:iCs/>
              </w:rPr>
              <w:t>boedel</w:t>
            </w:r>
            <w:r w:rsidRPr="00052B2E">
              <w:t>).</w:t>
            </w:r>
          </w:p>
        </w:tc>
        <w:tc>
          <w:tcPr>
            <w:tcW w:w="2718" w:type="dxa"/>
          </w:tcPr>
          <w:p w:rsidR="00FB1B95" w:rsidRPr="00052B2E" w:rsidRDefault="00FB1B95" w:rsidP="000B51B6">
            <w:pPr>
              <w:autoSpaceDE w:val="0"/>
              <w:autoSpaceDN w:val="0"/>
              <w:adjustRightInd w:val="0"/>
              <w:jc w:val="both"/>
            </w:pPr>
            <w:r w:rsidRPr="00052B2E">
              <w:t>Perdamaian dalam rangka PKPU sangat luas cakupannya menyangkut aspek-aspek retrukturisasi.</w:t>
            </w:r>
          </w:p>
        </w:tc>
        <w:tc>
          <w:tcPr>
            <w:tcW w:w="2469" w:type="dxa"/>
          </w:tcPr>
          <w:p w:rsidR="00FB1B95" w:rsidRPr="00052B2E" w:rsidRDefault="00FB1B95" w:rsidP="000B51B6">
            <w:pPr>
              <w:autoSpaceDE w:val="0"/>
              <w:autoSpaceDN w:val="0"/>
              <w:adjustRightInd w:val="0"/>
              <w:jc w:val="both"/>
            </w:pPr>
            <w:r w:rsidRPr="00052B2E">
              <w:t>Perdamaian dapat juga dilakukan melalui penetapan pengadilan maupun perdamaian para pihak saja (sukarela) missal dalam hal jangka waktu berdirinya perseroan (PT) tersebut sudah berakhir.</w:t>
            </w:r>
          </w:p>
          <w:p w:rsidR="00FB1B95" w:rsidRPr="00052B2E" w:rsidRDefault="00FB1B95" w:rsidP="000B51B6">
            <w:pPr>
              <w:autoSpaceDE w:val="0"/>
              <w:autoSpaceDN w:val="0"/>
              <w:adjustRightInd w:val="0"/>
              <w:jc w:val="both"/>
            </w:pPr>
          </w:p>
        </w:tc>
      </w:tr>
      <w:tr w:rsidR="00FB1B95" w:rsidRPr="00052B2E" w:rsidTr="000B51B6">
        <w:tc>
          <w:tcPr>
            <w:tcW w:w="2610" w:type="dxa"/>
          </w:tcPr>
          <w:p w:rsidR="00FB1B95" w:rsidRPr="00052B2E" w:rsidRDefault="00FB1B95" w:rsidP="000B51B6">
            <w:pPr>
              <w:autoSpaceDE w:val="0"/>
              <w:autoSpaceDN w:val="0"/>
              <w:adjustRightInd w:val="0"/>
              <w:jc w:val="both"/>
            </w:pPr>
            <w:r w:rsidRPr="00052B2E">
              <w:t>Pembayaran utang debitur hanya sebatas harta pailit.</w:t>
            </w:r>
          </w:p>
        </w:tc>
        <w:tc>
          <w:tcPr>
            <w:tcW w:w="2718" w:type="dxa"/>
          </w:tcPr>
          <w:p w:rsidR="00FB1B95" w:rsidRPr="00052B2E" w:rsidRDefault="00FB1B95" w:rsidP="000B51B6">
            <w:pPr>
              <w:autoSpaceDE w:val="0"/>
              <w:autoSpaceDN w:val="0"/>
              <w:adjustRightInd w:val="0"/>
              <w:jc w:val="both"/>
            </w:pPr>
            <w:r w:rsidRPr="00052B2E">
              <w:t xml:space="preserve">Pembayaran utang debitur bisa dibayarkan penuh tergantung kepada isi perjanjian perdamaian yang nantinya disahkan oleh pengadilan yang </w:t>
            </w:r>
            <w:r w:rsidRPr="00052B2E">
              <w:lastRenderedPageBreak/>
              <w:t>sudah disepakati oleh para pihak.</w:t>
            </w:r>
          </w:p>
        </w:tc>
        <w:tc>
          <w:tcPr>
            <w:tcW w:w="2469" w:type="dxa"/>
          </w:tcPr>
          <w:p w:rsidR="00FB1B95" w:rsidRPr="00052B2E" w:rsidRDefault="00FB1B95" w:rsidP="000B51B6">
            <w:pPr>
              <w:autoSpaceDE w:val="0"/>
              <w:autoSpaceDN w:val="0"/>
              <w:adjustRightInd w:val="0"/>
              <w:jc w:val="both"/>
            </w:pPr>
            <w:r w:rsidRPr="00052B2E">
              <w:lastRenderedPageBreak/>
              <w:t xml:space="preserve">Pembayaran utang debitur kepada debitur dapat dimusyawarahkan sebelum boleh tanpa campur tangan </w:t>
            </w:r>
            <w:r w:rsidRPr="00052B2E">
              <w:lastRenderedPageBreak/>
              <w:t xml:space="preserve">pengadilan </w:t>
            </w:r>
          </w:p>
        </w:tc>
      </w:tr>
      <w:tr w:rsidR="00FB1B95" w:rsidRPr="00052B2E" w:rsidTr="000B51B6">
        <w:tc>
          <w:tcPr>
            <w:tcW w:w="2610" w:type="dxa"/>
          </w:tcPr>
          <w:p w:rsidR="00FB1B95" w:rsidRPr="00052B2E" w:rsidRDefault="00FB1B95" w:rsidP="000B51B6">
            <w:pPr>
              <w:autoSpaceDE w:val="0"/>
              <w:autoSpaceDN w:val="0"/>
              <w:adjustRightInd w:val="0"/>
              <w:jc w:val="both"/>
            </w:pPr>
            <w:r w:rsidRPr="00052B2E">
              <w:lastRenderedPageBreak/>
              <w:t xml:space="preserve">Terputusnya seluruh aktivitas perusahaan pada mitra kerja, PHK karyawan perusahaan dan lain-lain. Kurator sepenuhnya memegang peranan dalam membereskan </w:t>
            </w:r>
            <w:r w:rsidRPr="00052B2E">
              <w:rPr>
                <w:i/>
                <w:iCs/>
              </w:rPr>
              <w:t xml:space="preserve">boedel </w:t>
            </w:r>
            <w:r w:rsidRPr="00052B2E">
              <w:t xml:space="preserve">pailit menurut ketentuan yang berlaku sampai akhir pemberesan seluruh </w:t>
            </w:r>
            <w:r w:rsidRPr="00052B2E">
              <w:rPr>
                <w:i/>
                <w:iCs/>
              </w:rPr>
              <w:t>boedel.</w:t>
            </w:r>
          </w:p>
        </w:tc>
        <w:tc>
          <w:tcPr>
            <w:tcW w:w="2718" w:type="dxa"/>
          </w:tcPr>
          <w:p w:rsidR="00FB1B95" w:rsidRPr="00052B2E" w:rsidRDefault="00FB1B95" w:rsidP="000B51B6">
            <w:pPr>
              <w:autoSpaceDE w:val="0"/>
              <w:autoSpaceDN w:val="0"/>
              <w:adjustRightInd w:val="0"/>
              <w:jc w:val="both"/>
            </w:pPr>
            <w:r w:rsidRPr="00052B2E">
              <w:t>Aktivitas perusahaan tetap berjalan, hanya setelah diputusnya PKPU</w:t>
            </w:r>
          </w:p>
          <w:p w:rsidR="00FB1B95" w:rsidRPr="00052B2E" w:rsidRDefault="00FB1B95" w:rsidP="000B51B6">
            <w:pPr>
              <w:autoSpaceDE w:val="0"/>
              <w:autoSpaceDN w:val="0"/>
              <w:adjustRightInd w:val="0"/>
              <w:jc w:val="both"/>
            </w:pPr>
            <w:r w:rsidRPr="00052B2E">
              <w:t>oleh pihak pengadilan seluruh transaksi ditentukan oleh isi perjanjian nantinya dan selama PKPU berjalan seluruh transaksi tagihan utang terhenti sementara termasuk penangguhan pelaksanaan hak-hak tanggungan dan jaminan kebendaan lainnya juga bilamana ada sita pengadilan harus dihentikan.</w:t>
            </w:r>
          </w:p>
        </w:tc>
        <w:tc>
          <w:tcPr>
            <w:tcW w:w="2469" w:type="dxa"/>
          </w:tcPr>
          <w:p w:rsidR="00FB1B95" w:rsidRPr="00052B2E" w:rsidRDefault="00FB1B95" w:rsidP="000B51B6">
            <w:pPr>
              <w:autoSpaceDE w:val="0"/>
              <w:autoSpaceDN w:val="0"/>
              <w:adjustRightInd w:val="0"/>
              <w:jc w:val="both"/>
            </w:pPr>
            <w:r w:rsidRPr="00052B2E">
              <w:t>Bisnis perusahaan terhenti atau perusahaan masih dapat melaksanakan kegiatan tertentu, sejauh yang menyangkut dengan pemberesan kekayaannya saja.</w:t>
            </w:r>
          </w:p>
        </w:tc>
      </w:tr>
      <w:tr w:rsidR="00FB1B95" w:rsidRPr="00052B2E" w:rsidTr="000B51B6">
        <w:tc>
          <w:tcPr>
            <w:tcW w:w="2610" w:type="dxa"/>
          </w:tcPr>
          <w:p w:rsidR="00FB1B95" w:rsidRPr="00052B2E" w:rsidRDefault="00FB1B95" w:rsidP="000B51B6">
            <w:pPr>
              <w:autoSpaceDE w:val="0"/>
              <w:autoSpaceDN w:val="0"/>
              <w:adjustRightInd w:val="0"/>
              <w:jc w:val="both"/>
            </w:pPr>
            <w:r w:rsidRPr="00052B2E">
              <w:t>Kurator terdaftar pada Kementrian yang lingkup tugas dan tanggung jawabnya dibidang hukum dan peraturan perundang-undangan, pasal 70 ayat (2b) Undang-Undang 27 tahun 2004 (legal) atas rekomendasi AKPI (Asosiasi Kurator dan Pengurus Indonesia).</w:t>
            </w:r>
          </w:p>
        </w:tc>
        <w:tc>
          <w:tcPr>
            <w:tcW w:w="2718" w:type="dxa"/>
          </w:tcPr>
          <w:p w:rsidR="00FB1B95" w:rsidRPr="00052B2E" w:rsidRDefault="00FB1B95" w:rsidP="000B51B6">
            <w:pPr>
              <w:autoSpaceDE w:val="0"/>
              <w:autoSpaceDN w:val="0"/>
              <w:adjustRightInd w:val="0"/>
              <w:jc w:val="both"/>
            </w:pPr>
            <w:r w:rsidRPr="00052B2E">
              <w:t>Pengurus terdaftar pada Kementrian yang lingkup tugas dan tanggung jawabnya di bidang hukum dan peraturan perundang-undangan,pasal</w:t>
            </w:r>
          </w:p>
          <w:p w:rsidR="00FB1B95" w:rsidRPr="00052B2E" w:rsidRDefault="00FB1B95" w:rsidP="000B51B6">
            <w:pPr>
              <w:autoSpaceDE w:val="0"/>
              <w:autoSpaceDN w:val="0"/>
              <w:adjustRightInd w:val="0"/>
              <w:jc w:val="both"/>
            </w:pPr>
            <w:r w:rsidRPr="00052B2E">
              <w:t>234 ayat (3b) Undang-Undang 27 tahun 2004 (legal) rekomendasi AKPI (Asosiasi Kurator dan Pengurus Indonesia).</w:t>
            </w:r>
          </w:p>
        </w:tc>
        <w:tc>
          <w:tcPr>
            <w:tcW w:w="2469" w:type="dxa"/>
          </w:tcPr>
          <w:p w:rsidR="00FB1B95" w:rsidRPr="00052B2E" w:rsidRDefault="00FB1B95" w:rsidP="000B51B6">
            <w:pPr>
              <w:autoSpaceDE w:val="0"/>
              <w:autoSpaceDN w:val="0"/>
              <w:adjustRightInd w:val="0"/>
              <w:jc w:val="both"/>
            </w:pPr>
            <w:r w:rsidRPr="00052B2E">
              <w:t>Yang menjadi likuidator dapat oleh berbagai pihak seperti direksi perusahaan, lawyer atau akuntan publik. Penunjukkan likuidator atas kehendak/ kesepakatan para pihak atau atas penetapan pengadilan.</w:t>
            </w:r>
          </w:p>
        </w:tc>
      </w:tr>
    </w:tbl>
    <w:p w:rsidR="00FB1B95" w:rsidRPr="00052B2E" w:rsidRDefault="00FB1B95" w:rsidP="00FB1B95">
      <w:pPr>
        <w:spacing w:line="456" w:lineRule="auto"/>
        <w:jc w:val="both"/>
        <w:rPr>
          <w:iCs/>
        </w:rPr>
      </w:pPr>
      <w:r w:rsidRPr="00052B2E">
        <w:t xml:space="preserve">Sumber : </w:t>
      </w:r>
      <w:r w:rsidRPr="00052B2E">
        <w:rPr>
          <w:iCs/>
        </w:rPr>
        <w:t>Diolah dari data sekunder</w:t>
      </w:r>
    </w:p>
    <w:p w:rsidR="00FB1B95" w:rsidRPr="00052B2E" w:rsidRDefault="00FB1B95" w:rsidP="00FB1B95">
      <w:pPr>
        <w:jc w:val="both"/>
        <w:rPr>
          <w:iCs/>
        </w:rPr>
      </w:pPr>
    </w:p>
    <w:p w:rsidR="00FB1B95" w:rsidRPr="00052B2E" w:rsidRDefault="00FB1B95" w:rsidP="000B51B6">
      <w:pPr>
        <w:numPr>
          <w:ilvl w:val="1"/>
          <w:numId w:val="2"/>
        </w:numPr>
        <w:tabs>
          <w:tab w:val="clear" w:pos="1440"/>
          <w:tab w:val="num" w:pos="360"/>
        </w:tabs>
        <w:ind w:left="360"/>
        <w:rPr>
          <w:b/>
          <w:bCs/>
          <w:snapToGrid w:val="0"/>
        </w:rPr>
      </w:pPr>
      <w:r w:rsidRPr="00052B2E">
        <w:rPr>
          <w:b/>
          <w:bCs/>
        </w:rPr>
        <w:t>PKPU Pada Hakekatnya Untuk Mengadakan Perdamaian</w:t>
      </w:r>
    </w:p>
    <w:p w:rsidR="00FB1B95" w:rsidRPr="00052B2E" w:rsidRDefault="00FB1B95" w:rsidP="00FB1B95">
      <w:pPr>
        <w:ind w:left="1080"/>
        <w:rPr>
          <w:snapToGrid w:val="0"/>
        </w:rPr>
      </w:pPr>
    </w:p>
    <w:p w:rsidR="00FB1B95" w:rsidRPr="00052B2E" w:rsidRDefault="00FB1B95" w:rsidP="00FB1B95">
      <w:pPr>
        <w:autoSpaceDE w:val="0"/>
        <w:autoSpaceDN w:val="0"/>
        <w:adjustRightInd w:val="0"/>
        <w:spacing w:line="480" w:lineRule="auto"/>
        <w:ind w:firstLine="720"/>
        <w:jc w:val="both"/>
      </w:pPr>
      <w:r w:rsidRPr="00052B2E">
        <w:t xml:space="preserve">Fungsi perdamaian dalam proses PKPU sangat penting artinya, bahkan merupakan tujuan utama bagi si debitur, dimana si debitur sebagai orang yang paling mengetahui keberadaan perusahaan, bagaimana keberadaan perusahaannya ke depan baik potensi maupun kesulitan membayar utang-utangnya dari kemungkinan-kemungkinan masih dapat bangkit kembali dari jeratan utang-utang </w:t>
      </w:r>
      <w:r w:rsidRPr="00052B2E">
        <w:lastRenderedPageBreak/>
        <w:t xml:space="preserve">terhadap sekalian krediturnya. Oleh karenanya langkah-langkah perdamaian ini adalah untuk menyusun suatu strategi baru bagi si debitur menjadi sangat penting. </w:t>
      </w:r>
    </w:p>
    <w:p w:rsidR="00FB1B95" w:rsidRPr="00052B2E" w:rsidRDefault="00FB1B95" w:rsidP="00FB1B95">
      <w:pPr>
        <w:autoSpaceDE w:val="0"/>
        <w:autoSpaceDN w:val="0"/>
        <w:adjustRightInd w:val="0"/>
        <w:spacing w:line="480" w:lineRule="auto"/>
        <w:ind w:firstLine="720"/>
        <w:jc w:val="both"/>
      </w:pPr>
      <w:r w:rsidRPr="00052B2E">
        <w:t xml:space="preserve">Faktor kesulitan pembayaran utang-utang yang mungkin segera jatuh tempo yang sementara belum dapat diselesaikan membuat si debitur terpaksa membuat suatu konsep perdamaian, konsep ini nantinya akan ditawarkan kepada pihak kreditur, dengan demikian si debitur masih dapat nantinya, tentu saja jika perdamaian ini disetujui oleh para kreditur untuk meneruskan berjalannya perusahaan si debitur tersebut. </w:t>
      </w:r>
    </w:p>
    <w:p w:rsidR="00FB1B95" w:rsidRPr="00052B2E" w:rsidRDefault="00FB1B95" w:rsidP="00FB1B95">
      <w:pPr>
        <w:autoSpaceDE w:val="0"/>
        <w:autoSpaceDN w:val="0"/>
        <w:adjustRightInd w:val="0"/>
        <w:ind w:left="567"/>
        <w:jc w:val="both"/>
      </w:pPr>
      <w:r w:rsidRPr="00052B2E">
        <w:t>Tujuan akhir dari PKPU ini ialah dapat tercapainya perdamaian antara debitur dan seluruh kreditur dari rencana perdamaian yang diajukan/ditawarkan si debitur tersebut. Hanya saja rencana perdamaian yang disusun dalam rangka PKPU menurut ketentuan undang-undang kepailitan belum lagi bersifat menyeluruh dan komprehensif hanya lebih tertuju pada debitur dan kreditur, itupun sering sebagian pada yang bermasalah saja.</w:t>
      </w:r>
      <w:r w:rsidRPr="00052B2E">
        <w:rPr>
          <w:rStyle w:val="FootnoteReference"/>
        </w:rPr>
        <w:footnoteReference w:id="13"/>
      </w:r>
      <w:r w:rsidRPr="00052B2E">
        <w:t xml:space="preserve"> </w:t>
      </w:r>
    </w:p>
    <w:p w:rsidR="00FB1B95" w:rsidRPr="00052B2E" w:rsidRDefault="00FB1B95" w:rsidP="00FB1B95">
      <w:pPr>
        <w:autoSpaceDE w:val="0"/>
        <w:autoSpaceDN w:val="0"/>
        <w:adjustRightInd w:val="0"/>
        <w:ind w:left="567" w:hanging="567"/>
        <w:jc w:val="both"/>
      </w:pPr>
    </w:p>
    <w:p w:rsidR="00FB1B95" w:rsidRPr="00052B2E" w:rsidRDefault="00FB1B95" w:rsidP="00FB1B95">
      <w:pPr>
        <w:autoSpaceDE w:val="0"/>
        <w:autoSpaceDN w:val="0"/>
        <w:adjustRightInd w:val="0"/>
        <w:spacing w:line="480" w:lineRule="auto"/>
        <w:ind w:firstLine="720"/>
        <w:jc w:val="both"/>
      </w:pPr>
      <w:r w:rsidRPr="00052B2E">
        <w:t>Adapun tata cara pengajuan perdamaian dalam rangka PKPU :</w:t>
      </w:r>
    </w:p>
    <w:p w:rsidR="00FB1B95" w:rsidRPr="00052B2E" w:rsidRDefault="00FB1B95" w:rsidP="000B51B6">
      <w:pPr>
        <w:numPr>
          <w:ilvl w:val="0"/>
          <w:numId w:val="10"/>
        </w:numPr>
        <w:autoSpaceDE w:val="0"/>
        <w:autoSpaceDN w:val="0"/>
        <w:adjustRightInd w:val="0"/>
        <w:spacing w:line="480" w:lineRule="auto"/>
        <w:ind w:left="360" w:hanging="357"/>
        <w:jc w:val="both"/>
      </w:pPr>
      <w:r w:rsidRPr="00052B2E">
        <w:t xml:space="preserve">Rencana perdamaian diajukan dapat berdamaan dengan diajukannya permohonan PKPU (Pasal 224 ayat (5) UU Kepailitan dan PKPU). </w:t>
      </w:r>
    </w:p>
    <w:p w:rsidR="00FB1B95" w:rsidRPr="00052B2E" w:rsidRDefault="00FB1B95" w:rsidP="000B51B6">
      <w:pPr>
        <w:numPr>
          <w:ilvl w:val="0"/>
          <w:numId w:val="10"/>
        </w:numPr>
        <w:autoSpaceDE w:val="0"/>
        <w:autoSpaceDN w:val="0"/>
        <w:adjustRightInd w:val="0"/>
        <w:spacing w:line="480" w:lineRule="auto"/>
        <w:ind w:left="360" w:hanging="357"/>
        <w:jc w:val="both"/>
      </w:pPr>
      <w:r w:rsidRPr="00052B2E">
        <w:t xml:space="preserve">Apabila rencana perdamaian diajukan sesudah permohonan PKPU diajukan, haruslah sebelum jatuhnya hari sidang selambat-lambatnya menurut ketetapan PKPU sementara yakni sebelum lewat batas waktu 45 hari, dan rencana perdamaian sebagaimana dimaksudkan tersebut harus disediakan di kepaniteraan untuk dapat diperiksa oleh siapapun tanpa dikenakan (dipungut) biaya (Pasal 229 ayat (3) UU Kepailitan dan PKPU) dan harus disampaikan </w:t>
      </w:r>
      <w:r w:rsidRPr="00052B2E">
        <w:lastRenderedPageBreak/>
        <w:t>kepada hakim pengawas dan pengurus serta ahli, bila ada secepat mungkin setelah rencana tersebut tersedia.</w:t>
      </w:r>
    </w:p>
    <w:p w:rsidR="00FB1B95" w:rsidRPr="00052B2E" w:rsidRDefault="00FB1B95" w:rsidP="000B51B6">
      <w:pPr>
        <w:numPr>
          <w:ilvl w:val="0"/>
          <w:numId w:val="10"/>
        </w:numPr>
        <w:autoSpaceDE w:val="0"/>
        <w:autoSpaceDN w:val="0"/>
        <w:adjustRightInd w:val="0"/>
        <w:spacing w:line="480" w:lineRule="auto"/>
        <w:ind w:left="360" w:hanging="357"/>
        <w:jc w:val="both"/>
      </w:pPr>
      <w:r w:rsidRPr="00052B2E">
        <w:t>Apabila rencana perdamaian dilampirkan pada permohonan penundaan sementara kewajiban pembayaran utang, atau telah disampaikan oleh debitur sebelum sidang, maka hakim pengawas harus menentukan :</w:t>
      </w:r>
    </w:p>
    <w:p w:rsidR="00FB1B95" w:rsidRPr="00052B2E" w:rsidRDefault="00FB1B95" w:rsidP="000B51B6">
      <w:pPr>
        <w:numPr>
          <w:ilvl w:val="0"/>
          <w:numId w:val="11"/>
        </w:numPr>
        <w:autoSpaceDE w:val="0"/>
        <w:autoSpaceDN w:val="0"/>
        <w:adjustRightInd w:val="0"/>
        <w:spacing w:line="480" w:lineRule="auto"/>
        <w:ind w:hanging="357"/>
        <w:jc w:val="both"/>
      </w:pPr>
      <w:r w:rsidRPr="00052B2E">
        <w:t>Hari terakhir harus disampaikan kepada pengurus (Pasal 268 ayat (1a) UU Kepailitan dan PKPU).</w:t>
      </w:r>
    </w:p>
    <w:p w:rsidR="00FB1B95" w:rsidRPr="00052B2E" w:rsidRDefault="00FB1B95" w:rsidP="000B51B6">
      <w:pPr>
        <w:numPr>
          <w:ilvl w:val="0"/>
          <w:numId w:val="11"/>
        </w:numPr>
        <w:autoSpaceDE w:val="0"/>
        <w:autoSpaceDN w:val="0"/>
        <w:adjustRightInd w:val="0"/>
        <w:spacing w:line="480" w:lineRule="auto"/>
        <w:jc w:val="both"/>
      </w:pPr>
      <w:r w:rsidRPr="00052B2E">
        <w:t>Tanggal dan waktu rencana perdamaian yang diusutkan itu akan dibicarakan dan diputuskan dalam rapat kreditur yang dipimpin oleh hakim pengawas (Pasal 268 ayat (1(b) UU Kepailitan dan PKPU).</w:t>
      </w:r>
    </w:p>
    <w:p w:rsidR="00FB1B95" w:rsidRPr="00052B2E" w:rsidRDefault="00FB1B95" w:rsidP="000B51B6">
      <w:pPr>
        <w:numPr>
          <w:ilvl w:val="0"/>
          <w:numId w:val="11"/>
        </w:numPr>
        <w:autoSpaceDE w:val="0"/>
        <w:autoSpaceDN w:val="0"/>
        <w:adjustRightInd w:val="0"/>
        <w:spacing w:line="480" w:lineRule="auto"/>
        <w:ind w:hanging="357"/>
        <w:jc w:val="both"/>
      </w:pPr>
      <w:r w:rsidRPr="00052B2E">
        <w:t>Batas tenggang waktu antara point 1) dan 2) paling sedikit 14 (empat belas) hari (Pasal 268 ayat (2) UU Kepailitan dan PKPU).</w:t>
      </w:r>
    </w:p>
    <w:p w:rsidR="00FB1B95" w:rsidRPr="00052B2E" w:rsidRDefault="00FB1B95" w:rsidP="000B51B6">
      <w:pPr>
        <w:numPr>
          <w:ilvl w:val="0"/>
          <w:numId w:val="11"/>
        </w:numPr>
        <w:autoSpaceDE w:val="0"/>
        <w:autoSpaceDN w:val="0"/>
        <w:adjustRightInd w:val="0"/>
        <w:spacing w:line="480" w:lineRule="auto"/>
        <w:ind w:hanging="357"/>
        <w:jc w:val="both"/>
      </w:pPr>
      <w:r w:rsidRPr="00052B2E">
        <w:t>Pengurus wajib memberitahukan hal-hal yang disebut di atas (point c) kepada semua kreditur yang dikenal baik dengan surat tercatat maupun melalui kurir (Pasal 225 ayat (4) UU Kepailitan dan PKPU).</w:t>
      </w:r>
    </w:p>
    <w:p w:rsidR="00FB1B95" w:rsidRPr="00052B2E" w:rsidRDefault="00FB1B95" w:rsidP="000B51B6">
      <w:pPr>
        <w:numPr>
          <w:ilvl w:val="0"/>
          <w:numId w:val="10"/>
        </w:numPr>
        <w:autoSpaceDE w:val="0"/>
        <w:autoSpaceDN w:val="0"/>
        <w:adjustRightInd w:val="0"/>
        <w:spacing w:line="480" w:lineRule="auto"/>
        <w:ind w:left="360" w:hanging="357"/>
        <w:jc w:val="both"/>
      </w:pPr>
      <w:r w:rsidRPr="00052B2E">
        <w:t>Atas seluruh tagihan yang diajukan kepada pengurus dengan cara menyerahkan surat tagihan atau bukti-bukti tertulis lainnya yang menyebutkan sifat dan jumlah tagihan disertai bukti yang mendukung dan atas tagihan yang diajukan kepada pengurus, kreditur dapat meminta tanda terima dari pengurus (Pasal 270 ayat (1 dan 2) UU Kepailitan dan PKPU).</w:t>
      </w:r>
    </w:p>
    <w:p w:rsidR="00FB1B95" w:rsidRPr="00052B2E" w:rsidRDefault="00FB1B95" w:rsidP="000B51B6">
      <w:pPr>
        <w:numPr>
          <w:ilvl w:val="0"/>
          <w:numId w:val="10"/>
        </w:numPr>
        <w:autoSpaceDE w:val="0"/>
        <w:autoSpaceDN w:val="0"/>
        <w:adjustRightInd w:val="0"/>
        <w:spacing w:line="504" w:lineRule="auto"/>
        <w:ind w:left="360" w:hanging="357"/>
        <w:jc w:val="both"/>
      </w:pPr>
      <w:r w:rsidRPr="00052B2E">
        <w:t xml:space="preserve">Dalam hal ketentuan sebagaimana dimaksud di atas tidak dapat dipenuhi, atau jika kreditur karena belum dapat memberikan suara mereka mengenai rencana perdamaian, maka atas permintaan debitur para kreditur harus menentukan </w:t>
      </w:r>
      <w:r w:rsidRPr="00052B2E">
        <w:lastRenderedPageBreak/>
        <w:t>penerimaan atau penolakan penundaan kewajiban pembayaran utang secara tetap dengan maksud untuk memungkinkan debitur, pengurus dan para kreditur untuk mempertimbangkan dan menyetujui perdamaian pada rapat atau siding yang diadakan selanjutnya (Pasal 228 ayat (4) UU Kepailitan dan PKPU).</w:t>
      </w:r>
    </w:p>
    <w:p w:rsidR="00FB1B95" w:rsidRPr="00052B2E" w:rsidRDefault="00FB1B95" w:rsidP="000B51B6">
      <w:pPr>
        <w:numPr>
          <w:ilvl w:val="0"/>
          <w:numId w:val="10"/>
        </w:numPr>
        <w:autoSpaceDE w:val="0"/>
        <w:autoSpaceDN w:val="0"/>
        <w:adjustRightInd w:val="0"/>
        <w:spacing w:line="504" w:lineRule="auto"/>
        <w:ind w:left="360" w:hanging="357"/>
        <w:jc w:val="both"/>
      </w:pPr>
      <w:r w:rsidRPr="00052B2E">
        <w:t>Apabila penundaan kewajiban pembayaran utang secara tetap sebagaimana yang dimaksud di atas disetujui, maka penundaan tersebut berikut perpanjangannya tidak boleh melebihi 270 hari terhitung sejak putusan penundaan kewajiban pembayaran uang sementara ditetapkan (Pasal 228 ayat (6) UU Kepailitan dan PKPU).</w:t>
      </w:r>
    </w:p>
    <w:p w:rsidR="00FB1B95" w:rsidRPr="00052B2E" w:rsidRDefault="00FB1B95" w:rsidP="000B51B6">
      <w:pPr>
        <w:numPr>
          <w:ilvl w:val="0"/>
          <w:numId w:val="10"/>
        </w:numPr>
        <w:autoSpaceDE w:val="0"/>
        <w:autoSpaceDN w:val="0"/>
        <w:adjustRightInd w:val="0"/>
        <w:spacing w:line="480" w:lineRule="auto"/>
        <w:ind w:left="360"/>
        <w:jc w:val="both"/>
      </w:pPr>
      <w:r w:rsidRPr="00052B2E">
        <w:t>Rencana perdamaian akan gugur demi hukum apabila sebelum keputusan penundaan kewajiban pembayaran utang berkekuatan hukum tetap, ternyata kemudian datang keputusan yang berisikan penghentian PKPU tersebut (Pasal 267 UU Kepailitan dan PKPU).</w:t>
      </w:r>
    </w:p>
    <w:p w:rsidR="00FB1B95" w:rsidRPr="00052B2E" w:rsidRDefault="00FB1B95" w:rsidP="00FB1B95">
      <w:pPr>
        <w:autoSpaceDE w:val="0"/>
        <w:autoSpaceDN w:val="0"/>
        <w:adjustRightInd w:val="0"/>
      </w:pPr>
    </w:p>
    <w:p w:rsidR="00FB1B95" w:rsidRPr="00052B2E" w:rsidRDefault="00FB1B95" w:rsidP="000B51B6">
      <w:pPr>
        <w:numPr>
          <w:ilvl w:val="1"/>
          <w:numId w:val="2"/>
        </w:numPr>
        <w:tabs>
          <w:tab w:val="clear" w:pos="1440"/>
          <w:tab w:val="num" w:pos="360"/>
        </w:tabs>
        <w:spacing w:line="480" w:lineRule="auto"/>
        <w:ind w:left="360"/>
        <w:jc w:val="both"/>
        <w:rPr>
          <w:snapToGrid w:val="0"/>
        </w:rPr>
      </w:pPr>
      <w:r w:rsidRPr="00052B2E">
        <w:rPr>
          <w:b/>
          <w:bCs/>
        </w:rPr>
        <w:t xml:space="preserve">PKPU Ditujukan Untuk Para Kreditur </w:t>
      </w:r>
      <w:r w:rsidRPr="00052B2E">
        <w:rPr>
          <w:b/>
          <w:bCs/>
          <w:i/>
        </w:rPr>
        <w:t>Konkuren</w:t>
      </w:r>
    </w:p>
    <w:p w:rsidR="00FB1B95" w:rsidRPr="00052B2E" w:rsidRDefault="00FB1B95" w:rsidP="00FB1B95">
      <w:pPr>
        <w:autoSpaceDE w:val="0"/>
        <w:autoSpaceDN w:val="0"/>
        <w:adjustRightInd w:val="0"/>
        <w:spacing w:line="480" w:lineRule="auto"/>
        <w:ind w:firstLine="720"/>
        <w:jc w:val="both"/>
      </w:pPr>
      <w:r w:rsidRPr="00052B2E">
        <w:t xml:space="preserve">PKPU pada dasarnya, hanya berlaku/ditujukan pada para kreditur </w:t>
      </w:r>
      <w:r w:rsidRPr="00052B2E">
        <w:rPr>
          <w:i/>
        </w:rPr>
        <w:t>konkuren</w:t>
      </w:r>
      <w:r w:rsidRPr="00052B2E">
        <w:t xml:space="preserve"> saja. Pasal 222 ayat (2) UU Kepailitan dan PKPU tidak menyebut lagi perihal kreditur </w:t>
      </w:r>
      <w:r w:rsidRPr="00052B2E">
        <w:rPr>
          <w:i/>
        </w:rPr>
        <w:t>konkuren</w:t>
      </w:r>
      <w:r w:rsidRPr="00052B2E">
        <w:t xml:space="preserve"> sebagaimana halnya Undang-undang No. 4 Tahun 1998.  Pasal 222 ayat (2) UU PKPU UU Kepailitan dan PKPU jelas menyebutkan bahwa  “Debitur yang tidak dapat atau memperkirakan bahwa ia tidak akan dapat melanjutkan membayar utang-utangnya yang sudah jatuh tempo dan dapat ditagih, dapat memohon penundaan kewajiban pembayaran utang, dengan maksud pada </w:t>
      </w:r>
      <w:r w:rsidRPr="00052B2E">
        <w:lastRenderedPageBreak/>
        <w:t xml:space="preserve">umumnya untuk mengajukan rencana perdamaian yang meliputi tawaran pembayaran seluruh atau sebagian utang kepada kreditur”. </w:t>
      </w:r>
    </w:p>
    <w:p w:rsidR="00FB1B95" w:rsidRPr="00052B2E" w:rsidRDefault="00FB1B95" w:rsidP="00FB1B95">
      <w:pPr>
        <w:autoSpaceDE w:val="0"/>
        <w:autoSpaceDN w:val="0"/>
        <w:adjustRightInd w:val="0"/>
        <w:spacing w:line="480" w:lineRule="auto"/>
        <w:ind w:firstLine="720"/>
        <w:jc w:val="both"/>
      </w:pPr>
      <w:r w:rsidRPr="00052B2E">
        <w:t>Pasal 244 UU Kepailitan dan PKPU disebutkan : “Dengan tetap memperhatikan ketentuan Pasal 246, penundaan kewajiban pembayaran utang tidak berlaku terhadap :</w:t>
      </w:r>
    </w:p>
    <w:p w:rsidR="00FB1B95" w:rsidRPr="00052B2E" w:rsidRDefault="00FB1B95" w:rsidP="000B51B6">
      <w:pPr>
        <w:numPr>
          <w:ilvl w:val="1"/>
          <w:numId w:val="11"/>
        </w:numPr>
        <w:autoSpaceDE w:val="0"/>
        <w:autoSpaceDN w:val="0"/>
        <w:adjustRightInd w:val="0"/>
        <w:ind w:left="927"/>
        <w:jc w:val="both"/>
      </w:pPr>
      <w:r w:rsidRPr="00052B2E">
        <w:t>Tagihan yang dijamin dengan gadai, jaminan fidusia, hak tanggungan, hipotek, atau hak agunan atas kebendaan lainnya.</w:t>
      </w:r>
    </w:p>
    <w:p w:rsidR="00FB1B95" w:rsidRPr="00052B2E" w:rsidRDefault="00FB1B95" w:rsidP="000B51B6">
      <w:pPr>
        <w:numPr>
          <w:ilvl w:val="1"/>
          <w:numId w:val="11"/>
        </w:numPr>
        <w:autoSpaceDE w:val="0"/>
        <w:autoSpaceDN w:val="0"/>
        <w:adjustRightInd w:val="0"/>
        <w:ind w:left="927"/>
        <w:jc w:val="both"/>
      </w:pPr>
      <w:r w:rsidRPr="00052B2E">
        <w:t>Tagihan biaya pemeliharaan, pengawasan, atau pendidikan yang sudah harus dibayar dan Hakim Pengawas harus menentukan jumlah tagihan yang sudah ada dan belum dibayar sebelum penundaan kewajiban pembayaran utang yang bukan merupakan tagihan dengan hak untuk diistimewakan.</w:t>
      </w:r>
    </w:p>
    <w:p w:rsidR="00FB1B95" w:rsidRPr="00052B2E" w:rsidRDefault="00FB1B95" w:rsidP="000B51B6">
      <w:pPr>
        <w:numPr>
          <w:ilvl w:val="1"/>
          <w:numId w:val="11"/>
        </w:numPr>
        <w:autoSpaceDE w:val="0"/>
        <w:autoSpaceDN w:val="0"/>
        <w:adjustRightInd w:val="0"/>
        <w:ind w:left="927"/>
        <w:jc w:val="both"/>
      </w:pPr>
      <w:r w:rsidRPr="00052B2E">
        <w:t>Tagihan yang diistimewakan terhadap benda tertentu milik Debitur maupun terhadap seluruh harta debitur yang tidak tercakup pada ayat (1) huruf b.</w:t>
      </w:r>
    </w:p>
    <w:p w:rsidR="00FB1B95" w:rsidRPr="00052B2E" w:rsidRDefault="00FB1B95" w:rsidP="00FB1B95">
      <w:pPr>
        <w:autoSpaceDE w:val="0"/>
        <w:autoSpaceDN w:val="0"/>
        <w:adjustRightInd w:val="0"/>
        <w:ind w:left="927"/>
        <w:jc w:val="both"/>
      </w:pPr>
    </w:p>
    <w:p w:rsidR="00FB1B95" w:rsidRPr="00052B2E" w:rsidRDefault="00FB1B95" w:rsidP="00FB1B95">
      <w:pPr>
        <w:autoSpaceDE w:val="0"/>
        <w:autoSpaceDN w:val="0"/>
        <w:adjustRightInd w:val="0"/>
        <w:spacing w:line="432" w:lineRule="auto"/>
        <w:ind w:firstLine="720"/>
        <w:jc w:val="both"/>
      </w:pPr>
      <w:r w:rsidRPr="00052B2E">
        <w:t xml:space="preserve">Keseluruhan pemegang hak-hak jaminan yang memperoleh kedudukan didahulukan seperti gadai, </w:t>
      </w:r>
      <w:r w:rsidRPr="00052B2E">
        <w:rPr>
          <w:i/>
          <w:iCs/>
        </w:rPr>
        <w:t>fiducia</w:t>
      </w:r>
      <w:r w:rsidRPr="00052B2E">
        <w:t xml:space="preserve">, hak tanggungan, hipotik atau disebut kreditur </w:t>
      </w:r>
      <w:r w:rsidRPr="00052B2E">
        <w:rPr>
          <w:i/>
        </w:rPr>
        <w:t>separatis</w:t>
      </w:r>
      <w:r w:rsidRPr="00052B2E">
        <w:t xml:space="preserve"> (yang disebut dengan istilah kreditur </w:t>
      </w:r>
      <w:r w:rsidRPr="00052B2E">
        <w:rPr>
          <w:i/>
        </w:rPr>
        <w:t>separatis</w:t>
      </w:r>
      <w:r w:rsidRPr="00052B2E">
        <w:t xml:space="preserve"> adalah kreditur pemegang hak jaminan kebendaan) antara lain :</w:t>
      </w:r>
    </w:p>
    <w:p w:rsidR="00FB1B95" w:rsidRPr="00052B2E" w:rsidRDefault="00FB1B95" w:rsidP="000B51B6">
      <w:pPr>
        <w:numPr>
          <w:ilvl w:val="0"/>
          <w:numId w:val="12"/>
        </w:numPr>
        <w:autoSpaceDE w:val="0"/>
        <w:autoSpaceDN w:val="0"/>
        <w:adjustRightInd w:val="0"/>
        <w:jc w:val="both"/>
      </w:pPr>
      <w:r w:rsidRPr="00052B2E">
        <w:t>Gadai yang diatur dalam Bab XX Buku III Undang-undang Hukum Perdata.</w:t>
      </w:r>
    </w:p>
    <w:p w:rsidR="00FB1B95" w:rsidRPr="00052B2E" w:rsidRDefault="00FB1B95" w:rsidP="000B51B6">
      <w:pPr>
        <w:numPr>
          <w:ilvl w:val="0"/>
          <w:numId w:val="12"/>
        </w:numPr>
        <w:autoSpaceDE w:val="0"/>
        <w:autoSpaceDN w:val="0"/>
        <w:adjustRightInd w:val="0"/>
        <w:jc w:val="both"/>
      </w:pPr>
      <w:r w:rsidRPr="00052B2E">
        <w:t>Hipotek yang diatur dalam Buku III Kitab Undang-undang Hukum Perdata, sekarang terbatas pada hipotek kapal laut ukuran tertentu, dan hipotek kapal terbang saja.</w:t>
      </w:r>
    </w:p>
    <w:p w:rsidR="00FB1B95" w:rsidRPr="00052B2E" w:rsidRDefault="00FB1B95" w:rsidP="000B51B6">
      <w:pPr>
        <w:numPr>
          <w:ilvl w:val="0"/>
          <w:numId w:val="12"/>
        </w:numPr>
        <w:autoSpaceDE w:val="0"/>
        <w:autoSpaceDN w:val="0"/>
        <w:adjustRightInd w:val="0"/>
        <w:jc w:val="both"/>
      </w:pPr>
      <w:r w:rsidRPr="00052B2E">
        <w:t>Hak tanggungan diatur dalam Undang-undang No. 4 Tahun 1996.</w:t>
      </w:r>
    </w:p>
    <w:p w:rsidR="00FB1B95" w:rsidRPr="00052B2E" w:rsidRDefault="00FB1B95" w:rsidP="000B51B6">
      <w:pPr>
        <w:numPr>
          <w:ilvl w:val="0"/>
          <w:numId w:val="12"/>
        </w:numPr>
        <w:autoSpaceDE w:val="0"/>
        <w:autoSpaceDN w:val="0"/>
        <w:adjustRightInd w:val="0"/>
        <w:jc w:val="both"/>
      </w:pPr>
      <w:r w:rsidRPr="00052B2E">
        <w:t xml:space="preserve">Jaminan </w:t>
      </w:r>
      <w:r w:rsidRPr="00052B2E">
        <w:rPr>
          <w:i/>
          <w:iCs/>
        </w:rPr>
        <w:t xml:space="preserve">Fiducia </w:t>
      </w:r>
      <w:r w:rsidRPr="00052B2E">
        <w:t>diatur dalam Undang-undang No.42 Tahun 1999.</w:t>
      </w:r>
      <w:r w:rsidRPr="00052B2E">
        <w:rPr>
          <w:rStyle w:val="FootnoteReference"/>
        </w:rPr>
        <w:footnoteReference w:id="14"/>
      </w:r>
    </w:p>
    <w:p w:rsidR="00FB1B95" w:rsidRPr="00052B2E" w:rsidRDefault="00FB1B95" w:rsidP="00FB1B95">
      <w:pPr>
        <w:autoSpaceDE w:val="0"/>
        <w:autoSpaceDN w:val="0"/>
        <w:adjustRightInd w:val="0"/>
        <w:ind w:left="720"/>
        <w:jc w:val="both"/>
      </w:pPr>
    </w:p>
    <w:p w:rsidR="00FB1B95" w:rsidRPr="00052B2E" w:rsidRDefault="00FB1B95" w:rsidP="00FB1B95">
      <w:pPr>
        <w:autoSpaceDE w:val="0"/>
        <w:autoSpaceDN w:val="0"/>
        <w:adjustRightInd w:val="0"/>
        <w:spacing w:line="480" w:lineRule="auto"/>
        <w:ind w:firstLine="720"/>
        <w:jc w:val="both"/>
      </w:pPr>
      <w:r w:rsidRPr="00052B2E">
        <w:t>“Pemegang tagihan-tagihan yang diistimewakan (disebut dengan kreditur preferen adalah kreditur pemegang hak istimewa yang disebut dalam ketentuan Pasal 1139 dan Pasal 1149 Kitab Undang-Undang Hukum Perdata)”.</w:t>
      </w:r>
      <w:r w:rsidRPr="00052B2E">
        <w:rPr>
          <w:rStyle w:val="FootnoteReference"/>
        </w:rPr>
        <w:footnoteReference w:id="15"/>
      </w:r>
      <w:r w:rsidRPr="00052B2E">
        <w:t xml:space="preserve"> Pemegang </w:t>
      </w:r>
      <w:r w:rsidRPr="00052B2E">
        <w:lastRenderedPageBreak/>
        <w:t xml:space="preserve">hak istimewa atau pemegang </w:t>
      </w:r>
      <w:r w:rsidRPr="00052B2E">
        <w:rPr>
          <w:i/>
          <w:iCs/>
        </w:rPr>
        <w:t xml:space="preserve">privelege </w:t>
      </w:r>
      <w:r w:rsidRPr="00052B2E">
        <w:t>khusus dan karenanya ia adalah kreditur preferen mempunyai hak tagihan yang didahulukan, tagihan yang preferen atas hasil eksekusi benda tertentu milik debitur antara lain:</w:t>
      </w:r>
    </w:p>
    <w:p w:rsidR="00FB1B95" w:rsidRPr="00052B2E" w:rsidRDefault="00FB1B95" w:rsidP="000B51B6">
      <w:pPr>
        <w:numPr>
          <w:ilvl w:val="0"/>
          <w:numId w:val="17"/>
        </w:numPr>
        <w:tabs>
          <w:tab w:val="left" w:pos="709"/>
        </w:tabs>
        <w:autoSpaceDE w:val="0"/>
        <w:autoSpaceDN w:val="0"/>
        <w:adjustRightInd w:val="0"/>
        <w:ind w:left="709"/>
      </w:pPr>
      <w:r w:rsidRPr="00052B2E">
        <w:t>Ongkos-ongkos pengadilan</w:t>
      </w:r>
    </w:p>
    <w:p w:rsidR="00FB1B95" w:rsidRPr="00052B2E" w:rsidRDefault="00FB1B95" w:rsidP="000B51B6">
      <w:pPr>
        <w:numPr>
          <w:ilvl w:val="0"/>
          <w:numId w:val="17"/>
        </w:numPr>
        <w:tabs>
          <w:tab w:val="left" w:pos="709"/>
        </w:tabs>
        <w:autoSpaceDE w:val="0"/>
        <w:autoSpaceDN w:val="0"/>
        <w:adjustRightInd w:val="0"/>
        <w:ind w:left="709"/>
      </w:pPr>
      <w:r w:rsidRPr="00052B2E">
        <w:rPr>
          <w:i/>
          <w:iCs/>
        </w:rPr>
        <w:t xml:space="preserve">Privelege </w:t>
      </w:r>
      <w:r w:rsidRPr="00052B2E">
        <w:t>orang yang menyewakan.</w:t>
      </w:r>
    </w:p>
    <w:p w:rsidR="00FB1B95" w:rsidRPr="00052B2E" w:rsidRDefault="00FB1B95" w:rsidP="000B51B6">
      <w:pPr>
        <w:numPr>
          <w:ilvl w:val="0"/>
          <w:numId w:val="17"/>
        </w:numPr>
        <w:tabs>
          <w:tab w:val="left" w:pos="709"/>
        </w:tabs>
        <w:autoSpaceDE w:val="0"/>
        <w:autoSpaceDN w:val="0"/>
        <w:adjustRightInd w:val="0"/>
        <w:ind w:left="709"/>
      </w:pPr>
      <w:r w:rsidRPr="00052B2E">
        <w:rPr>
          <w:i/>
          <w:iCs/>
        </w:rPr>
        <w:t xml:space="preserve">Privelege </w:t>
      </w:r>
      <w:r w:rsidRPr="00052B2E">
        <w:t>sipenjual</w:t>
      </w:r>
    </w:p>
    <w:p w:rsidR="00FB1B95" w:rsidRPr="00052B2E" w:rsidRDefault="00FB1B95" w:rsidP="000B51B6">
      <w:pPr>
        <w:numPr>
          <w:ilvl w:val="0"/>
          <w:numId w:val="17"/>
        </w:numPr>
        <w:tabs>
          <w:tab w:val="left" w:pos="709"/>
        </w:tabs>
        <w:autoSpaceDE w:val="0"/>
        <w:autoSpaceDN w:val="0"/>
        <w:adjustRightInd w:val="0"/>
        <w:ind w:left="709"/>
      </w:pPr>
      <w:r w:rsidRPr="00052B2E">
        <w:t>Biaya menyelamatkan barang</w:t>
      </w:r>
    </w:p>
    <w:p w:rsidR="00FB1B95" w:rsidRPr="00052B2E" w:rsidRDefault="00FB1B95" w:rsidP="000B51B6">
      <w:pPr>
        <w:numPr>
          <w:ilvl w:val="0"/>
          <w:numId w:val="17"/>
        </w:numPr>
        <w:tabs>
          <w:tab w:val="left" w:pos="709"/>
        </w:tabs>
        <w:autoSpaceDE w:val="0"/>
        <w:autoSpaceDN w:val="0"/>
        <w:adjustRightInd w:val="0"/>
        <w:ind w:left="709"/>
      </w:pPr>
      <w:r w:rsidRPr="00052B2E">
        <w:t>Biaya pembuatan (upah tukang)</w:t>
      </w:r>
    </w:p>
    <w:p w:rsidR="00FB1B95" w:rsidRPr="00052B2E" w:rsidRDefault="00FB1B95" w:rsidP="000B51B6">
      <w:pPr>
        <w:numPr>
          <w:ilvl w:val="0"/>
          <w:numId w:val="17"/>
        </w:numPr>
        <w:tabs>
          <w:tab w:val="left" w:pos="709"/>
        </w:tabs>
        <w:autoSpaceDE w:val="0"/>
        <w:autoSpaceDN w:val="0"/>
        <w:adjustRightInd w:val="0"/>
        <w:ind w:left="709"/>
      </w:pPr>
      <w:r w:rsidRPr="00052B2E">
        <w:t>Hak istimewa pemilik rumah penginapan.</w:t>
      </w:r>
    </w:p>
    <w:p w:rsidR="00FB1B95" w:rsidRPr="00052B2E" w:rsidRDefault="00FB1B95" w:rsidP="000B51B6">
      <w:pPr>
        <w:numPr>
          <w:ilvl w:val="0"/>
          <w:numId w:val="17"/>
        </w:numPr>
        <w:tabs>
          <w:tab w:val="left" w:pos="709"/>
        </w:tabs>
        <w:autoSpaceDE w:val="0"/>
        <w:autoSpaceDN w:val="0"/>
        <w:adjustRightInd w:val="0"/>
        <w:ind w:left="709"/>
      </w:pPr>
      <w:r w:rsidRPr="00052B2E">
        <w:t>Upah angkutan</w:t>
      </w:r>
    </w:p>
    <w:p w:rsidR="00FB1B95" w:rsidRPr="00052B2E" w:rsidRDefault="00FB1B95" w:rsidP="000B51B6">
      <w:pPr>
        <w:numPr>
          <w:ilvl w:val="1"/>
          <w:numId w:val="11"/>
        </w:numPr>
        <w:tabs>
          <w:tab w:val="left" w:pos="709"/>
        </w:tabs>
        <w:autoSpaceDE w:val="0"/>
        <w:autoSpaceDN w:val="0"/>
        <w:adjustRightInd w:val="0"/>
        <w:ind w:left="709"/>
      </w:pPr>
      <w:r w:rsidRPr="00052B2E">
        <w:t>Hak istimewa para tukang batu, tukang kayu dan tukang bangunan</w:t>
      </w:r>
    </w:p>
    <w:p w:rsidR="00FB1B95" w:rsidRPr="00052B2E" w:rsidRDefault="00FB1B95" w:rsidP="000B51B6">
      <w:pPr>
        <w:numPr>
          <w:ilvl w:val="1"/>
          <w:numId w:val="11"/>
        </w:numPr>
        <w:tabs>
          <w:tab w:val="left" w:pos="709"/>
        </w:tabs>
        <w:autoSpaceDE w:val="0"/>
        <w:autoSpaceDN w:val="0"/>
        <w:adjustRightInd w:val="0"/>
        <w:ind w:left="709"/>
      </w:pPr>
      <w:r w:rsidRPr="00052B2E">
        <w:t>Hak istimewa atas penggantian serta pembayaran yang harus dipikul oleh pegawai yang memangku jabatan umum.</w:t>
      </w:r>
      <w:r w:rsidRPr="00052B2E">
        <w:rPr>
          <w:rStyle w:val="FootnoteReference"/>
        </w:rPr>
        <w:footnoteReference w:id="16"/>
      </w:r>
    </w:p>
    <w:p w:rsidR="00FB1B95" w:rsidRPr="00052B2E" w:rsidRDefault="00FB1B95" w:rsidP="00FB1B95">
      <w:pPr>
        <w:tabs>
          <w:tab w:val="left" w:pos="709"/>
        </w:tabs>
        <w:autoSpaceDE w:val="0"/>
        <w:autoSpaceDN w:val="0"/>
        <w:adjustRightInd w:val="0"/>
        <w:ind w:left="709"/>
      </w:pPr>
    </w:p>
    <w:p w:rsidR="00FB1B95" w:rsidRPr="00052B2E" w:rsidRDefault="00FB1B95" w:rsidP="00FB1B95">
      <w:pPr>
        <w:autoSpaceDE w:val="0"/>
        <w:autoSpaceDN w:val="0"/>
        <w:adjustRightInd w:val="0"/>
        <w:spacing w:line="480" w:lineRule="auto"/>
        <w:ind w:firstLine="709"/>
        <w:jc w:val="both"/>
      </w:pPr>
      <w:r w:rsidRPr="00052B2E">
        <w:t xml:space="preserve">Kesemuanya ini tidak berlaku untuk PKPU sebagaimana disebut dalam Pasal 244 jo. 246 UU Kepailitan dan PKPU tersebut. Hal ini tentunya dikarenakan utang piutang para kreditur </w:t>
      </w:r>
      <w:r w:rsidRPr="00052B2E">
        <w:rPr>
          <w:i/>
        </w:rPr>
        <w:t>separatis</w:t>
      </w:r>
      <w:r w:rsidRPr="00052B2E">
        <w:t xml:space="preserve"> telah dijamin oleh hak-hak kebendaan, jadi pembayarannya lebih bersifat pasti. Walaupun dalam Pasal 51, 57 dan 58 UU Kepailitan dan PKPU yang secara tegas dinyatakan berlaku secara mutatis mutandis dalam pelaksanaan PKPU, sehingga seolah-olah hak kreditur </w:t>
      </w:r>
      <w:r w:rsidRPr="00052B2E">
        <w:rPr>
          <w:i/>
        </w:rPr>
        <w:t>separatis</w:t>
      </w:r>
      <w:r w:rsidRPr="00052B2E">
        <w:t xml:space="preserve"> dan hak kreditur preferen diintervensi untuk melakukan eksekusi terhadap harta-harta debitur yang dikuasainya yang ditangguhkan untuk batas waktu 90 (sembilan puluh) hari terhitung sejak keputusan pailit oleh pengadilan niaga ditetapkan Sehingga praktis harta si pailit yang bisa dijual adalah terhadap barang-barang persediaan (</w:t>
      </w:r>
      <w:r w:rsidRPr="00052B2E">
        <w:rPr>
          <w:i/>
          <w:iCs/>
        </w:rPr>
        <w:t>inventory</w:t>
      </w:r>
      <w:r w:rsidRPr="00052B2E">
        <w:t xml:space="preserve">) ataupun barang-barang bergerak </w:t>
      </w:r>
      <w:r w:rsidRPr="00052B2E">
        <w:rPr>
          <w:i/>
        </w:rPr>
        <w:t>(current asset)</w:t>
      </w:r>
      <w:r w:rsidRPr="00052B2E">
        <w:t xml:space="preserve"> ataupun barang-barang tidak bergerak yang tidak dijamin dengan hak-hak tanggungan sebagaimana disebut di atas.</w:t>
      </w:r>
    </w:p>
    <w:p w:rsidR="00FB1B95" w:rsidRPr="00052B2E" w:rsidRDefault="00FB1B95" w:rsidP="00FB1B95">
      <w:pPr>
        <w:autoSpaceDE w:val="0"/>
        <w:autoSpaceDN w:val="0"/>
        <w:adjustRightInd w:val="0"/>
        <w:spacing w:line="480" w:lineRule="auto"/>
        <w:ind w:firstLine="709"/>
        <w:jc w:val="both"/>
      </w:pPr>
      <w:r w:rsidRPr="00052B2E">
        <w:rPr>
          <w:lang w:eastAsia="id-ID"/>
        </w:rPr>
        <w:lastRenderedPageBreak/>
        <w:pict>
          <v:roundrect id="_x0000_s1054" style="position:absolute;left:0;text-align:left;margin-left:167.95pt;margin-top:185.35pt;width:1in;height:1in;z-index:251658240" arcsize="10923f" stroked="f"/>
        </w:pict>
      </w:r>
      <w:r w:rsidRPr="00052B2E">
        <w:t>Hal tersebut menurut Sutan Remy Sjahdeini mengatakan :</w:t>
      </w:r>
    </w:p>
    <w:p w:rsidR="00FB1B95" w:rsidRPr="00052B2E" w:rsidRDefault="00FB1B95" w:rsidP="00FB1B95">
      <w:pPr>
        <w:autoSpaceDE w:val="0"/>
        <w:autoSpaceDN w:val="0"/>
        <w:adjustRightInd w:val="0"/>
        <w:ind w:left="426"/>
        <w:jc w:val="both"/>
      </w:pPr>
      <w:r w:rsidRPr="00052B2E">
        <w:t>Maksud penangguhan ini, bertujuan antara lain untuk memperbesar kemungkinan tercapainya perdamaian dan untuk memperbesar untuk mengoptimalkan harta pailit, atau untuk memungkinkan kurator melaksanakan tugasnya secara optimal selama berlangsungnya waktu penangguhan, segala tuntutan hukum untuk memperoleh pelunasan atas suatu piutang tidak dapat diajukan dalam sidang badan peradilan, dan baik kreditur maupun pihak ketiga dimaksud dilarang mengeksekusi atau memohonkan sita atas barang yang menjadi agunan.</w:t>
      </w:r>
      <w:r w:rsidRPr="00052B2E">
        <w:rPr>
          <w:rStyle w:val="FootnoteReference"/>
        </w:rPr>
        <w:footnoteReference w:id="17"/>
      </w:r>
    </w:p>
    <w:p w:rsidR="00FB1B95" w:rsidRPr="00052B2E" w:rsidRDefault="00FB1B95" w:rsidP="00FB1B95">
      <w:pPr>
        <w:autoSpaceDE w:val="0"/>
        <w:autoSpaceDN w:val="0"/>
        <w:adjustRightInd w:val="0"/>
        <w:ind w:left="426"/>
        <w:jc w:val="both"/>
      </w:pPr>
    </w:p>
    <w:p w:rsidR="00FB1B95" w:rsidRPr="00052B2E" w:rsidRDefault="00FB1B95" w:rsidP="00FB1B95">
      <w:pPr>
        <w:autoSpaceDE w:val="0"/>
        <w:autoSpaceDN w:val="0"/>
        <w:adjustRightInd w:val="0"/>
        <w:spacing w:line="480" w:lineRule="auto"/>
        <w:ind w:firstLine="720"/>
        <w:jc w:val="both"/>
      </w:pPr>
      <w:r w:rsidRPr="00052B2E">
        <w:t xml:space="preserve">Penjelasan di atas terlihat bahwa sebagai bahan perbandingan diabaikannya kreditur separates dan kreditur preferen atas rencana perdamaian dalam hal PKPU pun, dimaksud oleh pembuat undang-undang adalah atas pertimbangan keamanan kedudukan piutang kreditur, sehingga rencana perdamaian difokuskan pada kepentingan sekalian kreditur </w:t>
      </w:r>
      <w:r w:rsidRPr="00052B2E">
        <w:rPr>
          <w:i/>
        </w:rPr>
        <w:t>konkuren</w:t>
      </w:r>
      <w:r w:rsidRPr="00052B2E">
        <w:t xml:space="preserve">. Terkecuali apabila hasil eksekusi nantinya atas barang-barang yang dibebani dengan hak jaminan itu tidak cukup untuk membayar seluruh tagihan pihak kreditur, maka untuk sisa utang itu, kreditur separates tetap berhak untuk memperoleh pelunasan atas sisa tagihannya dengan kedudukan sebagai kreditur </w:t>
      </w:r>
      <w:r w:rsidRPr="00052B2E">
        <w:rPr>
          <w:i/>
        </w:rPr>
        <w:t>konkuren</w:t>
      </w:r>
      <w:r w:rsidRPr="00052B2E">
        <w:t xml:space="preserve">, yang bersama-sama dengan kreditur </w:t>
      </w:r>
      <w:r w:rsidRPr="00052B2E">
        <w:rPr>
          <w:i/>
        </w:rPr>
        <w:t>konkuren</w:t>
      </w:r>
      <w:r w:rsidRPr="00052B2E">
        <w:t xml:space="preserve"> lainnya berhak memperoleh pelunasan dari hasil penjualan harta kekayaan debitur yang tidak dibebani dengan suatu hak jaminan, secara proporsional atau secara </w:t>
      </w:r>
      <w:r w:rsidRPr="00052B2E">
        <w:rPr>
          <w:i/>
          <w:iCs/>
        </w:rPr>
        <w:t xml:space="preserve">pari passu </w:t>
      </w:r>
      <w:r w:rsidRPr="00052B2E">
        <w:t xml:space="preserve">sesuai dengan perbandingan besarnya jumlah masing-masing utang dari para kreditur </w:t>
      </w:r>
      <w:r w:rsidRPr="00052B2E">
        <w:rPr>
          <w:i/>
        </w:rPr>
        <w:t>konkuren</w:t>
      </w:r>
      <w:r w:rsidRPr="00052B2E">
        <w:t xml:space="preserve"> itu.</w:t>
      </w:r>
    </w:p>
    <w:p w:rsidR="00FB1B95" w:rsidRPr="00052B2E" w:rsidRDefault="00FB1B95" w:rsidP="00FB1B95">
      <w:pPr>
        <w:autoSpaceDE w:val="0"/>
        <w:autoSpaceDN w:val="0"/>
        <w:adjustRightInd w:val="0"/>
        <w:spacing w:line="480" w:lineRule="auto"/>
        <w:ind w:firstLine="720"/>
        <w:jc w:val="both"/>
      </w:pPr>
      <w:r w:rsidRPr="00052B2E">
        <w:t xml:space="preserve">Walaupun PKPU ini hanya berlaku bagi para kreditur </w:t>
      </w:r>
      <w:r w:rsidRPr="00052B2E">
        <w:rPr>
          <w:i/>
        </w:rPr>
        <w:t>konkuren</w:t>
      </w:r>
      <w:r w:rsidRPr="00052B2E">
        <w:t xml:space="preserve"> saja, tapi hasil seluruh kesepakatan mengenai rencana perdamaian tetap berlaku dan mengikat seluruh para kreditur baik kreditur </w:t>
      </w:r>
      <w:r w:rsidRPr="00052B2E">
        <w:rPr>
          <w:i/>
        </w:rPr>
        <w:t>konkuren</w:t>
      </w:r>
      <w:r w:rsidRPr="00052B2E">
        <w:t xml:space="preserve"> maupun para kreditur </w:t>
      </w:r>
      <w:r w:rsidRPr="00052B2E">
        <w:rPr>
          <w:i/>
        </w:rPr>
        <w:lastRenderedPageBreak/>
        <w:t>separatis</w:t>
      </w:r>
      <w:r w:rsidRPr="00052B2E">
        <w:t xml:space="preserve"> dan dalam pelaksanaan sidang-sidang senantiasa harus mengikut sertakan seluruh para krediturnya. Termasuk hak untuk mengeluarkan suara selama PKPU ini berjalan, termasuk pula dalam menanggapi usul-usul rencana perdamaian.</w:t>
      </w:r>
    </w:p>
    <w:p w:rsidR="00FB1B95" w:rsidRPr="00052B2E" w:rsidRDefault="00FB1B95" w:rsidP="00FB1B95">
      <w:pPr>
        <w:autoSpaceDE w:val="0"/>
        <w:autoSpaceDN w:val="0"/>
        <w:adjustRightInd w:val="0"/>
        <w:spacing w:line="480" w:lineRule="auto"/>
        <w:ind w:firstLine="720"/>
        <w:jc w:val="both"/>
      </w:pPr>
      <w:r w:rsidRPr="00052B2E">
        <w:t>Menurut Remy Sjahdeini bahwa :</w:t>
      </w:r>
    </w:p>
    <w:p w:rsidR="00FB1B95" w:rsidRPr="00052B2E" w:rsidRDefault="00FB1B95" w:rsidP="00FB1B95">
      <w:pPr>
        <w:autoSpaceDE w:val="0"/>
        <w:autoSpaceDN w:val="0"/>
        <w:adjustRightInd w:val="0"/>
        <w:ind w:left="567"/>
        <w:jc w:val="both"/>
      </w:pPr>
      <w:r w:rsidRPr="00052B2E">
        <w:t xml:space="preserve">Kesepakatan mengenai rencana perdamaian hanya mempunyai arti apabila setiap kreditur tenkat baik kreditur </w:t>
      </w:r>
      <w:r w:rsidRPr="00052B2E">
        <w:rPr>
          <w:i/>
        </w:rPr>
        <w:t>konkuren</w:t>
      </w:r>
      <w:r w:rsidRPr="00052B2E">
        <w:t xml:space="preserve"> maupun kreditur preferen. Apabila tidak setiap kreditur terikat dengan perdamaian yang tercapai, maka kedudukan debitur dan kepentingan para kreditur yang terikat dengan perdamaian tersebut dapat dibahayakan oleh kreditur yang tidak terikat yaitu kreditur preferen. Kreditur yang tidak terikat dengan perdamaian itu dapat mengajukan permohonan pailit. Apabila permohonan pailit ini dikabulkan oleh pengadilan, maka perdamaian yang telah disepakati antara debitur dan para kreditur </w:t>
      </w:r>
      <w:r w:rsidRPr="00052B2E">
        <w:rPr>
          <w:i/>
        </w:rPr>
        <w:t>konkuren</w:t>
      </w:r>
      <w:r w:rsidRPr="00052B2E">
        <w:t xml:space="preserve"> dan sedang berjalan implementasinya akan harus dihentikan.</w:t>
      </w:r>
      <w:r w:rsidRPr="00052B2E">
        <w:rPr>
          <w:rStyle w:val="FootnoteReference"/>
        </w:rPr>
        <w:footnoteReference w:id="18"/>
      </w:r>
    </w:p>
    <w:p w:rsidR="00FB1B95" w:rsidRPr="00052B2E" w:rsidRDefault="00FB1B95" w:rsidP="00FB1B95">
      <w:pPr>
        <w:autoSpaceDE w:val="0"/>
        <w:autoSpaceDN w:val="0"/>
        <w:adjustRightInd w:val="0"/>
        <w:ind w:left="567"/>
        <w:jc w:val="both"/>
      </w:pPr>
    </w:p>
    <w:p w:rsidR="00FB1B95" w:rsidRPr="00052B2E" w:rsidRDefault="00FB1B95" w:rsidP="00FB1B95">
      <w:pPr>
        <w:autoSpaceDE w:val="0"/>
        <w:autoSpaceDN w:val="0"/>
        <w:adjustRightInd w:val="0"/>
        <w:spacing w:line="480" w:lineRule="auto"/>
        <w:ind w:firstLine="720"/>
        <w:jc w:val="both"/>
      </w:pPr>
      <w:r w:rsidRPr="00052B2E">
        <w:t xml:space="preserve">Tentunya hal ini tergantung juga pada keberadaanlah yang menentukan dari sekian banyak kreditur, andaikata jumlah kreditur mayoritasnya </w:t>
      </w:r>
      <w:r w:rsidRPr="00052B2E">
        <w:rPr>
          <w:i/>
        </w:rPr>
        <w:t>konkuren</w:t>
      </w:r>
      <w:r w:rsidRPr="00052B2E">
        <w:t xml:space="preserve"> tentu sulit dalam hal perbandingan pengambilan jumlah suara yang tentunya kedudukan para kreditur </w:t>
      </w:r>
      <w:r w:rsidRPr="00052B2E">
        <w:rPr>
          <w:i/>
        </w:rPr>
        <w:t>separatis</w:t>
      </w:r>
      <w:r w:rsidRPr="00052B2E">
        <w:t xml:space="preserve"> dapat dikalahkan atas usulan diterima atau ditolaknya rencana perdamaian tersebut.</w:t>
      </w:r>
    </w:p>
    <w:p w:rsidR="00FB1B95" w:rsidRPr="00052B2E" w:rsidRDefault="00FB1B95" w:rsidP="00FB1B95">
      <w:pPr>
        <w:autoSpaceDE w:val="0"/>
        <w:autoSpaceDN w:val="0"/>
        <w:adjustRightInd w:val="0"/>
        <w:spacing w:line="480" w:lineRule="auto"/>
        <w:ind w:firstLine="720"/>
        <w:jc w:val="both"/>
      </w:pPr>
      <w:r w:rsidRPr="00052B2E">
        <w:t>Pasal 229 UU Kepailitan dan PKPU disebutkan:</w:t>
      </w:r>
    </w:p>
    <w:p w:rsidR="00FB1B95" w:rsidRPr="00052B2E" w:rsidRDefault="00FB1B95" w:rsidP="00FB1B95">
      <w:pPr>
        <w:autoSpaceDE w:val="0"/>
        <w:autoSpaceDN w:val="0"/>
        <w:adjustRightInd w:val="0"/>
        <w:ind w:left="567"/>
        <w:jc w:val="both"/>
      </w:pPr>
      <w:r w:rsidRPr="00052B2E">
        <w:t>Pemberian penundaan kewajiban pembayaran utang tetap berikut perpanjangannya ditetapkan oleh Pengadilan berdasarkan:</w:t>
      </w:r>
    </w:p>
    <w:p w:rsidR="00FB1B95" w:rsidRPr="00052B2E" w:rsidRDefault="00FB1B95" w:rsidP="000B51B6">
      <w:pPr>
        <w:numPr>
          <w:ilvl w:val="0"/>
          <w:numId w:val="18"/>
        </w:numPr>
        <w:autoSpaceDE w:val="0"/>
        <w:autoSpaceDN w:val="0"/>
        <w:adjustRightInd w:val="0"/>
        <w:jc w:val="both"/>
      </w:pPr>
      <w:r w:rsidRPr="00052B2E">
        <w:t xml:space="preserve">Persetujuan lebih dari 1/2 (satu perdua) jumlah kreditur </w:t>
      </w:r>
      <w:r w:rsidRPr="00052B2E">
        <w:rPr>
          <w:i/>
        </w:rPr>
        <w:t>konkuren</w:t>
      </w:r>
      <w:r w:rsidRPr="00052B2E">
        <w:t xml:space="preserve"> yang haknya diakui atau sementara diakui yang hadir dan mewakili paling sedikit 2/3 (dua pertiga) bagian dari seluruh tagihan yang diakui atau yang sementara diakui dari kreditur </w:t>
      </w:r>
      <w:r w:rsidRPr="00052B2E">
        <w:rPr>
          <w:i/>
        </w:rPr>
        <w:t>konkuren</w:t>
      </w:r>
      <w:r w:rsidRPr="00052B2E">
        <w:t xml:space="preserve"> atau kuasanya yang hadir dalam sidang tersebut.</w:t>
      </w:r>
    </w:p>
    <w:p w:rsidR="00FB1B95" w:rsidRPr="00052B2E" w:rsidRDefault="00FB1B95" w:rsidP="000B51B6">
      <w:pPr>
        <w:numPr>
          <w:ilvl w:val="0"/>
          <w:numId w:val="18"/>
        </w:numPr>
        <w:autoSpaceDE w:val="0"/>
        <w:autoSpaceDN w:val="0"/>
        <w:adjustRightInd w:val="0"/>
        <w:spacing w:line="216" w:lineRule="auto"/>
        <w:ind w:left="924" w:hanging="357"/>
        <w:jc w:val="both"/>
      </w:pPr>
      <w:r w:rsidRPr="00052B2E">
        <w:t xml:space="preserve">Persetujuan lebih dari 1/2 (satu perdua) jumlah Kreditur yang piutangnya dijamin dengan gadai, jaminan fidusia, hak tanggungan, hipotik, atau hak agunan atas kebendaan lainnya yang hadir dan </w:t>
      </w:r>
      <w:r w:rsidRPr="00052B2E">
        <w:lastRenderedPageBreak/>
        <w:t>mewakili paling sedikit 2/3 (dua pertiga) bagian dari seluruh tagihan Kreditur atau kuasanya yang hadir dalam sidang tersebut.</w:t>
      </w:r>
    </w:p>
    <w:p w:rsidR="00FB1B95" w:rsidRPr="00052B2E" w:rsidRDefault="00FB1B95" w:rsidP="000B51B6">
      <w:pPr>
        <w:numPr>
          <w:ilvl w:val="0"/>
          <w:numId w:val="18"/>
        </w:numPr>
        <w:autoSpaceDE w:val="0"/>
        <w:autoSpaceDN w:val="0"/>
        <w:adjustRightInd w:val="0"/>
        <w:spacing w:line="216" w:lineRule="auto"/>
        <w:ind w:left="924" w:hanging="357"/>
        <w:jc w:val="both"/>
      </w:pPr>
      <w:r w:rsidRPr="00052B2E">
        <w:t xml:space="preserve">Perselisihan yang timbul antara pengurus dan kreditur </w:t>
      </w:r>
      <w:r w:rsidRPr="00052B2E">
        <w:rPr>
          <w:i/>
        </w:rPr>
        <w:t>konkuren</w:t>
      </w:r>
      <w:r w:rsidRPr="00052B2E">
        <w:t xml:space="preserve"> tentang hak suara Kreditur sebagaimana dimaksud pada ayat (1) huruf a diputus oleh Hakim Pengawas.</w:t>
      </w:r>
    </w:p>
    <w:p w:rsidR="00FB1B95" w:rsidRPr="00052B2E" w:rsidRDefault="00FB1B95" w:rsidP="000B51B6">
      <w:pPr>
        <w:numPr>
          <w:ilvl w:val="0"/>
          <w:numId w:val="18"/>
        </w:numPr>
        <w:autoSpaceDE w:val="0"/>
        <w:autoSpaceDN w:val="0"/>
        <w:adjustRightInd w:val="0"/>
        <w:spacing w:line="216" w:lineRule="auto"/>
        <w:ind w:left="924" w:hanging="357"/>
        <w:jc w:val="both"/>
      </w:pPr>
      <w:r w:rsidRPr="00052B2E">
        <w:t>Apabila permohonan pernyataan pailit dan permohonan penundaan kewajiban pembayaran utang diperiksa pada saat yang bersamaan, permohonan penundaan kewajiban pembayaran utang harus diputuskan terlebih dahulu.</w:t>
      </w:r>
    </w:p>
    <w:p w:rsidR="00FB1B95" w:rsidRPr="00052B2E" w:rsidRDefault="00FB1B95" w:rsidP="000B51B6">
      <w:pPr>
        <w:numPr>
          <w:ilvl w:val="0"/>
          <w:numId w:val="18"/>
        </w:numPr>
        <w:autoSpaceDE w:val="0"/>
        <w:autoSpaceDN w:val="0"/>
        <w:adjustRightInd w:val="0"/>
        <w:spacing w:line="216" w:lineRule="auto"/>
        <w:ind w:left="924" w:hanging="357"/>
        <w:jc w:val="both"/>
      </w:pPr>
      <w:r w:rsidRPr="00052B2E">
        <w:t>Permohonan penundaan kewajiban pembayaran utang yang diajukan setelah adanya permohonan pernyataan pailit yang diajukan terhadap Debitur, agar dapat diputus terlebih dahulu sebagaimana dimaksud pada ayat (3), wajib diajukan pada sidang pertama pemeriksaan permohonan pernyataan pailit.</w:t>
      </w:r>
    </w:p>
    <w:p w:rsidR="00FB1B95" w:rsidRPr="00052B2E" w:rsidRDefault="00FB1B95" w:rsidP="00FB1B95">
      <w:pPr>
        <w:autoSpaceDE w:val="0"/>
        <w:autoSpaceDN w:val="0"/>
        <w:adjustRightInd w:val="0"/>
        <w:ind w:left="927"/>
        <w:jc w:val="both"/>
      </w:pPr>
    </w:p>
    <w:p w:rsidR="00FB1B95" w:rsidRPr="00052B2E" w:rsidRDefault="00FB1B95" w:rsidP="00FB1B95">
      <w:pPr>
        <w:autoSpaceDE w:val="0"/>
        <w:autoSpaceDN w:val="0"/>
        <w:adjustRightInd w:val="0"/>
        <w:ind w:firstLine="720"/>
        <w:jc w:val="both"/>
      </w:pPr>
    </w:p>
    <w:p w:rsidR="00FB1B95" w:rsidRPr="00052B2E" w:rsidRDefault="00FB1B95" w:rsidP="000B51B6">
      <w:pPr>
        <w:numPr>
          <w:ilvl w:val="1"/>
          <w:numId w:val="2"/>
        </w:numPr>
        <w:tabs>
          <w:tab w:val="clear" w:pos="1440"/>
          <w:tab w:val="num" w:pos="360"/>
        </w:tabs>
        <w:spacing w:line="480" w:lineRule="auto"/>
        <w:ind w:left="360"/>
        <w:jc w:val="both"/>
        <w:rPr>
          <w:b/>
          <w:snapToGrid w:val="0"/>
        </w:rPr>
      </w:pPr>
      <w:r w:rsidRPr="00052B2E">
        <w:rPr>
          <w:b/>
          <w:bCs/>
        </w:rPr>
        <w:t>PKPU yang Dikabulkan Harus Memenuhi Asas Publisitas</w:t>
      </w:r>
    </w:p>
    <w:p w:rsidR="00FB1B95" w:rsidRPr="00052B2E" w:rsidRDefault="00FB1B95" w:rsidP="00FB1B95">
      <w:pPr>
        <w:autoSpaceDE w:val="0"/>
        <w:autoSpaceDN w:val="0"/>
        <w:adjustRightInd w:val="0"/>
        <w:spacing w:line="480" w:lineRule="auto"/>
        <w:ind w:firstLine="720"/>
        <w:jc w:val="both"/>
      </w:pPr>
      <w:r w:rsidRPr="00052B2E">
        <w:t xml:space="preserve">Pihak debitur yang menjalankan suatu usaha baik usaha yang bersifat perorangan atau perseroan acapkali memiliki keterkaitan hubungan yang sangat luas tidak hanya terhadap para krediturnya, tetapi juga pihak-pihak lainnya dan tidak tertutup kemungkinan pihak debitur memiliki hubungan yang sangat banyak baik sebagai kreditur maupun sebagai mitra kerja apalagi pada perusahaan yang </w:t>
      </w:r>
      <w:r w:rsidRPr="00052B2E">
        <w:rPr>
          <w:i/>
          <w:iCs/>
        </w:rPr>
        <w:t>go public</w:t>
      </w:r>
      <w:r w:rsidRPr="00052B2E">
        <w:t xml:space="preserve">, oleh karena itu didalam UU Kepailitan dan PKPU sekarang ini, perusahaan yang telah </w:t>
      </w:r>
      <w:r w:rsidRPr="00052B2E">
        <w:rPr>
          <w:i/>
          <w:iCs/>
        </w:rPr>
        <w:t xml:space="preserve">go public </w:t>
      </w:r>
      <w:r w:rsidRPr="00052B2E">
        <w:t xml:space="preserve">maupun perusahaan yang bergerak bagi kepentingan publik, pemailitan maupun pada tahap pengusulan PKPU harus mendapat izin pihak tertentu. </w:t>
      </w:r>
    </w:p>
    <w:p w:rsidR="00FB1B95" w:rsidRPr="00052B2E" w:rsidRDefault="00FB1B95" w:rsidP="00FB1B95">
      <w:pPr>
        <w:autoSpaceDE w:val="0"/>
        <w:autoSpaceDN w:val="0"/>
        <w:adjustRightInd w:val="0"/>
        <w:spacing w:line="480" w:lineRule="auto"/>
        <w:ind w:firstLine="720"/>
        <w:jc w:val="both"/>
      </w:pPr>
      <w:r w:rsidRPr="00052B2E">
        <w:t xml:space="preserve">Pasal 223 UU Kepailitan dan PKPU menyebutkan “Dalam hal Debitur adalah Bank, Perusahaan Efek, Bursa Efek, Lembaga Kliring dan Penjaminan, Lembaga Penyimpanan dan Penyelesaian, Perusahaan Asuransi, Perusahaan Reasuransi, Dana Pensiun, dan Badan Usaha Milik Negara yang bergerak di bidang kepentingan publik maka yang dapat mengajukan permohonan penundaan </w:t>
      </w:r>
      <w:r w:rsidRPr="00052B2E">
        <w:lastRenderedPageBreak/>
        <w:t xml:space="preserve">kewajiban pembayaran utang adalah lembaga sebagaimana dimaksud dalam Pasal 2 ayat (3), ayat (4), dan ayat (5)”. </w:t>
      </w:r>
    </w:p>
    <w:p w:rsidR="00FB1B95" w:rsidRPr="00052B2E" w:rsidRDefault="00FB1B95" w:rsidP="00FB1B95">
      <w:pPr>
        <w:autoSpaceDE w:val="0"/>
        <w:autoSpaceDN w:val="0"/>
        <w:adjustRightInd w:val="0"/>
        <w:spacing w:line="480" w:lineRule="auto"/>
        <w:ind w:firstLine="720"/>
        <w:jc w:val="both"/>
      </w:pPr>
      <w:r w:rsidRPr="00052B2E">
        <w:t>Izin pihak tertentu sebagaimana dimaksud dalam UU Kepailitan dan PKPU adalah :</w:t>
      </w:r>
    </w:p>
    <w:p w:rsidR="00FB1B95" w:rsidRPr="00052B2E" w:rsidRDefault="00FB1B95" w:rsidP="000B51B6">
      <w:pPr>
        <w:numPr>
          <w:ilvl w:val="0"/>
          <w:numId w:val="13"/>
        </w:numPr>
        <w:autoSpaceDE w:val="0"/>
        <w:autoSpaceDN w:val="0"/>
        <w:adjustRightInd w:val="0"/>
        <w:spacing w:line="456" w:lineRule="auto"/>
        <w:ind w:left="360"/>
        <w:jc w:val="both"/>
      </w:pPr>
      <w:r w:rsidRPr="00052B2E">
        <w:t>Dalam hal debitur adalah bank, permohonan pernyataan pailit dan PKPU dapat diajukan oleh Bank Indonesia.</w:t>
      </w:r>
    </w:p>
    <w:p w:rsidR="00FB1B95" w:rsidRPr="00052B2E" w:rsidRDefault="00FB1B95" w:rsidP="000B51B6">
      <w:pPr>
        <w:numPr>
          <w:ilvl w:val="0"/>
          <w:numId w:val="13"/>
        </w:numPr>
        <w:autoSpaceDE w:val="0"/>
        <w:autoSpaceDN w:val="0"/>
        <w:adjustRightInd w:val="0"/>
        <w:spacing w:line="456" w:lineRule="auto"/>
        <w:ind w:left="360"/>
        <w:jc w:val="both"/>
      </w:pPr>
      <w:r w:rsidRPr="00052B2E">
        <w:t>Dalam hal debitur adalah perusahaan efek, Bursa Efek, lembaga kliring dan penjaminan, lembaga penyimpanan dan penyelesaian, permohonan pailit dan PKPU oleh izin Badan Pengawas Pasar Modal.</w:t>
      </w:r>
    </w:p>
    <w:p w:rsidR="00FB1B95" w:rsidRPr="00052B2E" w:rsidRDefault="00FB1B95" w:rsidP="000B51B6">
      <w:pPr>
        <w:numPr>
          <w:ilvl w:val="0"/>
          <w:numId w:val="13"/>
        </w:numPr>
        <w:autoSpaceDE w:val="0"/>
        <w:autoSpaceDN w:val="0"/>
        <w:adjustRightInd w:val="0"/>
        <w:spacing w:line="456" w:lineRule="auto"/>
        <w:ind w:left="360"/>
        <w:jc w:val="both"/>
      </w:pPr>
      <w:r w:rsidRPr="00052B2E">
        <w:t>Dalam hal debitur perusahaan yang bergerak pada bidang asuransi, perusahaan reasuransi, dana pensiun atau BUMN yang bergerak bagi kepentingan publik, permohonan pernyataan pailit dan PKPU diajukan Oleh Menteri Keuangan.</w:t>
      </w:r>
    </w:p>
    <w:p w:rsidR="00FB1B95" w:rsidRPr="00052B2E" w:rsidRDefault="00FB1B95" w:rsidP="00FB1B95">
      <w:pPr>
        <w:autoSpaceDE w:val="0"/>
        <w:autoSpaceDN w:val="0"/>
        <w:adjustRightInd w:val="0"/>
        <w:ind w:left="360"/>
        <w:jc w:val="both"/>
      </w:pPr>
    </w:p>
    <w:p w:rsidR="00FB1B95" w:rsidRPr="00052B2E" w:rsidRDefault="00FB1B95" w:rsidP="000B51B6">
      <w:pPr>
        <w:numPr>
          <w:ilvl w:val="1"/>
          <w:numId w:val="2"/>
        </w:numPr>
        <w:tabs>
          <w:tab w:val="clear" w:pos="1440"/>
          <w:tab w:val="num" w:pos="360"/>
        </w:tabs>
        <w:spacing w:line="480" w:lineRule="auto"/>
        <w:ind w:left="360"/>
        <w:jc w:val="both"/>
        <w:rPr>
          <w:b/>
          <w:snapToGrid w:val="0"/>
        </w:rPr>
      </w:pPr>
      <w:r w:rsidRPr="00052B2E">
        <w:rPr>
          <w:b/>
          <w:bCs/>
        </w:rPr>
        <w:t>PKPU Sementara dan PKPU Tetap</w:t>
      </w:r>
    </w:p>
    <w:p w:rsidR="00FB1B95" w:rsidRPr="00052B2E" w:rsidRDefault="00FB1B95" w:rsidP="00FB1B95">
      <w:pPr>
        <w:autoSpaceDE w:val="0"/>
        <w:autoSpaceDN w:val="0"/>
        <w:adjustRightInd w:val="0"/>
        <w:spacing w:line="480" w:lineRule="auto"/>
        <w:ind w:firstLine="720"/>
        <w:jc w:val="both"/>
      </w:pPr>
      <w:r w:rsidRPr="00052B2E">
        <w:t>Sepanjang debitur telah memenuhi syarat-syarat dalam permohonan PKPU antara lain :</w:t>
      </w:r>
    </w:p>
    <w:p w:rsidR="00FB1B95" w:rsidRPr="00052B2E" w:rsidRDefault="00FB1B95" w:rsidP="000B51B6">
      <w:pPr>
        <w:numPr>
          <w:ilvl w:val="0"/>
          <w:numId w:val="14"/>
        </w:numPr>
        <w:autoSpaceDE w:val="0"/>
        <w:autoSpaceDN w:val="0"/>
        <w:adjustRightInd w:val="0"/>
        <w:spacing w:line="480" w:lineRule="auto"/>
        <w:ind w:left="360"/>
        <w:jc w:val="both"/>
      </w:pPr>
      <w:r w:rsidRPr="00052B2E">
        <w:t>Permohonan telah diajukan melalui kuasa hukumnya (</w:t>
      </w:r>
      <w:r w:rsidRPr="00052B2E">
        <w:rPr>
          <w:i/>
          <w:iCs/>
        </w:rPr>
        <w:t>advokat</w:t>
      </w:r>
      <w:r w:rsidRPr="00052B2E">
        <w:t>) yang memiliki izin Praktik, dengan alasan permohonan yang cukup (terurai jelas maksud dan alasan permohonan PKPU tersebut disertai lampiran bukti-bukti pendukung secukupnya seperti daftar yang memuat sifat dan jumlah piutang).</w:t>
      </w:r>
    </w:p>
    <w:p w:rsidR="00FB1B95" w:rsidRPr="00052B2E" w:rsidRDefault="00FB1B95" w:rsidP="000B51B6">
      <w:pPr>
        <w:numPr>
          <w:ilvl w:val="0"/>
          <w:numId w:val="14"/>
        </w:numPr>
        <w:autoSpaceDE w:val="0"/>
        <w:autoSpaceDN w:val="0"/>
        <w:adjustRightInd w:val="0"/>
        <w:spacing w:line="480" w:lineRule="auto"/>
        <w:ind w:left="360"/>
        <w:jc w:val="both"/>
      </w:pPr>
      <w:r w:rsidRPr="00052B2E">
        <w:t>Pada surat permohonan dimaksud di atas dapat dilampiri deh rencana perdamaian (</w:t>
      </w:r>
      <w:r w:rsidRPr="00052B2E">
        <w:rPr>
          <w:i/>
          <w:iCs/>
        </w:rPr>
        <w:t>composition plan</w:t>
      </w:r>
      <w:r w:rsidRPr="00052B2E">
        <w:t>) jika telah disiapkan oleh pihak pemohon.</w:t>
      </w:r>
    </w:p>
    <w:p w:rsidR="00FB1B95" w:rsidRPr="00052B2E" w:rsidRDefault="00FB1B95" w:rsidP="000B51B6">
      <w:pPr>
        <w:numPr>
          <w:ilvl w:val="0"/>
          <w:numId w:val="14"/>
        </w:numPr>
        <w:autoSpaceDE w:val="0"/>
        <w:autoSpaceDN w:val="0"/>
        <w:adjustRightInd w:val="0"/>
        <w:spacing w:line="480" w:lineRule="auto"/>
        <w:ind w:left="360"/>
        <w:jc w:val="both"/>
      </w:pPr>
      <w:r w:rsidRPr="00052B2E">
        <w:lastRenderedPageBreak/>
        <w:t>Telah didaftarkan di kepaniteraan pengadilan niaga pada pengadilan negeri setempat dan bila mungkin surat permohonan dimaksud disediakan di kepaniteraan pengadilan agar dilihat oleh setiap orang dengan cuma-cuma.</w:t>
      </w:r>
    </w:p>
    <w:p w:rsidR="00FB1B95" w:rsidRPr="00052B2E" w:rsidRDefault="00FB1B95" w:rsidP="000B51B6">
      <w:pPr>
        <w:numPr>
          <w:ilvl w:val="0"/>
          <w:numId w:val="14"/>
        </w:numPr>
        <w:autoSpaceDE w:val="0"/>
        <w:autoSpaceDN w:val="0"/>
        <w:adjustRightInd w:val="0"/>
        <w:spacing w:line="480" w:lineRule="auto"/>
        <w:ind w:left="360"/>
        <w:jc w:val="both"/>
      </w:pPr>
      <w:r w:rsidRPr="00052B2E">
        <w:t>Dalam hal permohonan diajukan oleh debitur, pengadilan dalam waktu paling lambat 3 (tiga) hari sejak tanggal didaftarkannya surat permohonan, sebagaimana dimaksud di atas hakim harus mengabulkan penundaan kewajiban pembayaran utang sementara untuk batas waktu 45 hari dan harus menunjuk seorang hakim pengawas serta mengangkat satu orang atau lebih pengurus yang bersama-sama debitur mengurus harta si debitur.</w:t>
      </w:r>
    </w:p>
    <w:p w:rsidR="00FB1B95" w:rsidRPr="00052B2E" w:rsidRDefault="00FB1B95" w:rsidP="000B51B6">
      <w:pPr>
        <w:numPr>
          <w:ilvl w:val="0"/>
          <w:numId w:val="14"/>
        </w:numPr>
        <w:autoSpaceDE w:val="0"/>
        <w:autoSpaceDN w:val="0"/>
        <w:adjustRightInd w:val="0"/>
        <w:spacing w:line="480" w:lineRule="auto"/>
        <w:ind w:left="360"/>
        <w:jc w:val="both"/>
      </w:pPr>
      <w:r w:rsidRPr="00052B2E">
        <w:t>Dalam permohonan yang diajukan oleh kreditur, pengadilan dalam waktu paling lambat 20 hari sejak tanggal didaftarkannya surat permohonan tersebut, harus mengabulkan permohonan kewajiban pembayaran utang sementara dan harus menunjuk hakim pengawas serta mengangkat satu atau lebih pengurus yang bersama-sama debitur mengurus harta debitur tersebut.</w:t>
      </w:r>
    </w:p>
    <w:p w:rsidR="00FB1B95" w:rsidRPr="00052B2E" w:rsidRDefault="00FB1B95" w:rsidP="00FB1B95">
      <w:pPr>
        <w:autoSpaceDE w:val="0"/>
        <w:autoSpaceDN w:val="0"/>
        <w:adjustRightInd w:val="0"/>
        <w:spacing w:line="480" w:lineRule="auto"/>
        <w:ind w:firstLine="720"/>
        <w:jc w:val="both"/>
      </w:pPr>
      <w:r w:rsidRPr="00052B2E">
        <w:t>Segera setelah ditetapkannya putusan PKPU, pengadilan melalui pengurus wajib memanggil debitur dan kreditur yang dikenal dengan surat tercatat atau melalui kurir, untuk menghadap dalam sidang yang diselenggarakan paling lambat pada hari ke 45 terhitung setelah keputusan penundaan sementara kewajiban pembayaran utang ditetapkan. Terhadap permahonan PKPU yang diajukan ke pengadilan niaga, maka pengadilan terlebih dahulu akan memutus PKPU sementara kepada debitur sebelum PKPU tetap. Adapun tujuan PKPU sementara ini adalah :</w:t>
      </w:r>
    </w:p>
    <w:p w:rsidR="00FB1B95" w:rsidRPr="00052B2E" w:rsidRDefault="00FB1B95" w:rsidP="000B51B6">
      <w:pPr>
        <w:numPr>
          <w:ilvl w:val="0"/>
          <w:numId w:val="15"/>
        </w:numPr>
        <w:autoSpaceDE w:val="0"/>
        <w:autoSpaceDN w:val="0"/>
        <w:adjustRightInd w:val="0"/>
        <w:spacing w:line="480" w:lineRule="auto"/>
        <w:ind w:left="360"/>
        <w:jc w:val="both"/>
      </w:pPr>
      <w:r w:rsidRPr="00052B2E">
        <w:lastRenderedPageBreak/>
        <w:t>Agar segera tercapai keadaan diam (</w:t>
      </w:r>
      <w:r w:rsidRPr="00052B2E">
        <w:rPr>
          <w:i/>
          <w:iCs/>
        </w:rPr>
        <w:t>stay atau standstill</w:t>
      </w:r>
      <w:r w:rsidRPr="00052B2E">
        <w:t>) sehingga memudahkan pencapaian kata sepakat diantara kreditur dengan debitur menyangkut pada rencana perdamaian yang dimaksudkan oleh debitur.</w:t>
      </w:r>
    </w:p>
    <w:p w:rsidR="00FB1B95" w:rsidRPr="00052B2E" w:rsidRDefault="00FB1B95" w:rsidP="000B51B6">
      <w:pPr>
        <w:numPr>
          <w:ilvl w:val="0"/>
          <w:numId w:val="15"/>
        </w:numPr>
        <w:autoSpaceDE w:val="0"/>
        <w:autoSpaceDN w:val="0"/>
        <w:adjustRightInd w:val="0"/>
        <w:spacing w:line="480" w:lineRule="auto"/>
        <w:ind w:left="360"/>
        <w:jc w:val="both"/>
      </w:pPr>
      <w:r w:rsidRPr="00052B2E">
        <w:t>Memberi kesempatan kepada debitur untuk menyusun rencana perdamaian berikut segala persiapan-persiapan yang diperlukan apabila rencana perdamaian belum dilampirkan dalam pengajuan PKPU sebelumnya.</w:t>
      </w:r>
    </w:p>
    <w:p w:rsidR="00FB1B95" w:rsidRPr="00052B2E" w:rsidRDefault="00FB1B95" w:rsidP="00FB1B95">
      <w:pPr>
        <w:autoSpaceDE w:val="0"/>
        <w:autoSpaceDN w:val="0"/>
        <w:adjustRightInd w:val="0"/>
        <w:spacing w:line="504" w:lineRule="auto"/>
        <w:ind w:firstLine="720"/>
        <w:jc w:val="both"/>
      </w:pPr>
      <w:r w:rsidRPr="00052B2E">
        <w:t>PKPU sementara berlaku sejak tanggal PKPU sementara tersebut ditetapkan dan berlangsung sampai dengan tanggal sidang yang paling lambat diselenggarakan pada hari ke 45 terhitung sejak PKPU sementara ditetapkan. PKPU tetap, lahir setelah proses sidang dimaksud di atas dilaksanakan dan keputusan sidang menetapkan bahwa PKPU sementara diputus menjadi PKPU tetap. Setelah PKPU tetap ini disetujui oleh para kreditur maka rencana perdamaian tersebut ditetapkan menjadi perjanjian perdamaian yang disepakati oleh para pihak, tidak boleh melebihi batas waktu 270 hari sudah termasuk perpanjangannya terhitung sejak penundaan sementara kewajiban pembeyaran utang ditetapkan.</w:t>
      </w:r>
    </w:p>
    <w:p w:rsidR="00FB1B95" w:rsidRPr="00052B2E" w:rsidRDefault="00FB1B95" w:rsidP="00FB1B95">
      <w:pPr>
        <w:autoSpaceDE w:val="0"/>
        <w:autoSpaceDN w:val="0"/>
        <w:adjustRightInd w:val="0"/>
        <w:ind w:left="567"/>
        <w:jc w:val="both"/>
      </w:pPr>
      <w:r w:rsidRPr="00052B2E">
        <w:t xml:space="preserve">Hakekatnya PKPU tetap diberikan oleh para kreditur dan bukan oleh pengadilan niaga, dengan kata lain PKPU tetap diberikan berdasarkan kesepakatan oleh para debitur dan para krediturnya mengenai rencana perdamaian yang diajukan oleh debitur. Pengadilan Niaga hanya memberikan putusan pengesahan atau konfirmasi atas kesepakatan antara debitur dan para kreditur </w:t>
      </w:r>
      <w:r w:rsidRPr="00052B2E">
        <w:rPr>
          <w:i/>
        </w:rPr>
        <w:t>konkuren</w:t>
      </w:r>
      <w:r w:rsidRPr="00052B2E">
        <w:t xml:space="preserve"> tersebut. Pengadilan Niaga tidak dibenarkan mengeluarkan keputusan yang tidak sesuai kesepakatan debitur dan para krediturnya.</w:t>
      </w:r>
      <w:r w:rsidRPr="00052B2E">
        <w:rPr>
          <w:rStyle w:val="FootnoteReference"/>
        </w:rPr>
        <w:footnoteReference w:id="19"/>
      </w:r>
    </w:p>
    <w:p w:rsidR="00FB1B95" w:rsidRPr="00052B2E" w:rsidRDefault="00FB1B95" w:rsidP="00FB1B95">
      <w:pPr>
        <w:autoSpaceDE w:val="0"/>
        <w:autoSpaceDN w:val="0"/>
        <w:adjustRightInd w:val="0"/>
        <w:ind w:left="567"/>
        <w:jc w:val="both"/>
      </w:pPr>
    </w:p>
    <w:p w:rsidR="00FB1B95" w:rsidRPr="00052B2E" w:rsidRDefault="00FB1B95" w:rsidP="00FB1B95">
      <w:pPr>
        <w:autoSpaceDE w:val="0"/>
        <w:autoSpaceDN w:val="0"/>
        <w:adjustRightInd w:val="0"/>
        <w:spacing w:line="480" w:lineRule="auto"/>
        <w:ind w:firstLine="720"/>
        <w:jc w:val="both"/>
      </w:pPr>
      <w:r w:rsidRPr="00052B2E">
        <w:lastRenderedPageBreak/>
        <w:t>Sering terjadi kekeliruan penafsiran seolah-olah batas waktu 270 hari bagi PKPU tetap yang diberikan merupakan batas waktu penyelesaian utang debitur kepada sekalian krediturnya, mengenal hal ini menurut Sutan Remy Sjahdeini menjelaskan :</w:t>
      </w:r>
    </w:p>
    <w:p w:rsidR="00FB1B95" w:rsidRPr="00052B2E" w:rsidRDefault="00FB1B95" w:rsidP="00FB1B95">
      <w:pPr>
        <w:autoSpaceDE w:val="0"/>
        <w:autoSpaceDN w:val="0"/>
        <w:adjustRightInd w:val="0"/>
        <w:ind w:left="426"/>
        <w:jc w:val="both"/>
      </w:pPr>
      <w:r w:rsidRPr="00052B2E">
        <w:t xml:space="preserve">Haruslah dicermati bahwa PKPU tetap itu berbeda dengan pengertian jangka waktu </w:t>
      </w:r>
      <w:r w:rsidRPr="00052B2E">
        <w:rPr>
          <w:i/>
          <w:iCs/>
        </w:rPr>
        <w:t xml:space="preserve">rescheduling </w:t>
      </w:r>
      <w:r w:rsidRPr="00052B2E">
        <w:t xml:space="preserve">utang sebagaimana istilah itu dikenal dalam industri perbankan. Jangka waktu 270 hari itu adalah jangka waktu bagi debitur dan para kreditur </w:t>
      </w:r>
      <w:r w:rsidRPr="00052B2E">
        <w:rPr>
          <w:i/>
        </w:rPr>
        <w:t>konkuren</w:t>
      </w:r>
      <w:r w:rsidRPr="00052B2E">
        <w:t xml:space="preserve">nya untuk merundingkan perdamaian diantara mereka. Sebagai suatu hasil perdamaian yang harus dicapai dalam waktu tidak lebih dari 270 hari itu, mungkin saja dihasilkan perdamaian untuk memberikan </w:t>
      </w:r>
      <w:r w:rsidRPr="00052B2E">
        <w:rPr>
          <w:i/>
          <w:iCs/>
        </w:rPr>
        <w:t xml:space="preserve">rescheduling </w:t>
      </w:r>
      <w:r w:rsidRPr="00052B2E">
        <w:t>bagi utang debitur untuk jangka waktu yang panjang, misalnya sampai 5 atau 8 tahun. Dengan demikian masa PKPU yang berjangka waktu tidak lebih dari 270 hari itu, adalah jangka waktu bagi tercapainya perdamaian antara debitur dengan kreditur atas rencana perdamaian yang diajukan oleh debitur.</w:t>
      </w:r>
      <w:r w:rsidRPr="00052B2E">
        <w:rPr>
          <w:rStyle w:val="FootnoteReference"/>
        </w:rPr>
        <w:footnoteReference w:id="20"/>
      </w:r>
    </w:p>
    <w:p w:rsidR="00FB1B95" w:rsidRPr="00052B2E" w:rsidRDefault="00FB1B95" w:rsidP="00FB1B95">
      <w:pPr>
        <w:autoSpaceDE w:val="0"/>
        <w:autoSpaceDN w:val="0"/>
        <w:adjustRightInd w:val="0"/>
        <w:ind w:left="426"/>
        <w:jc w:val="both"/>
      </w:pPr>
    </w:p>
    <w:p w:rsidR="00FB1B95" w:rsidRPr="00052B2E" w:rsidRDefault="00FB1B95" w:rsidP="00FB1B95">
      <w:pPr>
        <w:autoSpaceDE w:val="0"/>
        <w:autoSpaceDN w:val="0"/>
        <w:adjustRightInd w:val="0"/>
        <w:spacing w:line="480" w:lineRule="auto"/>
        <w:ind w:firstLine="709"/>
        <w:jc w:val="both"/>
      </w:pPr>
      <w:r w:rsidRPr="00052B2E">
        <w:t xml:space="preserve">PKPU tetap, ditetapkan oleh pengadilan niaga berdasarkan kepada persetujuan lebih dari setengah jumlah kreditur </w:t>
      </w:r>
      <w:r w:rsidRPr="00052B2E">
        <w:rPr>
          <w:i/>
        </w:rPr>
        <w:t>konkuren</w:t>
      </w:r>
      <w:r w:rsidRPr="00052B2E">
        <w:t xml:space="preserve"> yang hadir dan mewakili paling sedikit 2/3 bagian dari seluruh tagihan yang diakui atau sementara diakui dan apabila timbul perselisihan perihal hak suara kreditur ini, maka penyelesaiannya diputus oleh hakim pengawas.</w:t>
      </w:r>
    </w:p>
    <w:p w:rsidR="00FB1B95" w:rsidRPr="00052B2E" w:rsidRDefault="00FB1B95" w:rsidP="00FB1B95">
      <w:pPr>
        <w:autoSpaceDE w:val="0"/>
        <w:autoSpaceDN w:val="0"/>
        <w:adjustRightInd w:val="0"/>
        <w:jc w:val="both"/>
      </w:pPr>
    </w:p>
    <w:p w:rsidR="00FB1B95" w:rsidRPr="00052B2E" w:rsidRDefault="00FB1B95" w:rsidP="000B51B6">
      <w:pPr>
        <w:numPr>
          <w:ilvl w:val="1"/>
          <w:numId w:val="2"/>
        </w:numPr>
        <w:tabs>
          <w:tab w:val="clear" w:pos="1440"/>
          <w:tab w:val="num" w:pos="360"/>
        </w:tabs>
        <w:spacing w:line="480" w:lineRule="auto"/>
        <w:ind w:left="360"/>
        <w:jc w:val="both"/>
        <w:rPr>
          <w:b/>
          <w:snapToGrid w:val="0"/>
        </w:rPr>
      </w:pPr>
      <w:r w:rsidRPr="00052B2E">
        <w:rPr>
          <w:b/>
          <w:bCs/>
        </w:rPr>
        <w:t>Berakhirnya PKPU</w:t>
      </w:r>
    </w:p>
    <w:p w:rsidR="00FB1B95" w:rsidRPr="00052B2E" w:rsidRDefault="00FB1B95" w:rsidP="00FB1B95">
      <w:pPr>
        <w:autoSpaceDE w:val="0"/>
        <w:autoSpaceDN w:val="0"/>
        <w:adjustRightInd w:val="0"/>
        <w:spacing w:line="456" w:lineRule="auto"/>
        <w:ind w:firstLine="709"/>
        <w:jc w:val="both"/>
      </w:pPr>
      <w:r w:rsidRPr="00052B2E">
        <w:t>Setelah PKPU diberikan, PKPU itu dapat diakhiri baik atas permintaan hakim pengawas atau atas permohonan pengurus atau atas permohonan satu atau lebih kreditur, atau atas prakarsa pengadilan sendiri dalam hal-hai sebagai berikut:</w:t>
      </w:r>
    </w:p>
    <w:p w:rsidR="00FB1B95" w:rsidRPr="00052B2E" w:rsidRDefault="00FB1B95" w:rsidP="000B51B6">
      <w:pPr>
        <w:numPr>
          <w:ilvl w:val="0"/>
          <w:numId w:val="16"/>
        </w:numPr>
        <w:autoSpaceDE w:val="0"/>
        <w:autoSpaceDN w:val="0"/>
        <w:adjustRightInd w:val="0"/>
        <w:spacing w:line="480" w:lineRule="auto"/>
        <w:ind w:left="357" w:hanging="357"/>
        <w:jc w:val="both"/>
      </w:pPr>
      <w:r w:rsidRPr="00052B2E">
        <w:t>Debitur selama waktu Penundaan Kewajiban Pembayaran Utang (PKPU) bertindak dengan itikad buruk dalam melakukan pengurusan terhadap hartanya (Pasal 255 ayat (1 a) UU Kepailitan dan PKPU).</w:t>
      </w:r>
    </w:p>
    <w:p w:rsidR="00FB1B95" w:rsidRPr="00052B2E" w:rsidRDefault="00FB1B95" w:rsidP="000B51B6">
      <w:pPr>
        <w:numPr>
          <w:ilvl w:val="0"/>
          <w:numId w:val="16"/>
        </w:numPr>
        <w:autoSpaceDE w:val="0"/>
        <w:autoSpaceDN w:val="0"/>
        <w:adjustRightInd w:val="0"/>
        <w:spacing w:line="480" w:lineRule="auto"/>
        <w:ind w:left="357" w:hanging="357"/>
        <w:jc w:val="both"/>
      </w:pPr>
      <w:r w:rsidRPr="00052B2E">
        <w:lastRenderedPageBreak/>
        <w:t>Debitur telah atau mencoba merugikan para krediturnya (Pasal 255 ayat (1b) UU Kepailitan dan PKPU).</w:t>
      </w:r>
    </w:p>
    <w:p w:rsidR="00FB1B95" w:rsidRPr="00052B2E" w:rsidRDefault="00FB1B95" w:rsidP="000B51B6">
      <w:pPr>
        <w:numPr>
          <w:ilvl w:val="0"/>
          <w:numId w:val="16"/>
        </w:numPr>
        <w:autoSpaceDE w:val="0"/>
        <w:autoSpaceDN w:val="0"/>
        <w:adjustRightInd w:val="0"/>
        <w:spacing w:line="480" w:lineRule="auto"/>
        <w:ind w:left="357" w:hanging="357"/>
        <w:jc w:val="both"/>
      </w:pPr>
      <w:r w:rsidRPr="00052B2E">
        <w:t xml:space="preserve">Debitur melakukan pelanggaran selama penundaan kewajiban pembayaran utang berlangsung, debitur tanpa persetujuan pengurus melakukan tindakan kepengurusan atau kepemilikan atas seluruh atau sebagian hartanya. Dan jika debitur melanggar ketentuan ini, pengurus berhak untuk melakukan segala sesuatu yang diperlukan untuk memastikan bahwa harta debitur tidak dirugikan karena tindakan debitur tersebut (Pasal 225 ayat (1c)) </w:t>
      </w:r>
      <w:r w:rsidRPr="00052B2E">
        <w:rPr>
          <w:i/>
        </w:rPr>
        <w:t>juncto</w:t>
      </w:r>
      <w:r w:rsidRPr="00052B2E">
        <w:t xml:space="preserve"> Pasat 240 ayat (1) UU Kepailitan dan PKPU).</w:t>
      </w:r>
    </w:p>
    <w:p w:rsidR="00FB1B95" w:rsidRPr="00052B2E" w:rsidRDefault="00FB1B95" w:rsidP="000B51B6">
      <w:pPr>
        <w:numPr>
          <w:ilvl w:val="0"/>
          <w:numId w:val="16"/>
        </w:numPr>
        <w:autoSpaceDE w:val="0"/>
        <w:autoSpaceDN w:val="0"/>
        <w:adjustRightInd w:val="0"/>
        <w:spacing w:line="480" w:lineRule="auto"/>
        <w:ind w:left="357" w:hanging="357"/>
        <w:jc w:val="both"/>
      </w:pPr>
      <w:r w:rsidRPr="00052B2E">
        <w:t>Debitur lalai melaksanakan tindakan-tindakan yang diwajibkan kewajiban pembayaran utang diberikan, atau lalai melaksanakan tindakan-tindakan yang disyaratkan oleh para pengurus demi kepentingan harta debitur (Pasal 255 ayat (Id) UU Kepailitan dan PKPU).</w:t>
      </w:r>
    </w:p>
    <w:p w:rsidR="00FB1B95" w:rsidRPr="00052B2E" w:rsidRDefault="00FB1B95" w:rsidP="000B51B6">
      <w:pPr>
        <w:numPr>
          <w:ilvl w:val="0"/>
          <w:numId w:val="16"/>
        </w:numPr>
        <w:autoSpaceDE w:val="0"/>
        <w:autoSpaceDN w:val="0"/>
        <w:adjustRightInd w:val="0"/>
        <w:spacing w:line="480" w:lineRule="auto"/>
        <w:ind w:left="357" w:hanging="357"/>
        <w:jc w:val="both"/>
      </w:pPr>
      <w:r w:rsidRPr="00052B2E">
        <w:t>Selama penundaan kewajiban pembayaran utang pada harta debitur ternyata tidak lagi memungkinkan dilanjutkannya penundaan kewajiban pembayaran utang (Pasal 255 ayat (1e) UU Kepailitan dan PKPU),</w:t>
      </w:r>
    </w:p>
    <w:p w:rsidR="00FB1B95" w:rsidRPr="00052B2E" w:rsidRDefault="00FB1B95" w:rsidP="000B51B6">
      <w:pPr>
        <w:numPr>
          <w:ilvl w:val="0"/>
          <w:numId w:val="16"/>
        </w:numPr>
        <w:autoSpaceDE w:val="0"/>
        <w:autoSpaceDN w:val="0"/>
        <w:adjustRightInd w:val="0"/>
        <w:spacing w:line="480" w:lineRule="auto"/>
        <w:ind w:left="360"/>
        <w:jc w:val="both"/>
      </w:pPr>
      <w:r w:rsidRPr="00052B2E">
        <w:t>Keadaan debitur tidak dapat diharapkan untuk memenuhi kewajibannya terhadap para kreditur pada waktunya (Pasal 255 ayat (1f) UU Kepailitan dan PKPU).</w:t>
      </w:r>
    </w:p>
    <w:p w:rsidR="00FB1B95" w:rsidRPr="00052B2E" w:rsidRDefault="00FB1B95" w:rsidP="00FB1B95">
      <w:pPr>
        <w:autoSpaceDE w:val="0"/>
        <w:autoSpaceDN w:val="0"/>
        <w:adjustRightInd w:val="0"/>
        <w:spacing w:line="480" w:lineRule="auto"/>
        <w:ind w:firstLine="720"/>
        <w:jc w:val="both"/>
      </w:pPr>
      <w:r w:rsidRPr="00052B2E">
        <w:t xml:space="preserve">Debitur yang beritikad buruk dalam masa PKPU terhadap kepengurusan harta bendanya, sehingga demikian rupa harta si debitur ternyata tidak mampu lagi memungkinkan dilanjutkannya PKPU, maka pengurus wajib rnengajukan </w:t>
      </w:r>
      <w:r w:rsidRPr="00052B2E">
        <w:lastRenderedPageBreak/>
        <w:t>permohonan pengakhiran PKPU, namun tentunya debitur dan pengurus harus didengar terlebih dahulu oleh pihak pengadilan, dan jika PKPU ini diakhiri berdasarkan hal demikian, maka debitur harus dinyatakan pailit dalam putusan yang lama.</w:t>
      </w:r>
    </w:p>
    <w:p w:rsidR="00FB1B95" w:rsidRPr="00052B2E" w:rsidRDefault="00FB1B95" w:rsidP="00FB1B95">
      <w:pPr>
        <w:autoSpaceDE w:val="0"/>
        <w:autoSpaceDN w:val="0"/>
        <w:adjustRightInd w:val="0"/>
        <w:spacing w:line="456" w:lineRule="auto"/>
        <w:ind w:firstLine="720"/>
        <w:jc w:val="both"/>
      </w:pPr>
      <w:r w:rsidRPr="00052B2E">
        <w:t>Permohonan pengakhiran PKPU sebagaimana, dimaksud di atas harus selesai diperiksa oleh pengadilan dalam jangka waktu 10 hari dan putusan pengadilan harus diucapkan dalam jangka waktu 10 hari sejak selesainya pemeriksaan. Putusan pengadilan harus memuat alasan-alasan yang menjadi dasar putusan tersebut. Debitur setiap waktu dapat pula memohon kepada pihak pengadilan agar PKPU dicabut dengan alasan bahwa harta debitur memungkinkan dimulainya kembali pembayaran utang-utangnya dengan ketentuan bahwa pengurus dan kreditur harus dipanggil dan didengar sepatutnya sebelum putusan diucapkan.</w:t>
      </w:r>
    </w:p>
    <w:p w:rsidR="00FB1B95" w:rsidRPr="00052B2E" w:rsidRDefault="00FB1B95" w:rsidP="00FB1B95">
      <w:pPr>
        <w:autoSpaceDE w:val="0"/>
        <w:autoSpaceDN w:val="0"/>
        <w:adjustRightInd w:val="0"/>
        <w:spacing w:line="456" w:lineRule="auto"/>
        <w:ind w:firstLine="720"/>
        <w:jc w:val="both"/>
      </w:pPr>
      <w:r w:rsidRPr="00052B2E">
        <w:t xml:space="preserve">Rencana perdamaian yang disampaikan oleh pihak debitur sepanjang telah memenuhi kesepakatan para pihak dan rencana perdamaian tersebut dibuat tanpa ada unsur penipuan dan persengkokolan dengan satu atau lebih kreditur, maka pada prinsipnya pihak pengadilan akan mengesahkan rencana perdamaian tersebut, namun tentu terlebih dahulu akan melakukan konfirmasi mengenai hasil kesepakatan antara si debitur dan krediturnya terhadap rencana perdamaian tersebut. Oleh karenanya dalam menyusun rencana perdamaian tersebut, pihak debitur harus betul-betul memperhatikan kepentingan para krediturnya. Sebab jika rencana perdamaian yang dibuat hanya memberi keuntungan dari sisi si pihak kreditur dan debitur, tapi belum mendapat pengesahan dari pihak pengadilan niaga </w:t>
      </w:r>
      <w:r w:rsidRPr="00052B2E">
        <w:lastRenderedPageBreak/>
        <w:t xml:space="preserve">melalui surat keputusannya, maka rencana perdamaian tersebut belum memperoleh kekuatan hukum yang pasti dan belum sah mengikat para pihak. </w:t>
      </w:r>
    </w:p>
    <w:p w:rsidR="00FB1B95" w:rsidRPr="00052B2E" w:rsidRDefault="00FB1B95" w:rsidP="00FB1B95">
      <w:pPr>
        <w:autoSpaceDE w:val="0"/>
        <w:autoSpaceDN w:val="0"/>
        <w:adjustRightInd w:val="0"/>
        <w:spacing w:line="480" w:lineRule="auto"/>
        <w:ind w:firstLine="720"/>
        <w:jc w:val="both"/>
      </w:pPr>
      <w:r w:rsidRPr="00052B2E">
        <w:t xml:space="preserve">Sebagai bahan perbandingan : </w:t>
      </w:r>
    </w:p>
    <w:p w:rsidR="00FB1B95" w:rsidRPr="00052B2E" w:rsidRDefault="00FB1B95" w:rsidP="00FB1B95">
      <w:pPr>
        <w:autoSpaceDE w:val="0"/>
        <w:autoSpaceDN w:val="0"/>
        <w:adjustRightInd w:val="0"/>
        <w:ind w:left="567"/>
        <w:jc w:val="both"/>
      </w:pPr>
      <w:r w:rsidRPr="00052B2E">
        <w:t xml:space="preserve">Menurut system </w:t>
      </w:r>
      <w:r w:rsidRPr="00052B2E">
        <w:rPr>
          <w:i/>
          <w:iCs/>
        </w:rPr>
        <w:t>Bankruptcy Code</w:t>
      </w:r>
      <w:r w:rsidRPr="00052B2E">
        <w:t xml:space="preserve">, hakim bebas untuk menerima atau mengesahkan atau untuk menolak untuk memberikan pengesahan terhadap </w:t>
      </w:r>
      <w:r w:rsidRPr="00052B2E">
        <w:rPr>
          <w:i/>
          <w:iCs/>
        </w:rPr>
        <w:t xml:space="preserve">reorganization plan </w:t>
      </w:r>
      <w:r w:rsidRPr="00052B2E">
        <w:t>tersebut tanpa harus memperhatikan apakah plan itu telah diselujui atau telah ditolak oleh para kreditur dalam negosiasi kesepakatan antara debitur dan para kredatornya.</w:t>
      </w:r>
      <w:r w:rsidRPr="00052B2E">
        <w:rPr>
          <w:rStyle w:val="FootnoteReference"/>
        </w:rPr>
        <w:footnoteReference w:id="21"/>
      </w:r>
    </w:p>
    <w:p w:rsidR="00FB1B95" w:rsidRPr="00052B2E" w:rsidRDefault="00FB1B95" w:rsidP="00FB1B95">
      <w:pPr>
        <w:autoSpaceDE w:val="0"/>
        <w:autoSpaceDN w:val="0"/>
        <w:adjustRightInd w:val="0"/>
        <w:ind w:left="567"/>
        <w:jc w:val="both"/>
      </w:pPr>
    </w:p>
    <w:p w:rsidR="00893BE0" w:rsidRPr="00FB1B95" w:rsidRDefault="00FB1B95" w:rsidP="00FB1B95">
      <w:r w:rsidRPr="00052B2E">
        <w:t xml:space="preserve">Sistem </w:t>
      </w:r>
      <w:r w:rsidRPr="00052B2E">
        <w:rPr>
          <w:i/>
          <w:iCs/>
        </w:rPr>
        <w:t xml:space="preserve">Bankruptcy Court </w:t>
      </w:r>
      <w:r w:rsidRPr="00052B2E">
        <w:t xml:space="preserve">keputusan pangadilan diambil setelah terlebih dahulu melakukan </w:t>
      </w:r>
      <w:r w:rsidRPr="00052B2E">
        <w:rPr>
          <w:i/>
          <w:iCs/>
        </w:rPr>
        <w:t xml:space="preserve">hearing </w:t>
      </w:r>
      <w:r w:rsidRPr="00052B2E">
        <w:t xml:space="preserve">(dengar pendapat) dengan pihak-pihak yang bersangkutan dan hasil </w:t>
      </w:r>
      <w:r w:rsidRPr="00052B2E">
        <w:rPr>
          <w:i/>
          <w:iCs/>
        </w:rPr>
        <w:t xml:space="preserve">hearing </w:t>
      </w:r>
      <w:r w:rsidRPr="00052B2E">
        <w:t xml:space="preserve">ini nantinya memberi kesempatan bagi para pihak untuk mengajukan, jika masih ada keberatan yang dijumpai. Cara ini dilakukan agar rencana perdamaian yang telah diputus oleh pihak pengadilan nantinya benar-benar kokoh untuk mengikat dan dilaksanakan oleh para pihak. Segera setelah keputusan tentang pengesahan perdamaian memperoleh kekuatan hukum yang tetap, maka perdamaian tersebut mengikat semua kreditur </w:t>
      </w:r>
      <w:r w:rsidRPr="00052B2E">
        <w:rPr>
          <w:i/>
        </w:rPr>
        <w:t>konkuren</w:t>
      </w:r>
      <w:r w:rsidRPr="00052B2E">
        <w:t xml:space="preserve"> tanpa terkecuali, baik kreditur yang teiah menyetujui, maupun yang belum menyetujui rencana perdamaian itu. Sebaliknya dalam hal rencana perdamaian ditolak kreditur </w:t>
      </w:r>
      <w:r w:rsidRPr="00052B2E">
        <w:rPr>
          <w:i/>
          <w:iCs/>
        </w:rPr>
        <w:t xml:space="preserve">konkuren </w:t>
      </w:r>
      <w:r w:rsidRPr="00052B2E">
        <w:t>atau apabila rencana perdamajan ditolak oleh pengadilan, maka pengadilan niaga wajib menyatakan debitur pailit dan terhadap putusan kepailitan tersebut, tidak dapat diajukan upaya hukum kasasi maupun upaya hukum peninjauan kembali.</w:t>
      </w:r>
    </w:p>
    <w:sectPr w:rsidR="00893BE0" w:rsidRPr="00FB1B95" w:rsidSect="008751EE">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56E" w:rsidRDefault="006F156E">
      <w:r>
        <w:separator/>
      </w:r>
    </w:p>
  </w:endnote>
  <w:endnote w:type="continuationSeparator" w:id="1">
    <w:p w:rsidR="006F156E" w:rsidRDefault="006F1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93" w:rsidRDefault="000332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93" w:rsidRDefault="000332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033293">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56E" w:rsidRDefault="006F156E">
      <w:r>
        <w:separator/>
      </w:r>
    </w:p>
  </w:footnote>
  <w:footnote w:type="continuationSeparator" w:id="1">
    <w:p w:rsidR="006F156E" w:rsidRDefault="006F156E">
      <w:r>
        <w:continuationSeparator/>
      </w:r>
    </w:p>
  </w:footnote>
  <w:footnote w:id="2">
    <w:p w:rsidR="00FB1B95" w:rsidRPr="00AE2375" w:rsidRDefault="00FB1B95" w:rsidP="00FB1B95">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 xml:space="preserve">Rudy Lontoh, </w:t>
      </w:r>
      <w:r w:rsidRPr="00AE2375">
        <w:rPr>
          <w:i/>
          <w:sz w:val="20"/>
          <w:szCs w:val="20"/>
        </w:rPr>
        <w:t>Penyelesaian Utang Melalui Pailit atau Penundaan Kewajiban Pembayaran Utang</w:t>
      </w:r>
      <w:r w:rsidRPr="00AE2375">
        <w:rPr>
          <w:sz w:val="20"/>
          <w:szCs w:val="20"/>
        </w:rPr>
        <w:t>, Alumni, Bandung, 2011, h. 23</w:t>
      </w:r>
    </w:p>
  </w:footnote>
  <w:footnote w:id="3">
    <w:p w:rsidR="00FB1B95" w:rsidRPr="00AE2375" w:rsidRDefault="00FB1B95" w:rsidP="00FB1B95">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M. Hadi Shubhan</w:t>
      </w:r>
      <w:r w:rsidRPr="00AE2375">
        <w:rPr>
          <w:i/>
          <w:iCs/>
          <w:sz w:val="20"/>
          <w:szCs w:val="20"/>
        </w:rPr>
        <w:t>. Op.Cit</w:t>
      </w:r>
      <w:r w:rsidRPr="00AE2375">
        <w:rPr>
          <w:sz w:val="20"/>
          <w:szCs w:val="20"/>
        </w:rPr>
        <w:t>, h. 2</w:t>
      </w:r>
    </w:p>
  </w:footnote>
  <w:footnote w:id="4">
    <w:p w:rsidR="00FB1B95" w:rsidRPr="00AE2375" w:rsidRDefault="00FB1B95" w:rsidP="00FB1B95">
      <w:pPr>
        <w:pStyle w:val="FootnoteText"/>
        <w:ind w:firstLine="720"/>
        <w:jc w:val="both"/>
      </w:pPr>
      <w:r w:rsidRPr="00AE2375">
        <w:rPr>
          <w:rStyle w:val="FootnoteReference"/>
        </w:rPr>
        <w:footnoteRef/>
      </w:r>
      <w:r w:rsidRPr="00AE2375">
        <w:t xml:space="preserve">Rudy Lontoh, </w:t>
      </w:r>
      <w:r w:rsidRPr="00AE2375">
        <w:rPr>
          <w:i/>
        </w:rPr>
        <w:t>Op.Cit</w:t>
      </w:r>
      <w:r w:rsidRPr="00AE2375">
        <w:t>, h. 167</w:t>
      </w:r>
    </w:p>
  </w:footnote>
  <w:footnote w:id="5">
    <w:p w:rsidR="00FB1B95" w:rsidRPr="00AE2375" w:rsidRDefault="00FB1B95" w:rsidP="00FB1B95">
      <w:pPr>
        <w:pStyle w:val="FootnoteText"/>
        <w:ind w:firstLine="720"/>
        <w:jc w:val="both"/>
      </w:pPr>
      <w:r w:rsidRPr="00AE2375">
        <w:rPr>
          <w:rStyle w:val="FootnoteReference"/>
        </w:rPr>
        <w:footnoteRef/>
      </w:r>
      <w:r w:rsidRPr="00AE2375">
        <w:rPr>
          <w:i/>
          <w:iCs/>
        </w:rPr>
        <w:t>Ibid</w:t>
      </w:r>
      <w:r w:rsidRPr="00AE2375">
        <w:t>.. h. 168</w:t>
      </w:r>
    </w:p>
  </w:footnote>
  <w:footnote w:id="6">
    <w:p w:rsidR="00FB1B95" w:rsidRPr="00AE2375" w:rsidRDefault="00FB1B95" w:rsidP="00FB1B95">
      <w:pPr>
        <w:pStyle w:val="Default"/>
        <w:ind w:firstLine="720"/>
        <w:rPr>
          <w:sz w:val="20"/>
          <w:szCs w:val="20"/>
        </w:rPr>
      </w:pPr>
      <w:r w:rsidRPr="00AE2375">
        <w:rPr>
          <w:rStyle w:val="FootnoteReference"/>
          <w:sz w:val="20"/>
          <w:szCs w:val="20"/>
        </w:rPr>
        <w:footnoteRef/>
      </w:r>
      <w:r w:rsidRPr="00AE2375">
        <w:rPr>
          <w:sz w:val="20"/>
          <w:szCs w:val="20"/>
        </w:rPr>
        <w:t xml:space="preserve">Adriani Nurdin, </w:t>
      </w:r>
      <w:r w:rsidRPr="00AE2375">
        <w:rPr>
          <w:i/>
          <w:iCs/>
          <w:sz w:val="20"/>
          <w:szCs w:val="20"/>
        </w:rPr>
        <w:t xml:space="preserve">Kepailitan BUMN Persero, </w:t>
      </w:r>
      <w:r w:rsidRPr="00AE2375">
        <w:rPr>
          <w:sz w:val="20"/>
          <w:szCs w:val="20"/>
        </w:rPr>
        <w:t>Alumni, Jakarta,  2012, h.131</w:t>
      </w:r>
    </w:p>
  </w:footnote>
  <w:footnote w:id="7">
    <w:p w:rsidR="00FB1B95" w:rsidRPr="00AE2375" w:rsidRDefault="00FB1B95" w:rsidP="00FB1B95">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 xml:space="preserve">Munir Fuady I, </w:t>
      </w:r>
      <w:r w:rsidRPr="00AE2375">
        <w:rPr>
          <w:i/>
          <w:iCs/>
          <w:sz w:val="20"/>
          <w:szCs w:val="20"/>
        </w:rPr>
        <w:t xml:space="preserve">Op.Cit, </w:t>
      </w:r>
      <w:r w:rsidRPr="00AE2375">
        <w:rPr>
          <w:sz w:val="20"/>
          <w:szCs w:val="20"/>
        </w:rPr>
        <w:t xml:space="preserve"> h. 8</w:t>
      </w:r>
    </w:p>
  </w:footnote>
  <w:footnote w:id="8">
    <w:p w:rsidR="00FB1B95" w:rsidRPr="00AE2375" w:rsidRDefault="00FB1B95" w:rsidP="00FB1B95">
      <w:pPr>
        <w:pStyle w:val="FootnoteText"/>
        <w:ind w:firstLine="720"/>
        <w:jc w:val="both"/>
      </w:pPr>
      <w:r w:rsidRPr="00AE2375">
        <w:rPr>
          <w:rStyle w:val="FootnoteReference"/>
        </w:rPr>
        <w:footnoteRef/>
      </w:r>
      <w:r w:rsidRPr="00AE2375">
        <w:rPr>
          <w:i/>
        </w:rPr>
        <w:t>Ibid</w:t>
      </w:r>
      <w:r w:rsidRPr="00AE2375">
        <w:t>, h.38</w:t>
      </w:r>
    </w:p>
  </w:footnote>
  <w:footnote w:id="9">
    <w:p w:rsidR="00FB1B95" w:rsidRPr="00AE2375" w:rsidRDefault="00FB1B95" w:rsidP="00FB1B95">
      <w:pPr>
        <w:pStyle w:val="FootnoteText"/>
        <w:ind w:firstLine="720"/>
        <w:jc w:val="both"/>
      </w:pPr>
      <w:r w:rsidRPr="00AE2375">
        <w:rPr>
          <w:rStyle w:val="FootnoteReference"/>
        </w:rPr>
        <w:footnoteRef/>
      </w:r>
      <w:r w:rsidRPr="00AE2375">
        <w:rPr>
          <w:i/>
        </w:rPr>
        <w:t>Ibid</w:t>
      </w:r>
      <w:r w:rsidRPr="00AE2375">
        <w:t>, h.39</w:t>
      </w:r>
    </w:p>
  </w:footnote>
  <w:footnote w:id="10">
    <w:p w:rsidR="00FB1B95" w:rsidRPr="00AE2375" w:rsidRDefault="00FB1B95" w:rsidP="00FB1B95">
      <w:pPr>
        <w:pStyle w:val="FootnoteText"/>
        <w:ind w:firstLine="720"/>
        <w:jc w:val="both"/>
      </w:pPr>
      <w:r w:rsidRPr="00AE2375">
        <w:rPr>
          <w:rStyle w:val="FootnoteReference"/>
        </w:rPr>
        <w:footnoteRef/>
      </w:r>
      <w:r w:rsidRPr="00AE2375">
        <w:t xml:space="preserve">Munir Fuady II, </w:t>
      </w:r>
      <w:r w:rsidRPr="00AE2375">
        <w:rPr>
          <w:i/>
          <w:iCs/>
        </w:rPr>
        <w:t>Op.Cit</w:t>
      </w:r>
      <w:r w:rsidRPr="00AE2375">
        <w:t>, h. 82.</w:t>
      </w:r>
    </w:p>
  </w:footnote>
  <w:footnote w:id="11">
    <w:p w:rsidR="00FB1B95" w:rsidRPr="00AE2375" w:rsidRDefault="00FB1B95" w:rsidP="00FB1B95">
      <w:pPr>
        <w:pStyle w:val="FootnoteText"/>
        <w:ind w:firstLine="720"/>
        <w:jc w:val="both"/>
      </w:pPr>
      <w:r w:rsidRPr="00AE2375">
        <w:rPr>
          <w:rStyle w:val="FootnoteReference"/>
        </w:rPr>
        <w:footnoteRef/>
      </w:r>
      <w:r w:rsidRPr="00AE2375">
        <w:rPr>
          <w:i/>
          <w:iCs/>
        </w:rPr>
        <w:t>Ibid</w:t>
      </w:r>
      <w:r w:rsidRPr="00AE2375">
        <w:t>., h. 83</w:t>
      </w:r>
    </w:p>
  </w:footnote>
  <w:footnote w:id="12">
    <w:p w:rsidR="00FB1B95" w:rsidRPr="00AE2375" w:rsidRDefault="00FB1B95" w:rsidP="00FB1B95">
      <w:pPr>
        <w:pStyle w:val="FootnoteText"/>
        <w:ind w:firstLine="720"/>
        <w:jc w:val="both"/>
      </w:pPr>
      <w:r w:rsidRPr="00AE2375">
        <w:rPr>
          <w:rStyle w:val="FootnoteReference"/>
        </w:rPr>
        <w:footnoteRef/>
      </w:r>
      <w:r w:rsidRPr="00AE2375">
        <w:t xml:space="preserve">Sutan Remy Syahdeni I, </w:t>
      </w:r>
      <w:r w:rsidRPr="00AE2375">
        <w:rPr>
          <w:i/>
          <w:iCs/>
        </w:rPr>
        <w:t>Op. Cit</w:t>
      </w:r>
      <w:r w:rsidRPr="00AE2375">
        <w:t>, h. 321</w:t>
      </w:r>
    </w:p>
  </w:footnote>
  <w:footnote w:id="13">
    <w:p w:rsidR="00FB1B95" w:rsidRPr="00AE2375" w:rsidRDefault="00FB1B95" w:rsidP="00FB1B95">
      <w:pPr>
        <w:pStyle w:val="FootnoteText"/>
        <w:ind w:firstLine="720"/>
        <w:jc w:val="both"/>
      </w:pPr>
      <w:r w:rsidRPr="00AE2375">
        <w:rPr>
          <w:rStyle w:val="FootnoteReference"/>
        </w:rPr>
        <w:footnoteRef/>
      </w:r>
      <w:r w:rsidRPr="00AE2375">
        <w:rPr>
          <w:i/>
          <w:iCs/>
        </w:rPr>
        <w:t xml:space="preserve">Ibid., </w:t>
      </w:r>
      <w:r w:rsidRPr="00AE2375">
        <w:t>h. 387</w:t>
      </w:r>
    </w:p>
  </w:footnote>
  <w:footnote w:id="14">
    <w:p w:rsidR="00FB1B95" w:rsidRPr="00AE2375" w:rsidRDefault="00FB1B95" w:rsidP="00FB1B95">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 xml:space="preserve">Kartini Muliadi, Gunawan Widjaya, </w:t>
      </w:r>
      <w:r w:rsidRPr="00AE2375">
        <w:rPr>
          <w:i/>
          <w:iCs/>
          <w:sz w:val="20"/>
          <w:szCs w:val="20"/>
        </w:rPr>
        <w:t>Pedoman Menangani Perkara Kepailitan</w:t>
      </w:r>
      <w:r w:rsidRPr="00AE2375">
        <w:rPr>
          <w:sz w:val="20"/>
          <w:szCs w:val="20"/>
        </w:rPr>
        <w:t>, PT. Raja Grafindo Persada, Jakarta, 2013, h. 199</w:t>
      </w:r>
    </w:p>
  </w:footnote>
  <w:footnote w:id="15">
    <w:p w:rsidR="00FB1B95" w:rsidRPr="00AE2375" w:rsidRDefault="00FB1B95" w:rsidP="00FB1B95">
      <w:pPr>
        <w:pStyle w:val="FootnoteText"/>
        <w:ind w:firstLine="720"/>
        <w:jc w:val="both"/>
      </w:pPr>
      <w:r w:rsidRPr="00AE2375">
        <w:rPr>
          <w:rStyle w:val="FootnoteReference"/>
        </w:rPr>
        <w:footnoteRef/>
      </w:r>
      <w:r w:rsidRPr="00AE2375">
        <w:rPr>
          <w:i/>
          <w:iCs/>
        </w:rPr>
        <w:t xml:space="preserve">Ibid, </w:t>
      </w:r>
      <w:r w:rsidRPr="00AE2375">
        <w:t>h. 202</w:t>
      </w:r>
    </w:p>
  </w:footnote>
  <w:footnote w:id="16">
    <w:p w:rsidR="00FB1B95" w:rsidRPr="00AE2375" w:rsidRDefault="00FB1B95" w:rsidP="00FB1B95">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 xml:space="preserve">J. Satrio, </w:t>
      </w:r>
      <w:r w:rsidRPr="00AE2375">
        <w:rPr>
          <w:i/>
          <w:sz w:val="20"/>
          <w:szCs w:val="20"/>
        </w:rPr>
        <w:t xml:space="preserve">Hukum Jaminan, </w:t>
      </w:r>
      <w:r w:rsidRPr="00AE2375">
        <w:rPr>
          <w:i/>
          <w:iCs/>
          <w:sz w:val="20"/>
          <w:szCs w:val="20"/>
        </w:rPr>
        <w:t xml:space="preserve">Hak-hak Jaminan Kebendaan, </w:t>
      </w:r>
      <w:r w:rsidRPr="00AE2375">
        <w:rPr>
          <w:sz w:val="20"/>
          <w:szCs w:val="20"/>
        </w:rPr>
        <w:t xml:space="preserve"> PT. Citra Aditya Bakti, Bandung, 1993, h. 41</w:t>
      </w:r>
    </w:p>
  </w:footnote>
  <w:footnote w:id="17">
    <w:p w:rsidR="00FB1B95" w:rsidRPr="00AE2375" w:rsidRDefault="00FB1B95" w:rsidP="00FB1B95">
      <w:pPr>
        <w:pStyle w:val="FootnoteText"/>
        <w:ind w:firstLine="720"/>
        <w:jc w:val="both"/>
      </w:pPr>
      <w:r w:rsidRPr="00AE2375">
        <w:rPr>
          <w:rStyle w:val="FootnoteReference"/>
        </w:rPr>
        <w:footnoteRef/>
      </w:r>
      <w:r w:rsidRPr="00AE2375">
        <w:t xml:space="preserve">Sutan Remy Sjahdeini, </w:t>
      </w:r>
      <w:r w:rsidRPr="00AE2375">
        <w:rPr>
          <w:i/>
          <w:iCs/>
        </w:rPr>
        <w:t>Hak Tanggungan</w:t>
      </w:r>
      <w:r w:rsidRPr="00AE2375">
        <w:t>, Alumni, Bandung, 1999, (selanjutnya disebut Sutan Remmy Syahdeini II),h.163</w:t>
      </w:r>
    </w:p>
  </w:footnote>
  <w:footnote w:id="18">
    <w:p w:rsidR="00FB1B95" w:rsidRPr="00AE2375" w:rsidRDefault="00FB1B95" w:rsidP="00FB1B95">
      <w:pPr>
        <w:pStyle w:val="FootnoteText"/>
        <w:ind w:firstLine="720"/>
        <w:jc w:val="both"/>
      </w:pPr>
      <w:r w:rsidRPr="00AE2375">
        <w:rPr>
          <w:rStyle w:val="FootnoteReference"/>
        </w:rPr>
        <w:footnoteRef/>
      </w:r>
      <w:r w:rsidRPr="00AE2375">
        <w:t xml:space="preserve"> Sutan Remy Sjahdeini I, </w:t>
      </w:r>
      <w:r w:rsidRPr="00AE2375">
        <w:rPr>
          <w:i/>
        </w:rPr>
        <w:t>Op.Cit</w:t>
      </w:r>
      <w:r w:rsidRPr="00AE2375">
        <w:t>., h. 327 - 328</w:t>
      </w:r>
    </w:p>
  </w:footnote>
  <w:footnote w:id="19">
    <w:p w:rsidR="00FB1B95" w:rsidRPr="00AE2375" w:rsidRDefault="00FB1B95" w:rsidP="00FB1B95">
      <w:pPr>
        <w:pStyle w:val="FootnoteText"/>
        <w:ind w:firstLine="720"/>
        <w:jc w:val="both"/>
      </w:pPr>
      <w:r w:rsidRPr="00AE2375">
        <w:rPr>
          <w:rStyle w:val="FootnoteReference"/>
        </w:rPr>
        <w:footnoteRef/>
      </w:r>
      <w:r w:rsidRPr="00AE2375">
        <w:rPr>
          <w:i/>
          <w:iCs/>
        </w:rPr>
        <w:t xml:space="preserve">Ibid., </w:t>
      </w:r>
      <w:r w:rsidRPr="00AE2375">
        <w:t>h. 341</w:t>
      </w:r>
    </w:p>
  </w:footnote>
  <w:footnote w:id="20">
    <w:p w:rsidR="00FB1B95" w:rsidRPr="00AE2375" w:rsidRDefault="00FB1B95" w:rsidP="00FB1B95">
      <w:pPr>
        <w:pStyle w:val="FootnoteText"/>
        <w:ind w:firstLine="720"/>
        <w:jc w:val="both"/>
      </w:pPr>
      <w:r w:rsidRPr="00AE2375">
        <w:rPr>
          <w:rStyle w:val="FootnoteReference"/>
        </w:rPr>
        <w:footnoteRef/>
      </w:r>
      <w:r w:rsidRPr="00AE2375">
        <w:rPr>
          <w:i/>
          <w:iCs/>
        </w:rPr>
        <w:t xml:space="preserve">Ibid., </w:t>
      </w:r>
      <w:r w:rsidRPr="00AE2375">
        <w:t>h. 342</w:t>
      </w:r>
    </w:p>
  </w:footnote>
  <w:footnote w:id="21">
    <w:p w:rsidR="00FB1B95" w:rsidRPr="00AE2375" w:rsidRDefault="00FB1B95" w:rsidP="00FB1B95">
      <w:pPr>
        <w:pStyle w:val="FootnoteText"/>
        <w:ind w:firstLine="720"/>
        <w:jc w:val="both"/>
      </w:pPr>
      <w:r w:rsidRPr="00AE2375">
        <w:rPr>
          <w:rStyle w:val="FootnoteReference"/>
        </w:rPr>
        <w:footnoteRef/>
      </w:r>
      <w:r w:rsidRPr="00AE2375">
        <w:rPr>
          <w:i/>
          <w:iCs/>
        </w:rPr>
        <w:t>Ibid</w:t>
      </w:r>
      <w:r w:rsidRPr="00AE2375">
        <w:t>, h. 383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033293">
      <w:rPr>
        <w:rStyle w:val="PageNumber"/>
        <w:noProof/>
      </w:rPr>
      <w:t>96</w:t>
    </w:r>
    <w:r w:rsidR="00A46AA0" w:rsidRPr="00A46AA0">
      <w:rPr>
        <w:rStyle w:val="PageNumber"/>
      </w:rPr>
      <w:fldChar w:fldCharType="end"/>
    </w:r>
  </w:p>
  <w:p w:rsidR="00033293" w:rsidRPr="005A4322" w:rsidRDefault="00033293" w:rsidP="00033293">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93" w:rsidRPr="005A4322" w:rsidRDefault="00033293" w:rsidP="00033293">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 21/11/2025 9:49:55</w:t>
    </w:r>
  </w:p>
  <w:p w:rsidR="001852B4" w:rsidRDefault="001852B4">
    <w:pPr>
      <w:pStyle w:val="Header"/>
    </w:pPr>
    <w:r>
      <w:rPr>
        <w:noProof/>
      </w:rPr>
      <w:pict>
        <v:shape id="WordPictureWatermark41781229"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23E"/>
    <w:multiLevelType w:val="hybridMultilevel"/>
    <w:tmpl w:val="140424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C38DD"/>
    <w:multiLevelType w:val="hybridMultilevel"/>
    <w:tmpl w:val="DB68BB1E"/>
    <w:lvl w:ilvl="0" w:tplc="5F4C63D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7B541DC"/>
    <w:multiLevelType w:val="hybridMultilevel"/>
    <w:tmpl w:val="5B5E7CF8"/>
    <w:lvl w:ilvl="0" w:tplc="04090011">
      <w:start w:val="1"/>
      <w:numFmt w:val="decimal"/>
      <w:lvlText w:val="%1)"/>
      <w:lvlJc w:val="left"/>
      <w:pPr>
        <w:ind w:left="720" w:hanging="360"/>
      </w:pPr>
      <w:rPr>
        <w:rFonts w:hint="default"/>
      </w:rPr>
    </w:lvl>
    <w:lvl w:ilvl="1" w:tplc="9482D9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14D58"/>
    <w:multiLevelType w:val="hybridMultilevel"/>
    <w:tmpl w:val="06F07CAC"/>
    <w:lvl w:ilvl="0" w:tplc="D764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32640"/>
    <w:multiLevelType w:val="hybridMultilevel"/>
    <w:tmpl w:val="BC14E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F2CA8"/>
    <w:multiLevelType w:val="hybridMultilevel"/>
    <w:tmpl w:val="CE5C13C0"/>
    <w:lvl w:ilvl="0" w:tplc="04090015">
      <w:start w:val="1"/>
      <w:numFmt w:val="upperLetter"/>
      <w:lvlText w:val="%1."/>
      <w:lvlJc w:val="left"/>
      <w:pPr>
        <w:tabs>
          <w:tab w:val="num" w:pos="720"/>
        </w:tabs>
        <w:ind w:left="720" w:hanging="360"/>
      </w:pPr>
    </w:lvl>
    <w:lvl w:ilvl="1" w:tplc="08B08E12">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99661E"/>
    <w:multiLevelType w:val="hybridMultilevel"/>
    <w:tmpl w:val="52424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5660B"/>
    <w:multiLevelType w:val="hybridMultilevel"/>
    <w:tmpl w:val="2EE44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72232"/>
    <w:multiLevelType w:val="hybridMultilevel"/>
    <w:tmpl w:val="C4F6A4E8"/>
    <w:lvl w:ilvl="0" w:tplc="FAEAAA46">
      <w:start w:val="1"/>
      <w:numFmt w:val="lowerLetter"/>
      <w:lvlText w:val="%1."/>
      <w:lvlJc w:val="left"/>
      <w:pPr>
        <w:ind w:left="720" w:hanging="360"/>
      </w:pPr>
      <w:rPr>
        <w:rFonts w:ascii="Times New Roman" w:eastAsia="Times New Roman" w:hAnsi="Times New Roman" w:cs="Times New Roman" w:hint="default"/>
      </w:rPr>
    </w:lvl>
    <w:lvl w:ilvl="1" w:tplc="6A2204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10">
    <w:nsid w:val="63A86448"/>
    <w:multiLevelType w:val="hybridMultilevel"/>
    <w:tmpl w:val="D82CD056"/>
    <w:lvl w:ilvl="0" w:tplc="3DB0D5EE">
      <w:start w:val="1"/>
      <w:numFmt w:val="decimal"/>
      <w:lvlText w:val="%1)"/>
      <w:lvlJc w:val="left"/>
      <w:pPr>
        <w:ind w:left="720" w:hanging="360"/>
      </w:pPr>
      <w:rPr>
        <w:rFonts w:hint="default"/>
      </w:rPr>
    </w:lvl>
    <w:lvl w:ilvl="1" w:tplc="CFBC12DA">
      <w:start w:val="1"/>
      <w:numFmt w:val="lowerLetter"/>
      <w:lvlText w:val="%2."/>
      <w:lvlJc w:val="left"/>
      <w:pPr>
        <w:ind w:left="1440" w:hanging="360"/>
      </w:pPr>
      <w:rPr>
        <w:rFonts w:hint="default"/>
      </w:rPr>
    </w:lvl>
    <w:lvl w:ilvl="2" w:tplc="F45AAFF2">
      <w:start w:val="1"/>
      <w:numFmt w:val="decimal"/>
      <w:lvlText w:val="%3."/>
      <w:lvlJc w:val="left"/>
      <w:pPr>
        <w:ind w:left="2340" w:hanging="360"/>
      </w:pPr>
      <w:rPr>
        <w:rFonts w:hint="default"/>
      </w:rPr>
    </w:lvl>
    <w:lvl w:ilvl="3" w:tplc="BD7E0D62">
      <w:start w:val="1"/>
      <w:numFmt w:val="decimal"/>
      <w:lvlText w:val="(%4)"/>
      <w:lvlJc w:val="left"/>
      <w:pPr>
        <w:ind w:left="2880" w:hanging="360"/>
      </w:pPr>
      <w:rPr>
        <w:rFonts w:hint="default"/>
      </w:rPr>
    </w:lvl>
    <w:lvl w:ilvl="4" w:tplc="334A111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27EE9"/>
    <w:multiLevelType w:val="hybridMultilevel"/>
    <w:tmpl w:val="D0108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1643F"/>
    <w:multiLevelType w:val="hybridMultilevel"/>
    <w:tmpl w:val="38C09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CB0D6B"/>
    <w:multiLevelType w:val="hybridMultilevel"/>
    <w:tmpl w:val="F6CE0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C587A"/>
    <w:multiLevelType w:val="hybridMultilevel"/>
    <w:tmpl w:val="11068B24"/>
    <w:lvl w:ilvl="0" w:tplc="04090019">
      <w:start w:val="1"/>
      <w:numFmt w:val="lowerLetter"/>
      <w:lvlText w:val="%1."/>
      <w:lvlJc w:val="left"/>
      <w:pPr>
        <w:ind w:left="720" w:hanging="360"/>
      </w:pPr>
      <w:rPr>
        <w:rFonts w:hint="default"/>
      </w:rPr>
    </w:lvl>
    <w:lvl w:ilvl="1" w:tplc="5A62FF22">
      <w:start w:val="1"/>
      <w:numFmt w:val="decimal"/>
      <w:lvlText w:val="%2."/>
      <w:lvlJc w:val="left"/>
      <w:pPr>
        <w:ind w:left="1440" w:hanging="360"/>
      </w:pPr>
      <w:rPr>
        <w:rFonts w:hint="default"/>
        <w:b w:val="0"/>
      </w:rPr>
    </w:lvl>
    <w:lvl w:ilvl="2" w:tplc="7740555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6ABAD538">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02319"/>
    <w:multiLevelType w:val="hybridMultilevel"/>
    <w:tmpl w:val="0DF4CC06"/>
    <w:lvl w:ilvl="0" w:tplc="522CB7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B083F9F"/>
    <w:multiLevelType w:val="hybridMultilevel"/>
    <w:tmpl w:val="C28E4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970F2"/>
    <w:multiLevelType w:val="hybridMultilevel"/>
    <w:tmpl w:val="D48A5BF8"/>
    <w:lvl w:ilvl="0" w:tplc="3DB0D5EE">
      <w:start w:val="1"/>
      <w:numFmt w:val="decimal"/>
      <w:lvlText w:val="%1)"/>
      <w:lvlJc w:val="left"/>
      <w:pPr>
        <w:ind w:left="720" w:hanging="360"/>
      </w:pPr>
      <w:rPr>
        <w:rFonts w:hint="default"/>
      </w:rPr>
    </w:lvl>
    <w:lvl w:ilvl="1" w:tplc="98547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0"/>
  </w:num>
  <w:num w:numId="6">
    <w:abstractNumId w:val="4"/>
  </w:num>
  <w:num w:numId="7">
    <w:abstractNumId w:val="7"/>
  </w:num>
  <w:num w:numId="8">
    <w:abstractNumId w:val="2"/>
  </w:num>
  <w:num w:numId="9">
    <w:abstractNumId w:val="3"/>
  </w:num>
  <w:num w:numId="10">
    <w:abstractNumId w:val="13"/>
  </w:num>
  <w:num w:numId="11">
    <w:abstractNumId w:val="17"/>
  </w:num>
  <w:num w:numId="12">
    <w:abstractNumId w:val="12"/>
  </w:num>
  <w:num w:numId="13">
    <w:abstractNumId w:val="8"/>
  </w:num>
  <w:num w:numId="14">
    <w:abstractNumId w:val="14"/>
  </w:num>
  <w:num w:numId="15">
    <w:abstractNumId w:val="0"/>
  </w:num>
  <w:num w:numId="16">
    <w:abstractNumId w:val="11"/>
  </w:num>
  <w:num w:numId="17">
    <w:abstractNumId w:val="15"/>
  </w:num>
  <w:num w:numId="18">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jmgZ9SIevaDZv+BxtYfxcNz83F4=" w:salt="ZWbryr/Cf8YMLfO1A3Bu6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3293"/>
    <w:rsid w:val="00035C79"/>
    <w:rsid w:val="0004281C"/>
    <w:rsid w:val="00092D5C"/>
    <w:rsid w:val="000939C0"/>
    <w:rsid w:val="000A3A5C"/>
    <w:rsid w:val="000A73A0"/>
    <w:rsid w:val="000B51B6"/>
    <w:rsid w:val="000D3FB5"/>
    <w:rsid w:val="000D523B"/>
    <w:rsid w:val="000E4C13"/>
    <w:rsid w:val="000E62EF"/>
    <w:rsid w:val="001028F8"/>
    <w:rsid w:val="00107C04"/>
    <w:rsid w:val="001201B1"/>
    <w:rsid w:val="001219A3"/>
    <w:rsid w:val="00133C81"/>
    <w:rsid w:val="001425D3"/>
    <w:rsid w:val="001532E5"/>
    <w:rsid w:val="0015466B"/>
    <w:rsid w:val="00156EA9"/>
    <w:rsid w:val="00175A2F"/>
    <w:rsid w:val="0018136F"/>
    <w:rsid w:val="001852B4"/>
    <w:rsid w:val="001E3036"/>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4198B"/>
    <w:rsid w:val="00355BF3"/>
    <w:rsid w:val="003605FC"/>
    <w:rsid w:val="0036184A"/>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F0427"/>
    <w:rsid w:val="004F4FB2"/>
    <w:rsid w:val="00505E63"/>
    <w:rsid w:val="00514F51"/>
    <w:rsid w:val="005232B9"/>
    <w:rsid w:val="0053340E"/>
    <w:rsid w:val="00537552"/>
    <w:rsid w:val="00547C08"/>
    <w:rsid w:val="00565751"/>
    <w:rsid w:val="00570D05"/>
    <w:rsid w:val="005906B0"/>
    <w:rsid w:val="00590BBD"/>
    <w:rsid w:val="00596645"/>
    <w:rsid w:val="00597987"/>
    <w:rsid w:val="005D3FC6"/>
    <w:rsid w:val="005E5DA6"/>
    <w:rsid w:val="006001AF"/>
    <w:rsid w:val="006001C9"/>
    <w:rsid w:val="006059D4"/>
    <w:rsid w:val="00637BDF"/>
    <w:rsid w:val="006A3BDD"/>
    <w:rsid w:val="006A73E5"/>
    <w:rsid w:val="006C0035"/>
    <w:rsid w:val="006E7A26"/>
    <w:rsid w:val="006F156E"/>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F0DE6"/>
    <w:rsid w:val="009F6EB8"/>
    <w:rsid w:val="00A16ED0"/>
    <w:rsid w:val="00A46AA0"/>
    <w:rsid w:val="00A508AB"/>
    <w:rsid w:val="00A92273"/>
    <w:rsid w:val="00A946FF"/>
    <w:rsid w:val="00AA29DF"/>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516E3"/>
    <w:rsid w:val="00D748ED"/>
    <w:rsid w:val="00D82C93"/>
    <w:rsid w:val="00D86127"/>
    <w:rsid w:val="00D95A32"/>
    <w:rsid w:val="00DB164A"/>
    <w:rsid w:val="00DD4712"/>
    <w:rsid w:val="00E11848"/>
    <w:rsid w:val="00E169C5"/>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1B95"/>
    <w:rsid w:val="00FB54E9"/>
    <w:rsid w:val="00FB59A6"/>
    <w:rsid w:val="00FD504A"/>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qFormat/>
    <w:rPr>
      <w:sz w:val="20"/>
      <w:szCs w:val="20"/>
    </w:rPr>
  </w:style>
  <w:style w:type="character" w:styleId="FootnoteReference">
    <w:name w:val="footnote reference"/>
    <w:aliases w:val="BVI fnr,Footnote Reference1"/>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17229/node/686" TargetMode="External"/><Relationship Id="rId13" Type="http://schemas.openxmlformats.org/officeDocument/2006/relationships/hyperlink" Target="http://www.hukumonline.com/pusatdata/detail/20144/node/19/uu-no-37-tahun-2004-kepailitan-dan-penundaan-kewajiban-pembayaran-uta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ukumonline.com/pusatdata/detail/lt4e5499c53fce5/node/58/uu-no-9-tahun-2011-perubahan-atas-undang-undang-nomor-9-tahun-2006-tentang-sistem-resi-guda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pusatdata/detail/25745/node/58/uu-no-9-tahun-2006-sistem-resi-guda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ukumonline.com/pusatdata/detail/11822/node/39/uu-no-4-tahun-1996-hak-tanggungan-atas-tanah-beserta-benda-benda-yang-berkaitan-dengan-tana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ukumonline.com/pusatdata/detail/17484/node/30/uu-no-42-tahun-1999-jaminan-fidus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E144-3944-46BC-A062-93275064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5937</Words>
  <Characters>33846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39704</CharactersWithSpaces>
  <SharedDoc>false</SharedDoc>
  <HLinks>
    <vt:vector size="36" baseType="variant">
      <vt:variant>
        <vt:i4>6094939</vt:i4>
      </vt:variant>
      <vt:variant>
        <vt:i4>15</vt:i4>
      </vt:variant>
      <vt:variant>
        <vt:i4>0</vt:i4>
      </vt:variant>
      <vt:variant>
        <vt:i4>5</vt:i4>
      </vt:variant>
      <vt:variant>
        <vt:lpwstr>http://www.hukumonline.com/pusatdata/detail/20144/node/19/uu-no-37-tahun-2004-kepailitan-dan-penundaan-kewajiban-pembayaran-utang</vt:lpwstr>
      </vt:variant>
      <vt:variant>
        <vt:lpwstr/>
      </vt:variant>
      <vt:variant>
        <vt:i4>4521986</vt:i4>
      </vt:variant>
      <vt:variant>
        <vt:i4>12</vt:i4>
      </vt:variant>
      <vt:variant>
        <vt:i4>0</vt:i4>
      </vt:variant>
      <vt:variant>
        <vt:i4>5</vt:i4>
      </vt:variant>
      <vt:variant>
        <vt:lpwstr>http://www.hukumonline.com/pusatdata/detail/lt4e5499c53fce5/node/58/uu-no-9-tahun-2011-perubahan-atas-undang-undang-nomor-9-tahun-2006-tentang-sistem-resi-gudang</vt:lpwstr>
      </vt:variant>
      <vt:variant>
        <vt:lpwstr/>
      </vt:variant>
      <vt:variant>
        <vt:i4>3866662</vt:i4>
      </vt:variant>
      <vt:variant>
        <vt:i4>9</vt:i4>
      </vt:variant>
      <vt:variant>
        <vt:i4>0</vt:i4>
      </vt:variant>
      <vt:variant>
        <vt:i4>5</vt:i4>
      </vt:variant>
      <vt:variant>
        <vt:lpwstr>http://www.hukumonline.com/pusatdata/detail/25745/node/58/uu-no-9-tahun-2006-sistem-resi-gudang</vt:lpwstr>
      </vt:variant>
      <vt:variant>
        <vt:lpwstr/>
      </vt:variant>
      <vt:variant>
        <vt:i4>3866663</vt:i4>
      </vt:variant>
      <vt:variant>
        <vt:i4>6</vt:i4>
      </vt:variant>
      <vt:variant>
        <vt:i4>0</vt:i4>
      </vt:variant>
      <vt:variant>
        <vt:i4>5</vt:i4>
      </vt:variant>
      <vt:variant>
        <vt:lpwstr>http://www.hukumonline.com/pusatdata/detail/11822/node/39/uu-no-4-tahun-1996-hak-tanggungan-atas-tanah-beserta-benda-benda-yang-berkaitan-dengan-tanah</vt:lpwstr>
      </vt:variant>
      <vt:variant>
        <vt:lpwstr/>
      </vt:variant>
      <vt:variant>
        <vt:i4>6029397</vt:i4>
      </vt:variant>
      <vt:variant>
        <vt:i4>3</vt:i4>
      </vt:variant>
      <vt:variant>
        <vt:i4>0</vt:i4>
      </vt:variant>
      <vt:variant>
        <vt:i4>5</vt:i4>
      </vt:variant>
      <vt:variant>
        <vt:lpwstr>http://www.hukumonline.com/pusatdata/detail/17484/node/30/uu-no-42-tahun-1999-jaminan-fidusia</vt:lpwstr>
      </vt:variant>
      <vt:variant>
        <vt:lpwstr/>
      </vt:variant>
      <vt:variant>
        <vt:i4>2621495</vt:i4>
      </vt:variant>
      <vt:variant>
        <vt:i4>0</vt:i4>
      </vt:variant>
      <vt:variant>
        <vt:i4>0</vt:i4>
      </vt:variant>
      <vt:variant>
        <vt:i4>5</vt:i4>
      </vt:variant>
      <vt:variant>
        <vt:lpwstr>http://www.hukumonline.com/pusatdata/detail/17229/node/686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2025-11-21T02:54:00Z</dcterms:created>
  <dcterms:modified xsi:type="dcterms:W3CDTF">2025-11-21T02:54:00Z</dcterms:modified>
</cp:coreProperties>
</file>