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F24" w:rsidRPr="00F90F24" w:rsidRDefault="00F90F24" w:rsidP="00F90F24">
      <w:pPr>
        <w:pStyle w:val="ListParagraph"/>
        <w:autoSpaceDE w:val="0"/>
        <w:autoSpaceDN w:val="0"/>
        <w:adjustRightInd w:val="0"/>
        <w:spacing w:after="0" w:line="480" w:lineRule="auto"/>
        <w:ind w:left="142"/>
        <w:jc w:val="center"/>
        <w:rPr>
          <w:rFonts w:ascii="Times New Roman" w:hAnsi="Times New Roman"/>
          <w:sz w:val="24"/>
          <w:szCs w:val="24"/>
          <w:lang w:val="fi-FI"/>
        </w:rPr>
      </w:pPr>
      <w:bookmarkStart w:id="0" w:name="_GoBack"/>
      <w:r w:rsidRPr="00F90F24">
        <w:rPr>
          <w:rFonts w:ascii="Times New Roman" w:hAnsi="Times New Roman"/>
          <w:sz w:val="24"/>
          <w:szCs w:val="24"/>
          <w:lang w:val="fi-FI"/>
        </w:rPr>
        <w:t>BAB II</w:t>
      </w:r>
    </w:p>
    <w:p w:rsidR="00F90F24" w:rsidRPr="00F90F24" w:rsidRDefault="00F90F24" w:rsidP="00F90F24">
      <w:pPr>
        <w:pStyle w:val="ListParagraph"/>
        <w:autoSpaceDE w:val="0"/>
        <w:autoSpaceDN w:val="0"/>
        <w:adjustRightInd w:val="0"/>
        <w:spacing w:after="0" w:line="480" w:lineRule="auto"/>
        <w:ind w:left="142"/>
        <w:jc w:val="center"/>
        <w:rPr>
          <w:rFonts w:ascii="Times New Roman" w:hAnsi="Times New Roman"/>
          <w:sz w:val="24"/>
          <w:szCs w:val="24"/>
          <w:lang w:val="fi-FI"/>
        </w:rPr>
      </w:pPr>
      <w:r w:rsidRPr="00F90F24">
        <w:rPr>
          <w:rFonts w:ascii="Times New Roman" w:hAnsi="Times New Roman"/>
          <w:sz w:val="24"/>
          <w:szCs w:val="24"/>
          <w:lang w:val="fi-FI"/>
        </w:rPr>
        <w:t>TINJAUAN PUSTAKA</w:t>
      </w:r>
    </w:p>
    <w:bookmarkEnd w:id="0"/>
    <w:p w:rsidR="00F90F24" w:rsidRPr="00F90F24" w:rsidRDefault="00F90F24" w:rsidP="00A6327B">
      <w:pPr>
        <w:pStyle w:val="BodyTextIndent"/>
        <w:numPr>
          <w:ilvl w:val="2"/>
          <w:numId w:val="10"/>
        </w:numPr>
        <w:tabs>
          <w:tab w:val="clear" w:pos="2340"/>
          <w:tab w:val="num" w:pos="360"/>
          <w:tab w:val="left" w:pos="1260"/>
          <w:tab w:val="left" w:leader="dot" w:pos="7088"/>
          <w:tab w:val="center" w:pos="7797"/>
        </w:tabs>
        <w:spacing w:line="480" w:lineRule="auto"/>
        <w:ind w:left="360"/>
        <w:jc w:val="both"/>
        <w:rPr>
          <w:b w:val="0"/>
          <w:szCs w:val="24"/>
        </w:rPr>
      </w:pPr>
      <w:r w:rsidRPr="00F90F24">
        <w:rPr>
          <w:b w:val="0"/>
          <w:szCs w:val="24"/>
        </w:rPr>
        <w:t xml:space="preserve">Gambaran Umum Tentang </w:t>
      </w:r>
      <w:r w:rsidRPr="00F90F24">
        <w:rPr>
          <w:b w:val="0"/>
          <w:i/>
          <w:iCs/>
          <w:szCs w:val="24"/>
        </w:rPr>
        <w:t>Restorative Justice</w:t>
      </w:r>
      <w:r w:rsidRPr="00F90F24">
        <w:rPr>
          <w:b w:val="0"/>
          <w:szCs w:val="24"/>
        </w:rPr>
        <w:t>.</w:t>
      </w:r>
    </w:p>
    <w:p w:rsidR="00F90F24" w:rsidRPr="00F90F24" w:rsidRDefault="00F90F24" w:rsidP="00A6327B">
      <w:pPr>
        <w:numPr>
          <w:ilvl w:val="3"/>
          <w:numId w:val="11"/>
        </w:numPr>
        <w:tabs>
          <w:tab w:val="clear" w:pos="2880"/>
          <w:tab w:val="num" w:pos="720"/>
        </w:tabs>
        <w:spacing w:line="480" w:lineRule="auto"/>
        <w:ind w:left="720"/>
        <w:jc w:val="both"/>
      </w:pPr>
      <w:r w:rsidRPr="00F90F24">
        <w:t xml:space="preserve">Pengertian </w:t>
      </w:r>
      <w:r w:rsidRPr="00F90F24">
        <w:rPr>
          <w:i/>
          <w:iCs/>
        </w:rPr>
        <w:t>Restorative Justice</w:t>
      </w:r>
    </w:p>
    <w:p w:rsidR="00F90F24" w:rsidRPr="00F90F24" w:rsidRDefault="00F90F24" w:rsidP="00F90F24">
      <w:pPr>
        <w:spacing w:line="480" w:lineRule="auto"/>
        <w:ind w:firstLine="709"/>
        <w:jc w:val="both"/>
      </w:pPr>
      <w:r w:rsidRPr="00F90F24">
        <w:t xml:space="preserve">Pendekatan keadilan restoratif diasumsikan sebagai pergeseran paling mutakhir dari berbagai model dan mekanisme yang bekerja dalam sistem peradilan pidana dalam menangani perkara-perkara pidana pada saat ini. Keadilan restoratif adalah sebuah konsep pemikiran yang merespon pengembangan sistem peradilan pidana dengan menitikberatkan pada kebutuhan pelibatan masyarakat dan korban yang dirasa tersisihkan dengan mekanisme yang bekerja pada sistem peradilan pidana yang ada pada saat ini. Dipihak lain, keadilan restoratif juga merupakan suatu kerangka berfikir yang baru yang dapat digunakan dalam merespon suatu tindak pidana bagi penegak dan pekerja hukum. </w:t>
      </w:r>
    </w:p>
    <w:p w:rsidR="00F90F24" w:rsidRPr="00F90F24" w:rsidRDefault="00F90F24" w:rsidP="00F90F24">
      <w:pPr>
        <w:spacing w:line="480" w:lineRule="auto"/>
        <w:ind w:firstLine="709"/>
        <w:jc w:val="both"/>
      </w:pPr>
      <w:r w:rsidRPr="00F90F24">
        <w:t xml:space="preserve">Tidak mudah memberikan definisi bagi pendekatan keadilan restoratif ini, mengingat banyaknya variasi model dan bentuk yang berkembang dalam penerapannya. </w:t>
      </w:r>
    </w:p>
    <w:p w:rsidR="00F90F24" w:rsidRPr="00F90F24" w:rsidRDefault="00F90F24" w:rsidP="00F90F24">
      <w:pPr>
        <w:spacing w:line="480" w:lineRule="auto"/>
        <w:ind w:left="709"/>
        <w:jc w:val="both"/>
      </w:pPr>
      <w:r w:rsidRPr="00F90F24">
        <w:t xml:space="preserve">Banyak terminologi yang digunakan untuk menggambarkan aliran keadilan restoratif ini antara lain </w:t>
      </w:r>
      <w:r w:rsidRPr="00F90F24">
        <w:rPr>
          <w:i/>
        </w:rPr>
        <w:t xml:space="preserve">”communitarian justice </w:t>
      </w:r>
      <w:r w:rsidRPr="00F90F24">
        <w:t xml:space="preserve">(keadilan komunitarian), </w:t>
      </w:r>
      <w:r w:rsidRPr="00F90F24">
        <w:rPr>
          <w:i/>
        </w:rPr>
        <w:t>positive justice</w:t>
      </w:r>
      <w:r w:rsidRPr="00F90F24">
        <w:t xml:space="preserve"> (keadilan positif), </w:t>
      </w:r>
      <w:r w:rsidRPr="00F90F24">
        <w:rPr>
          <w:i/>
        </w:rPr>
        <w:t>relational justice</w:t>
      </w:r>
      <w:r w:rsidRPr="00F90F24">
        <w:t xml:space="preserve"> (keadilan relasional), </w:t>
      </w:r>
      <w:r w:rsidRPr="00F90F24">
        <w:rPr>
          <w:i/>
        </w:rPr>
        <w:t>reparative justice</w:t>
      </w:r>
      <w:r w:rsidRPr="00F90F24">
        <w:t xml:space="preserve"> (keadilan reparatif) dan </w:t>
      </w:r>
      <w:r w:rsidRPr="00F90F24">
        <w:rPr>
          <w:i/>
        </w:rPr>
        <w:t>community justice</w:t>
      </w:r>
      <w:r w:rsidRPr="00F90F24">
        <w:t xml:space="preserve"> (keadilan masyarakat) serta </w:t>
      </w:r>
      <w:r w:rsidRPr="00F90F24">
        <w:rPr>
          <w:i/>
        </w:rPr>
        <w:t>communitarian justice</w:t>
      </w:r>
      <w:r w:rsidRPr="00F90F24">
        <w:t xml:space="preserve">”. Terminologi </w:t>
      </w:r>
      <w:r w:rsidRPr="00F90F24">
        <w:lastRenderedPageBreak/>
        <w:t xml:space="preserve">yang dipakai untuk menyebut </w:t>
      </w:r>
      <w:r w:rsidRPr="00F90F24">
        <w:rPr>
          <w:i/>
        </w:rPr>
        <w:t>”communitarian justice”</w:t>
      </w:r>
      <w:r w:rsidRPr="00F90F24">
        <w:t xml:space="preserve"> berasal dari teori komunitarian yang berkembang di Eropa saat ini.</w:t>
      </w:r>
      <w:r w:rsidRPr="00F90F24">
        <w:rPr>
          <w:rStyle w:val="FootnoteReference"/>
        </w:rPr>
        <w:footnoteReference w:id="2"/>
      </w:r>
    </w:p>
    <w:p w:rsidR="00F90F24" w:rsidRPr="00F90F24" w:rsidRDefault="00F90F24" w:rsidP="00F90F24">
      <w:pPr>
        <w:spacing w:line="480" w:lineRule="auto"/>
        <w:ind w:left="426"/>
        <w:jc w:val="both"/>
      </w:pPr>
    </w:p>
    <w:p w:rsidR="00F90F24" w:rsidRPr="00F90F24" w:rsidRDefault="00F90F24" w:rsidP="00F90F24">
      <w:pPr>
        <w:spacing w:line="480" w:lineRule="auto"/>
        <w:ind w:firstLine="709"/>
        <w:jc w:val="both"/>
      </w:pPr>
      <w:r w:rsidRPr="00F90F24">
        <w:t>Paham individualis yang selama ini lekat dengan dunia barat, berangsur-angsur ditinggalkan sejalan dengan kesadaran peran masyarakat terhadap perkembangan kehidupan seseorang. Pandangan – pandangan tersebut menempatkan keadilan restoratif pada posisi yang mengusung lembaga musyawarah sebagai upaya yang dapat dilakukan dalam mencari jalan terbaik atas suatu pemecahan masalah yang timbul akibat dilakukannya suatu tindak pidana.</w:t>
      </w:r>
    </w:p>
    <w:p w:rsidR="00F90F24" w:rsidRPr="00F90F24" w:rsidRDefault="00F90F24" w:rsidP="00A6327B">
      <w:pPr>
        <w:numPr>
          <w:ilvl w:val="0"/>
          <w:numId w:val="12"/>
        </w:numPr>
        <w:spacing w:line="480" w:lineRule="auto"/>
        <w:ind w:left="360"/>
        <w:jc w:val="both"/>
      </w:pPr>
      <w:r w:rsidRPr="00F90F24">
        <w:t xml:space="preserve">Prinsip-Prinsip </w:t>
      </w:r>
      <w:r w:rsidRPr="00F90F24">
        <w:rPr>
          <w:i/>
        </w:rPr>
        <w:t>Restoratif Justice</w:t>
      </w:r>
    </w:p>
    <w:p w:rsidR="00F90F24" w:rsidRPr="00F90F24" w:rsidRDefault="00F90F24" w:rsidP="00F90F24">
      <w:pPr>
        <w:pStyle w:val="NormalWeb"/>
        <w:spacing w:before="0" w:beforeAutospacing="0" w:after="0" w:afterAutospacing="0" w:line="480" w:lineRule="auto"/>
        <w:ind w:firstLine="720"/>
        <w:jc w:val="both"/>
      </w:pPr>
      <w:r w:rsidRPr="00F90F24">
        <w:t xml:space="preserve">Konsep </w:t>
      </w:r>
      <w:r w:rsidRPr="00F90F24">
        <w:rPr>
          <w:i/>
        </w:rPr>
        <w:t>Restorative Justice</w:t>
      </w:r>
      <w:r w:rsidRPr="00F90F24">
        <w:t xml:space="preserve">telah muncul lebih dari dua puluh tahun yang lalu sebagai alternatif penyelesaian perkara pidana anak. Kelompok Kerja Peradilan Anak Perserikatan Bangsa-Bangsa (PBB) mendefinisikan </w:t>
      </w:r>
      <w:r w:rsidRPr="00F90F24">
        <w:rPr>
          <w:i/>
        </w:rPr>
        <w:t>Restorative Justice</w:t>
      </w:r>
      <w:r w:rsidRPr="00F90F24">
        <w:t>sebagai suatu proses semua pihak yang berhubungan dengan tindak pidana tertentu duduk bersama-sama untuk memecahkan masalah dan memikirkan bagaimana mengatasi akibat pada masa yang akan datang.</w:t>
      </w:r>
      <w:r w:rsidRPr="00F90F24">
        <w:rPr>
          <w:rStyle w:val="FootnoteReference"/>
        </w:rPr>
        <w:footnoteReference w:id="3"/>
      </w:r>
    </w:p>
    <w:p w:rsidR="00F90F24" w:rsidRPr="00F90F24" w:rsidRDefault="00F90F24" w:rsidP="00F90F24">
      <w:pPr>
        <w:pStyle w:val="NormalWeb"/>
        <w:spacing w:before="0" w:beforeAutospacing="0" w:after="0" w:afterAutospacing="0" w:line="480" w:lineRule="auto"/>
        <w:ind w:firstLine="720"/>
        <w:jc w:val="both"/>
      </w:pPr>
      <w:r w:rsidRPr="00F90F24">
        <w:t xml:space="preserve">Proses ini pada dasarnya dilakukan melalui diskresi (kebijakan) dan diversi, yaitu pengalihan dari proses pengadilan pidana ke luar proses formal untuk diselesaikan secara musyawarah. Penyelesaian melalui musyawarah sebetulnya bukan hal baru bagi Indonesia, bahkan hukum adat di Indonesia tidak membedakan penyelesaian perkara pidana dan perdata, semua perkara dapat diselesaikan secara musyawarah dengan tujuan untuk mendapatkan keseimbangan </w:t>
      </w:r>
      <w:r w:rsidRPr="00F90F24">
        <w:lastRenderedPageBreak/>
        <w:t xml:space="preserve">atau pemulihan keadaan. Dengan menggunakan metode </w:t>
      </w:r>
      <w:r w:rsidRPr="00F90F24">
        <w:rPr>
          <w:i/>
        </w:rPr>
        <w:t>restorative</w:t>
      </w:r>
      <w:r w:rsidRPr="00F90F24">
        <w:t>, hasil yang diharapkan ialah berkurangnya jumlah anak anak yang ditangkap, ditahan dan divonis penjara, menghapuskan stigma dan mengembalikan anak menjadi manusia normal sehingga diharapkan dapat berguna kelak di kemudian hari.Adapun sebagai mediator dalam musyawarah dapat diambil dari tokoh masyarakat yang terpercaya dan jika kejadiannya di sekolah, dapat dilakukan oleh kepala sekolah atau guru.Syarat utama dari penyelesaian melalui musyawarah adalah adanya pengakuan dari pelaku serta adanya persetujuan dari pelaku beserta keluarganya dan korban untuk menyelesaikan perkara melalui muyawarah pemulihan, proses peradilan baru berjalan.</w:t>
      </w:r>
    </w:p>
    <w:p w:rsidR="00F90F24" w:rsidRPr="00F90F24" w:rsidRDefault="00F90F24" w:rsidP="00F90F24">
      <w:pPr>
        <w:pStyle w:val="NormalWeb"/>
        <w:spacing w:before="0" w:beforeAutospacing="0" w:after="0" w:afterAutospacing="0" w:line="480" w:lineRule="auto"/>
        <w:ind w:firstLine="720"/>
        <w:jc w:val="both"/>
      </w:pPr>
      <w:r w:rsidRPr="00F90F24">
        <w:t xml:space="preserve">Dalam proses peradilan harus berjalan proses yang diharapkan adalah proses yang dapat memulihkan, artinya perkara betul betul ditangani oleh aparat penegak huku yang mempunyaai niat, minat, dedikasi, memahami masalah anak dan telah mengikuti pelatihan </w:t>
      </w:r>
      <w:r w:rsidRPr="00F90F24">
        <w:rPr>
          <w:i/>
        </w:rPr>
        <w:t>Restorative Justice</w:t>
      </w:r>
      <w:r w:rsidRPr="00F90F24">
        <w:t xml:space="preserve"> serta penahanan dilakukan sebagai pilihan terakhir dengan mengindahkan prinsip-prinsip dasar dan konvensi tentang hak-hak anak yang telah diadopsi kedalam undang-undang perlindungan anak.</w:t>
      </w:r>
    </w:p>
    <w:p w:rsidR="00F90F24" w:rsidRPr="00F90F24" w:rsidRDefault="00F90F24" w:rsidP="00F90F24">
      <w:pPr>
        <w:pStyle w:val="NormalWeb"/>
        <w:spacing w:before="0" w:beforeAutospacing="0" w:after="0" w:afterAutospacing="0" w:line="480" w:lineRule="auto"/>
        <w:ind w:firstLine="720"/>
        <w:jc w:val="both"/>
      </w:pPr>
      <w:r w:rsidRPr="00F90F24">
        <w:t>Apabila anak terpaksa harus ditahan ,penahanan tersebut harus di Rutan khusus anak, dan apabila terpaksa harus di</w:t>
      </w:r>
      <w:r w:rsidRPr="00F90F24">
        <w:rPr>
          <w:lang w:val="id-ID"/>
        </w:rPr>
        <w:t>tahan</w:t>
      </w:r>
      <w:r w:rsidRPr="00F90F24">
        <w:t xml:space="preserve"> maka harus ditempatkan di Lapas anak. Baik di Rutan maupun di Lapas, anak harus tetap bersekolah dan mendapatkan hak-hak asasinya sesuai dengan </w:t>
      </w:r>
      <w:r w:rsidRPr="00F90F24">
        <w:rPr>
          <w:i/>
        </w:rPr>
        <w:t>The Beijing Rules</w:t>
      </w:r>
      <w:r w:rsidRPr="00F90F24">
        <w:t xml:space="preserve"> agar mereka dapat menyongsong masa depan yang cerah karena pengabaian terhadap hak-hak anak adalah juga pengabaian terhadap masa depan bangsa dan negara. </w:t>
      </w:r>
    </w:p>
    <w:p w:rsidR="00F90F24" w:rsidRPr="00F90F24" w:rsidRDefault="00F90F24" w:rsidP="00F90F24">
      <w:pPr>
        <w:pStyle w:val="NormalWeb"/>
        <w:spacing w:before="0" w:beforeAutospacing="0" w:after="0" w:afterAutospacing="0" w:line="480" w:lineRule="auto"/>
        <w:ind w:left="709"/>
        <w:jc w:val="both"/>
      </w:pPr>
      <w:r w:rsidRPr="00F90F24">
        <w:lastRenderedPageBreak/>
        <w:t xml:space="preserve">Model </w:t>
      </w:r>
      <w:r w:rsidRPr="00F90F24">
        <w:rPr>
          <w:i/>
        </w:rPr>
        <w:t>Restorative Justice</w:t>
      </w:r>
      <w:r w:rsidRPr="00F90F24">
        <w:t xml:space="preserve"> juga berlandaskan dengan </w:t>
      </w:r>
      <w:r w:rsidRPr="00F90F24">
        <w:rPr>
          <w:i/>
        </w:rPr>
        <w:t>due process</w:t>
      </w:r>
      <w:r w:rsidRPr="00F90F24">
        <w:t xml:space="preserve"> model bekerjanya sistem peradilan pidana, yang sangat menghormati hak hak hukum setiap tersangka seperti, hak untuk diduga dan diperlakukannnya sebagai orang yang tidak bersalah jika pengadilan belum memvonisnya bersalah, hak untuk membela diri dan hak untuk mendapatkan hukuman yang proposional dengan pelanggaran yang telah dilakukan. Dalam kasus anak pelaku pelanggaran hukum, mereka berhak mendapatkan pendampingan dari pengacaranya selama menjalani proses peradilan. Disamping itu adanya kepentingan korban yang juga tidak boleh diaabaikan, namun demikian tetap harus memperhatikan hak hak asasi anak sebagai tersangka.Oleh karena itu, anak anak ini sebisa mungkin harus dijauhkan dari tindakan penghukuman sebagaimana yang biasa dilakukan kepada penjahat dewasa.</w:t>
      </w:r>
      <w:r w:rsidRPr="00F90F24">
        <w:rPr>
          <w:rStyle w:val="FootnoteReference"/>
        </w:rPr>
        <w:footnoteReference w:id="4"/>
      </w:r>
    </w:p>
    <w:p w:rsidR="00F90F24" w:rsidRPr="00F90F24" w:rsidRDefault="00F90F24" w:rsidP="00F90F24">
      <w:pPr>
        <w:pStyle w:val="NormalWeb"/>
        <w:spacing w:before="0" w:beforeAutospacing="0" w:after="0" w:afterAutospacing="0" w:line="480" w:lineRule="auto"/>
        <w:ind w:left="426"/>
        <w:jc w:val="both"/>
      </w:pPr>
    </w:p>
    <w:p w:rsidR="00F90F24" w:rsidRPr="00F90F24" w:rsidRDefault="00F90F24" w:rsidP="00F90F24">
      <w:pPr>
        <w:pStyle w:val="NormalWeb"/>
        <w:spacing w:before="0" w:beforeAutospacing="0" w:after="0" w:afterAutospacing="0" w:line="480" w:lineRule="auto"/>
        <w:ind w:firstLine="709"/>
        <w:jc w:val="both"/>
      </w:pPr>
      <w:r w:rsidRPr="00F90F24">
        <w:t xml:space="preserve">Tindakan-tindakan yang dapat diambil anak anak yang telah divonis bersalah ini misalnya, pemberian hukuman bersyarat seperti kerja sosial/ pelayanan sosial serta pembebasan bersyarat. Dengan demikian dengan model </w:t>
      </w:r>
      <w:r w:rsidRPr="00F90F24">
        <w:rPr>
          <w:i/>
        </w:rPr>
        <w:t>Restorative Justice</w:t>
      </w:r>
      <w:r w:rsidRPr="00F90F24">
        <w:t xml:space="preserve">, proposionalitas penghukuman terhadap anak sangat diutamakan. Model ini sangat terlihat dalam ketentuan ketentuan </w:t>
      </w:r>
      <w:r w:rsidRPr="00F90F24">
        <w:rPr>
          <w:i/>
        </w:rPr>
        <w:t>The Beijing Rules</w:t>
      </w:r>
      <w:r w:rsidRPr="00F90F24">
        <w:t xml:space="preserve"> dan dalam peraturan peraturan PBB bagi perlindungan anak yang sebelumnya harus telah dilakukan dengan serius untuk menghindarkan anak anak dari proses hukum gagal dilakukan, anak anak yang berhadapan dengan proses </w:t>
      </w:r>
      <w:r w:rsidRPr="00F90F24">
        <w:lastRenderedPageBreak/>
        <w:t>peradilan harus dilindungi hak haknya sebagai tersangka, dan hak haknya sebagai anak. Misalnya kewenangan polisi untuk memberikan diskresi dapat diberikan untuk kasus kasus seperti apa atau dalam kasus seperti apa jaksa dapat menggunakan kewenangannya untuk mengeluarkan anak. Oleh karena itu, diperlukan aturan yang baku tentang syarat dan pelaksanaan bagi diberikannya perlakuan non formal bagi kasus kasus anak yang berhadapan dengan hukum sehingga praktik praktik negatif dalam sistem peradilan yang merugikan anak dapat dibatasi.</w:t>
      </w:r>
    </w:p>
    <w:p w:rsidR="00F90F24" w:rsidRPr="00F90F24" w:rsidRDefault="00F90F24" w:rsidP="00F90F24">
      <w:pPr>
        <w:pStyle w:val="NormalWeb"/>
        <w:spacing w:before="0" w:beforeAutospacing="0" w:after="0" w:afterAutospacing="0" w:line="480" w:lineRule="auto"/>
        <w:ind w:firstLine="709"/>
        <w:jc w:val="both"/>
      </w:pPr>
      <w:r w:rsidRPr="00F90F24">
        <w:t>Peran pekerja sosial juga harus diberdayakan, termasuk pendampingan bagi anak yang baru menyelesaikan pembinaan di dalam lembaga. Karena dalam pasal 33-35 UU No. 3 Tahun 1997 tentang pengadilan anak dijelaskan tentang ketentuan pekerja sosial dari Departemen Sosial yang berugas membimbing, membantu, dan mengawasi anak nakal yang berdasarkan putusan pengadilan dijatuhi pidana bersyarat, pidana pengawasan, dan pidana denda, diserahkan kepada Negara dan harus mengikuti latihan kerja atau anak yang memperoleh pembebasan bersyarat dari Lapas. Pekerja sosial juga bertugas membantu dan mengawasi anak yang berkonflik dengan hukum yang berdasarkan putusan pengadilan diserahkan kepada Kementerian Sosial untuk mengikuti pendidikan dan pelatihan kerja.</w:t>
      </w:r>
    </w:p>
    <w:p w:rsidR="00F90F24" w:rsidRPr="00F90F24" w:rsidRDefault="00F90F24" w:rsidP="00F90F24">
      <w:pPr>
        <w:pStyle w:val="NormalWeb"/>
        <w:spacing w:before="0" w:beforeAutospacing="0" w:after="0" w:afterAutospacing="0" w:line="480" w:lineRule="auto"/>
        <w:ind w:firstLine="709"/>
        <w:jc w:val="both"/>
      </w:pPr>
      <w:r w:rsidRPr="00F90F24">
        <w:t xml:space="preserve">Dengan demikian kasus anak yang berkonflik dengan hukum yang dibawa dalam proses peradilan adalah kasus kasus yang serius saja, itupun harus selalu mengutamakan prinsip kepentingan terbaik bagi anak, serta proses penghukuman adalah jalan terakhir dengan tetap tidak mengabaikan hak hak anak. Diluar itu </w:t>
      </w:r>
      <w:r w:rsidRPr="00F90F24">
        <w:lastRenderedPageBreak/>
        <w:t xml:space="preserve">kasus kasus anak dapat diselesaikan melalui mekanisme non formal yang didasarkan pada pedoman yang baku. </w:t>
      </w:r>
    </w:p>
    <w:p w:rsidR="00F90F24" w:rsidRPr="00F90F24" w:rsidRDefault="00F90F24" w:rsidP="00F90F24">
      <w:pPr>
        <w:pStyle w:val="NormalWeb"/>
        <w:spacing w:before="0" w:beforeAutospacing="0" w:after="0" w:afterAutospacing="0" w:line="480" w:lineRule="auto"/>
        <w:ind w:firstLine="709"/>
        <w:jc w:val="both"/>
      </w:pPr>
      <w:r w:rsidRPr="00F90F24">
        <w:t xml:space="preserve">Bentuk penanganan non formal dapat dilakukan dengan diversi atau </w:t>
      </w:r>
      <w:r w:rsidRPr="00F90F24">
        <w:rPr>
          <w:i/>
        </w:rPr>
        <w:t>Restorative Justice</w:t>
      </w:r>
      <w:r w:rsidRPr="00F90F24">
        <w:t>yang dapat diselesaikan dengan mewajibkan anak yang berhadapan dengan hukum untuk mengikuti pendidikan atau pelatihan pada lembaga tertentu, ataupun jika terpaksa terjadi penghukuman hak hak anak tidak boleh diabaikan. Sehingga pada akhirnya penanganan nonformal dapat terlaksana dengan baik jika diimbangi dengan upaya menciptakan sistem peradilan yang kondusif.</w:t>
      </w:r>
    </w:p>
    <w:p w:rsidR="00F90F24" w:rsidRPr="00F90F24" w:rsidRDefault="00F90F24" w:rsidP="00A6327B">
      <w:pPr>
        <w:numPr>
          <w:ilvl w:val="0"/>
          <w:numId w:val="12"/>
        </w:numPr>
        <w:spacing w:line="480" w:lineRule="auto"/>
        <w:ind w:left="360"/>
        <w:jc w:val="both"/>
      </w:pPr>
      <w:r w:rsidRPr="00F90F24">
        <w:t xml:space="preserve">Tujuan </w:t>
      </w:r>
      <w:r w:rsidRPr="00F90F24">
        <w:rPr>
          <w:i/>
        </w:rPr>
        <w:t>Restoratif Justice</w:t>
      </w:r>
    </w:p>
    <w:p w:rsidR="00F90F24" w:rsidRPr="00F90F24" w:rsidRDefault="00F90F24" w:rsidP="00F90F24">
      <w:pPr>
        <w:spacing w:line="480" w:lineRule="auto"/>
        <w:ind w:firstLine="709"/>
        <w:jc w:val="both"/>
      </w:pPr>
      <w:r w:rsidRPr="00F90F24">
        <w:rPr>
          <w:lang w:eastAsia="zh-CN"/>
        </w:rPr>
        <w:t>Tujuan dari keadilan restoratif adalah mendorong terciptanya peradilan yang adil dan mendorong para pihak untuk ikut serta didalamnya. Korban merasa bahwa penderitaannya di perhatikan dan kompensasi yang disepakati seimbang dengan penderitaan dan kerugian yang dideritanya. Pelaku tidak mesti mengalami penderitaan untuk dapat menyadari kesalahannya. Justru dengan kesepakatan untum mengerti dan memperbaiki kerusakan yang timbul, kesadaran tersebut dapat diperolehnya. Semenntara bagi masyarakat, adanya jaminan keseimbangan dalam kehidupan dan aspirasi yang ada tersalurkan oleh pemerintah.</w:t>
      </w:r>
      <w:r w:rsidRPr="00F90F24">
        <w:rPr>
          <w:rStyle w:val="FootnoteReference"/>
          <w:lang w:eastAsia="zh-CN"/>
        </w:rPr>
        <w:footnoteReference w:id="5"/>
      </w:r>
    </w:p>
    <w:p w:rsidR="00F90F24" w:rsidRPr="00F90F24" w:rsidRDefault="00F90F24" w:rsidP="00F90F24">
      <w:pPr>
        <w:spacing w:line="480" w:lineRule="auto"/>
        <w:ind w:firstLine="709"/>
        <w:jc w:val="both"/>
        <w:rPr>
          <w:lang w:eastAsia="zh-CN"/>
        </w:rPr>
      </w:pPr>
      <w:r w:rsidRPr="00F90F24">
        <w:rPr>
          <w:lang w:eastAsia="zh-CN"/>
        </w:rPr>
        <w:t xml:space="preserve">Tujuan utama </w:t>
      </w:r>
      <w:r w:rsidRPr="00F90F24">
        <w:rPr>
          <w:i/>
          <w:iCs/>
          <w:lang w:eastAsia="zh-CN"/>
        </w:rPr>
        <w:t>restorative justice</w:t>
      </w:r>
      <w:r w:rsidRPr="00F90F24">
        <w:rPr>
          <w:lang w:eastAsia="zh-CN"/>
        </w:rPr>
        <w:t xml:space="preserve"> adalah memberdayakan korban, dimana pelaku didorong agar memperhatiakan pemulihan. Keadilan restoratif mementingkan terpenuhinya kebutuhan material, emosional, dan sosial sang </w:t>
      </w:r>
      <w:r w:rsidRPr="00F90F24">
        <w:rPr>
          <w:lang w:eastAsia="zh-CN"/>
        </w:rPr>
        <w:lastRenderedPageBreak/>
        <w:t>korban.</w:t>
      </w:r>
      <w:r w:rsidRPr="00F90F24">
        <w:rPr>
          <w:rStyle w:val="FootnoteReference"/>
          <w:lang w:eastAsia="zh-CN"/>
        </w:rPr>
        <w:footnoteReference w:id="6"/>
      </w:r>
      <w:r w:rsidRPr="00F90F24">
        <w:rPr>
          <w:lang w:eastAsia="zh-CN"/>
        </w:rPr>
        <w:t xml:space="preserve"> Keberhasilan keadilan restoratif, diukur oleh sebesar apa kerugian yang telah dipulihkan pelaku, bukan diukur oleh seberat apa pidana yang dijatuhkan hakim. Intinya, sedapat mungkin pelaku dikeluarkan dari proses pidana dan dari penjara. Tapi, seperti yang dikatakan Kent Roach, keadilan restoratif bukan hanya memberikan alternatif bagi penuntutan dan pemenjaraan, melainkan juga meminta tanggungjawab pelaku. Tindakan kriminal dalam keadilan restoratif, ditafsirkan sebagai pelanggaran terhadap hukum dan negara, lagi pula yang dihadapi pelaku adalah korban dan komunitasnya, bukan pemerintah.</w:t>
      </w:r>
    </w:p>
    <w:p w:rsidR="00F90F24" w:rsidRPr="00F90F24" w:rsidRDefault="00F90F24" w:rsidP="00F90F24">
      <w:pPr>
        <w:spacing w:line="480" w:lineRule="auto"/>
        <w:ind w:firstLine="709"/>
        <w:jc w:val="both"/>
      </w:pPr>
      <w:r w:rsidRPr="00F90F24">
        <w:rPr>
          <w:lang w:eastAsia="zh-CN"/>
        </w:rPr>
        <w:t xml:space="preserve">Proses penyelesaian perkara, </w:t>
      </w:r>
      <w:r w:rsidRPr="00F90F24">
        <w:rPr>
          <w:i/>
          <w:iCs/>
          <w:lang w:eastAsia="zh-CN"/>
        </w:rPr>
        <w:t>restorative justice</w:t>
      </w:r>
      <w:r w:rsidRPr="00F90F24">
        <w:rPr>
          <w:lang w:eastAsia="zh-CN"/>
        </w:rPr>
        <w:t xml:space="preserve"> tidak lagi menggunakan cara-cara konvensional yang selama ini digunakan dalam sistem peradilan pidana, yang hanya berfokus pada mencari siapa yang benar dan siapa yang salah, serta mencari hukuman apa yang pantas diberikan kepada pihak yang bersalah tersebut. Sementara dalam penyelesaian perkara melalui </w:t>
      </w:r>
      <w:r w:rsidRPr="00F90F24">
        <w:rPr>
          <w:i/>
          <w:iCs/>
          <w:lang w:eastAsia="zh-CN"/>
        </w:rPr>
        <w:t>restorative justice</w:t>
      </w:r>
      <w:r w:rsidRPr="00F90F24">
        <w:rPr>
          <w:lang w:eastAsia="zh-CN"/>
        </w:rPr>
        <w:t xml:space="preserve"> bukan lagi kedua hal tersebut, yang diinginkan oleh </w:t>
      </w:r>
      <w:r w:rsidRPr="00F90F24">
        <w:rPr>
          <w:i/>
          <w:iCs/>
          <w:lang w:eastAsia="zh-CN"/>
        </w:rPr>
        <w:t>restorative justice</w:t>
      </w:r>
      <w:r w:rsidRPr="00F90F24">
        <w:rPr>
          <w:lang w:eastAsia="zh-CN"/>
        </w:rPr>
        <w:t xml:space="preserve"> adalah sebuah pemulihan terhadap pelaku agar ia tidak lagi melakukan kejahatan, pemulihan turut pula ditujukan kepada korban sebagai pihak yang dirugikan serta hubungan antar korban, pelaku serta masyarakat agar jalannya kehidupan dapat kembali seperti semula.</w:t>
      </w:r>
    </w:p>
    <w:p w:rsidR="00F90F24" w:rsidRPr="00F90F24" w:rsidRDefault="00F90F24" w:rsidP="00A6327B">
      <w:pPr>
        <w:numPr>
          <w:ilvl w:val="0"/>
          <w:numId w:val="14"/>
        </w:numPr>
        <w:tabs>
          <w:tab w:val="clear" w:pos="3829"/>
        </w:tabs>
        <w:spacing w:line="480" w:lineRule="auto"/>
        <w:ind w:left="360"/>
        <w:jc w:val="both"/>
        <w:rPr>
          <w:rFonts w:eastAsia="MS Mincho"/>
        </w:rPr>
      </w:pPr>
      <w:r w:rsidRPr="00F90F24">
        <w:rPr>
          <w:rFonts w:eastAsia="MS Mincho"/>
        </w:rPr>
        <w:t>Gambaran Umum Tentang Anak</w:t>
      </w:r>
    </w:p>
    <w:p w:rsidR="00F90F24" w:rsidRPr="00F90F24" w:rsidRDefault="00F90F24" w:rsidP="00A6327B">
      <w:pPr>
        <w:numPr>
          <w:ilvl w:val="3"/>
          <w:numId w:val="10"/>
        </w:numPr>
        <w:tabs>
          <w:tab w:val="clear" w:pos="2880"/>
          <w:tab w:val="num" w:pos="720"/>
        </w:tabs>
        <w:spacing w:line="480" w:lineRule="auto"/>
        <w:ind w:left="720"/>
        <w:jc w:val="both"/>
        <w:rPr>
          <w:rFonts w:eastAsia="MS Mincho"/>
        </w:rPr>
      </w:pPr>
      <w:r w:rsidRPr="00F90F24">
        <w:rPr>
          <w:rFonts w:eastAsia="MS Mincho"/>
        </w:rPr>
        <w:t>Pengertian Anak</w:t>
      </w:r>
    </w:p>
    <w:p w:rsidR="00F90F24" w:rsidRPr="00F90F24" w:rsidRDefault="00F90F24" w:rsidP="00F90F24">
      <w:pPr>
        <w:pStyle w:val="BodyTextIndent"/>
        <w:spacing w:line="480" w:lineRule="auto"/>
        <w:ind w:firstLine="720"/>
        <w:jc w:val="both"/>
        <w:rPr>
          <w:b w:val="0"/>
          <w:szCs w:val="24"/>
        </w:rPr>
      </w:pPr>
      <w:r w:rsidRPr="00F90F24">
        <w:rPr>
          <w:b w:val="0"/>
          <w:szCs w:val="24"/>
        </w:rPr>
        <w:t xml:space="preserve">Batas usia anak memberikan pengelompokan terhadap seseorang untuk dapat disebut sebagai anak. Yang dimaksud dengan </w:t>
      </w:r>
      <w:r w:rsidRPr="00F90F24">
        <w:rPr>
          <w:b w:val="0"/>
          <w:szCs w:val="24"/>
        </w:rPr>
        <w:lastRenderedPageBreak/>
        <w:t xml:space="preserve">batas usia anak adalah pengelompokan usia maksimum sebagai wujud kemampuan anak dalam status hukum, sehingga anak tersebut beralih status menjadi usia dewasa atau menjadi seorang subjek hukum yang dapat bertanggung jawab secara mandiri terhadap perbuatan-perbuatan dan tindakan-tindakan hukum yang dilakukan anak itu. </w:t>
      </w:r>
    </w:p>
    <w:p w:rsidR="00F90F24" w:rsidRPr="00F90F24" w:rsidRDefault="00F90F24" w:rsidP="00F90F24">
      <w:pPr>
        <w:spacing w:line="480" w:lineRule="auto"/>
        <w:ind w:firstLine="720"/>
        <w:jc w:val="both"/>
        <w:rPr>
          <w:snapToGrid w:val="0"/>
        </w:rPr>
      </w:pPr>
      <w:r w:rsidRPr="00F90F24">
        <w:t>Maulana Hassan Madong</w:t>
      </w:r>
      <w:r w:rsidRPr="00F90F24">
        <w:rPr>
          <w:snapToGrid w:val="0"/>
        </w:rPr>
        <w:t xml:space="preserve">  menyatakan "anak dalam pengertian pidana, lebih diutamakan pemahaman terhadap hak-hak anak yang harus dilindungi, karena secara kodrat memiliki subtansi yang lemah (kurang) dalam sistem hukum dipandang sebagai subjek hukum".</w:t>
      </w:r>
      <w:r w:rsidRPr="00F90F24">
        <w:rPr>
          <w:rStyle w:val="FootnoteReference"/>
          <w:snapToGrid w:val="0"/>
        </w:rPr>
        <w:footnoteReference w:id="7"/>
      </w:r>
    </w:p>
    <w:p w:rsidR="00F90F24" w:rsidRPr="00F90F24" w:rsidRDefault="00F90F24" w:rsidP="00F90F24">
      <w:pPr>
        <w:pStyle w:val="BodyTextIndent"/>
        <w:spacing w:line="480" w:lineRule="auto"/>
        <w:ind w:firstLine="720"/>
        <w:jc w:val="both"/>
        <w:rPr>
          <w:b w:val="0"/>
          <w:szCs w:val="24"/>
        </w:rPr>
      </w:pPr>
      <w:r w:rsidRPr="00F90F24">
        <w:rPr>
          <w:b w:val="0"/>
          <w:szCs w:val="24"/>
        </w:rPr>
        <w:t>Meletakkan batas usia seseorang yang layak dalam pengertian hukum nasional telah dirumuskan ke dalam bangunan-bangunan pengertian yang diletakkan oleh spesifikasi hukum, seperti berikut ini:</w:t>
      </w:r>
    </w:p>
    <w:p w:rsidR="00F90F24" w:rsidRPr="00F90F24" w:rsidRDefault="00F90F24" w:rsidP="00A6327B">
      <w:pPr>
        <w:pStyle w:val="BodyTextIndent"/>
        <w:numPr>
          <w:ilvl w:val="1"/>
          <w:numId w:val="4"/>
        </w:numPr>
        <w:tabs>
          <w:tab w:val="clear" w:pos="1440"/>
          <w:tab w:val="num" w:pos="360"/>
        </w:tabs>
        <w:spacing w:line="480" w:lineRule="auto"/>
        <w:ind w:left="360"/>
        <w:jc w:val="both"/>
        <w:rPr>
          <w:b w:val="0"/>
          <w:snapToGrid w:val="0"/>
          <w:szCs w:val="24"/>
        </w:rPr>
      </w:pPr>
      <w:r w:rsidRPr="00F90F24">
        <w:rPr>
          <w:b w:val="0"/>
          <w:snapToGrid w:val="0"/>
          <w:szCs w:val="24"/>
        </w:rPr>
        <w:t>UU No. 11 Tahun 2012 Tentang Sistem Peradilan Anak</w:t>
      </w:r>
    </w:p>
    <w:p w:rsidR="00F90F24" w:rsidRPr="00F90F24" w:rsidRDefault="00F90F24" w:rsidP="00F90F24">
      <w:pPr>
        <w:pStyle w:val="BodyTextIndent"/>
        <w:spacing w:line="480" w:lineRule="auto"/>
        <w:ind w:firstLine="720"/>
        <w:jc w:val="both"/>
        <w:rPr>
          <w:b w:val="0"/>
          <w:snapToGrid w:val="0"/>
          <w:szCs w:val="24"/>
        </w:rPr>
      </w:pPr>
      <w:r w:rsidRPr="00F90F24">
        <w:rPr>
          <w:b w:val="0"/>
          <w:snapToGrid w:val="0"/>
          <w:szCs w:val="24"/>
        </w:rPr>
        <w:t xml:space="preserve">Menurut </w:t>
      </w:r>
      <w:r w:rsidRPr="00F90F24">
        <w:rPr>
          <w:b w:val="0"/>
          <w:bCs w:val="0"/>
          <w:snapToGrid w:val="0"/>
          <w:szCs w:val="24"/>
        </w:rPr>
        <w:t>Undang-Undang Nomor</w:t>
      </w:r>
      <w:r w:rsidRPr="00F90F24">
        <w:rPr>
          <w:b w:val="0"/>
          <w:szCs w:val="24"/>
        </w:rPr>
        <w:t xml:space="preserve"> 11 Tahun 2012 Tentang </w:t>
      </w:r>
      <w:r w:rsidRPr="00F90F24">
        <w:rPr>
          <w:b w:val="0"/>
          <w:snapToGrid w:val="0"/>
          <w:szCs w:val="24"/>
        </w:rPr>
        <w:t>Sistem Peradilan Pidana Anak disebutkan:</w:t>
      </w:r>
    </w:p>
    <w:p w:rsidR="00F90F24" w:rsidRPr="00F90F24" w:rsidRDefault="00F90F24" w:rsidP="00A6327B">
      <w:pPr>
        <w:numPr>
          <w:ilvl w:val="0"/>
          <w:numId w:val="6"/>
        </w:numPr>
        <w:autoSpaceDE w:val="0"/>
        <w:autoSpaceDN w:val="0"/>
        <w:adjustRightInd w:val="0"/>
        <w:spacing w:line="480" w:lineRule="auto"/>
        <w:ind w:left="714" w:hanging="357"/>
        <w:jc w:val="both"/>
        <w:rPr>
          <w:color w:val="000000"/>
          <w:lang w:eastAsia="zh-CN"/>
        </w:rPr>
      </w:pPr>
      <w:r w:rsidRPr="00F90F24">
        <w:rPr>
          <w:color w:val="000000"/>
          <w:lang w:eastAsia="zh-CN"/>
        </w:rPr>
        <w:t xml:space="preserve">Anak yang Berhadapan dengan Hukum adalah anak yang berkonflik dengan hukum, anak yang menjadi korban tindak pidana, dan anak yang menjadi saksi tindak pidana </w:t>
      </w:r>
    </w:p>
    <w:p w:rsidR="00F90F24" w:rsidRPr="00F90F24" w:rsidRDefault="00F90F24" w:rsidP="00A6327B">
      <w:pPr>
        <w:numPr>
          <w:ilvl w:val="0"/>
          <w:numId w:val="6"/>
        </w:numPr>
        <w:autoSpaceDE w:val="0"/>
        <w:autoSpaceDN w:val="0"/>
        <w:adjustRightInd w:val="0"/>
        <w:spacing w:line="480" w:lineRule="auto"/>
        <w:ind w:left="714" w:hanging="357"/>
        <w:jc w:val="both"/>
        <w:rPr>
          <w:color w:val="000000"/>
          <w:lang w:eastAsia="zh-CN"/>
        </w:rPr>
      </w:pPr>
      <w:r w:rsidRPr="00F90F24">
        <w:rPr>
          <w:color w:val="000000"/>
          <w:lang w:eastAsia="zh-CN"/>
        </w:rPr>
        <w:lastRenderedPageBreak/>
        <w:t xml:space="preserve">Anak yang Berkonflik dengan Hukum yang selanjutnya disebut Anak adalah anak yang telah berumur 12 (dua belas) tahun, tetapi belum berumur 18 (delapan belas) tahun yang diduga melakukan tindak pidana </w:t>
      </w:r>
    </w:p>
    <w:p w:rsidR="00F90F24" w:rsidRPr="00F90F24" w:rsidRDefault="00F90F24" w:rsidP="00A6327B">
      <w:pPr>
        <w:numPr>
          <w:ilvl w:val="0"/>
          <w:numId w:val="6"/>
        </w:numPr>
        <w:autoSpaceDE w:val="0"/>
        <w:autoSpaceDN w:val="0"/>
        <w:adjustRightInd w:val="0"/>
        <w:spacing w:line="480" w:lineRule="auto"/>
        <w:ind w:left="714" w:hanging="357"/>
        <w:jc w:val="both"/>
        <w:rPr>
          <w:color w:val="000000"/>
          <w:lang w:eastAsia="zh-CN"/>
        </w:rPr>
      </w:pPr>
      <w:r w:rsidRPr="00F90F24">
        <w:rPr>
          <w:color w:val="000000"/>
          <w:lang w:eastAsia="zh-CN"/>
        </w:rPr>
        <w:t xml:space="preserve">Anak yang Menjadi Korban Tindak Pidana yang selanjutnya disebut Anak Korban adalah anak yang belum berumur 18 (delapan belas) tahun yang mengalami penderitaan fisik, mental, dan/atau kerugian ekonomi yang disebabkan oleh tindak pidana </w:t>
      </w:r>
    </w:p>
    <w:p w:rsidR="00F90F24" w:rsidRPr="00F90F24" w:rsidRDefault="00F90F24" w:rsidP="00A6327B">
      <w:pPr>
        <w:numPr>
          <w:ilvl w:val="0"/>
          <w:numId w:val="6"/>
        </w:numPr>
        <w:autoSpaceDE w:val="0"/>
        <w:autoSpaceDN w:val="0"/>
        <w:adjustRightInd w:val="0"/>
        <w:spacing w:line="480" w:lineRule="auto"/>
        <w:ind w:left="714" w:hanging="357"/>
        <w:jc w:val="both"/>
        <w:rPr>
          <w:color w:val="000000"/>
          <w:lang w:eastAsia="zh-CN"/>
        </w:rPr>
      </w:pPr>
      <w:r w:rsidRPr="00F90F24">
        <w:rPr>
          <w:color w:val="000000"/>
          <w:lang w:eastAsia="zh-CN"/>
        </w:rPr>
        <w:t xml:space="preserve">Anak yang Menjadi Saksi Tindak Pidana yang selanjutnya disebut Anak Saksi adalah anak yang belum berumur 18 (delapan belas) tahun yang dapat memberikan keterangan guna kepentingan penyidikan, penuntutan, dan pemeriksaan di sidang pengadilan tentang suatu perkara pidana yang didengar, dilihat, dan/atau dialaminya sendiri. </w:t>
      </w:r>
    </w:p>
    <w:p w:rsidR="00F90F24" w:rsidRPr="00F90F24" w:rsidRDefault="00F90F24" w:rsidP="00F90F24">
      <w:pPr>
        <w:autoSpaceDE w:val="0"/>
        <w:autoSpaceDN w:val="0"/>
        <w:adjustRightInd w:val="0"/>
        <w:spacing w:line="480" w:lineRule="auto"/>
        <w:ind w:left="720"/>
        <w:jc w:val="both"/>
        <w:rPr>
          <w:color w:val="000000"/>
          <w:lang w:eastAsia="zh-CN"/>
        </w:rPr>
      </w:pPr>
    </w:p>
    <w:p w:rsidR="00F90F24" w:rsidRPr="00F90F24" w:rsidRDefault="00F90F24" w:rsidP="00A6327B">
      <w:pPr>
        <w:pStyle w:val="BodyTextIndent"/>
        <w:numPr>
          <w:ilvl w:val="1"/>
          <w:numId w:val="4"/>
        </w:numPr>
        <w:tabs>
          <w:tab w:val="clear" w:pos="1440"/>
          <w:tab w:val="num" w:pos="360"/>
        </w:tabs>
        <w:spacing w:line="480" w:lineRule="auto"/>
        <w:ind w:left="360"/>
        <w:jc w:val="both"/>
        <w:rPr>
          <w:b w:val="0"/>
          <w:snapToGrid w:val="0"/>
          <w:szCs w:val="24"/>
        </w:rPr>
      </w:pPr>
      <w:r w:rsidRPr="00F90F24">
        <w:rPr>
          <w:b w:val="0"/>
          <w:snapToGrid w:val="0"/>
          <w:szCs w:val="24"/>
        </w:rPr>
        <w:t>Undang-Undang Nomor 36 Tahun 1999 Tentang HAM</w:t>
      </w:r>
    </w:p>
    <w:p w:rsidR="00F90F24" w:rsidRPr="00F90F24" w:rsidRDefault="00F90F24" w:rsidP="00F90F24">
      <w:pPr>
        <w:pStyle w:val="BodyTextIndent"/>
        <w:spacing w:line="480" w:lineRule="auto"/>
        <w:ind w:firstLine="720"/>
        <w:jc w:val="both"/>
        <w:rPr>
          <w:b w:val="0"/>
          <w:szCs w:val="24"/>
        </w:rPr>
      </w:pPr>
      <w:r w:rsidRPr="00F90F24">
        <w:rPr>
          <w:b w:val="0"/>
          <w:snapToGrid w:val="0"/>
          <w:szCs w:val="24"/>
        </w:rPr>
        <w:t>Pasal 1 Undang-Undang Nomor 36 Tahun 1999 Tentang HAM menyebutkan a</w:t>
      </w:r>
      <w:r w:rsidRPr="00F90F24">
        <w:rPr>
          <w:b w:val="0"/>
          <w:szCs w:val="24"/>
        </w:rPr>
        <w:t>nak adalah setiap manusia yang berusia di bawah 18 (delapan belas) tahun dan belum menikah, termasuk anak yang masih dalam kandungan apabila hal tersebut adalah demi kepentingannya.</w:t>
      </w:r>
    </w:p>
    <w:p w:rsidR="00F90F24" w:rsidRPr="00F90F24" w:rsidRDefault="00F90F24" w:rsidP="00A6327B">
      <w:pPr>
        <w:pStyle w:val="BodyTextIndent"/>
        <w:numPr>
          <w:ilvl w:val="1"/>
          <w:numId w:val="4"/>
        </w:numPr>
        <w:tabs>
          <w:tab w:val="clear" w:pos="1440"/>
          <w:tab w:val="num" w:pos="360"/>
        </w:tabs>
        <w:spacing w:line="480" w:lineRule="auto"/>
        <w:ind w:left="360"/>
        <w:jc w:val="both"/>
        <w:rPr>
          <w:b w:val="0"/>
          <w:snapToGrid w:val="0"/>
          <w:szCs w:val="24"/>
        </w:rPr>
      </w:pPr>
      <w:r w:rsidRPr="00F90F24">
        <w:rPr>
          <w:b w:val="0"/>
          <w:szCs w:val="24"/>
        </w:rPr>
        <w:t>Undang-Undang Nomor 35 Tahun 2004 tentang Perubahan atas Undang-Undang Nomor 23 Tahun 2002 Tentang Perlindungan Anak.</w:t>
      </w:r>
      <w:r w:rsidRPr="00F90F24">
        <w:rPr>
          <w:b w:val="0"/>
          <w:snapToGrid w:val="0"/>
          <w:szCs w:val="24"/>
        </w:rPr>
        <w:t>.</w:t>
      </w:r>
    </w:p>
    <w:p w:rsidR="00F90F24" w:rsidRPr="00F90F24" w:rsidRDefault="00F90F24" w:rsidP="00F90F24">
      <w:pPr>
        <w:pStyle w:val="BodyTextIndent"/>
        <w:spacing w:line="480" w:lineRule="auto"/>
        <w:ind w:firstLine="709"/>
        <w:jc w:val="both"/>
        <w:rPr>
          <w:b w:val="0"/>
          <w:color w:val="000000"/>
          <w:szCs w:val="24"/>
        </w:rPr>
      </w:pPr>
      <w:r w:rsidRPr="00F90F24">
        <w:rPr>
          <w:b w:val="0"/>
          <w:snapToGrid w:val="0"/>
          <w:szCs w:val="24"/>
        </w:rPr>
        <w:lastRenderedPageBreak/>
        <w:t xml:space="preserve">Menurut </w:t>
      </w:r>
      <w:r w:rsidRPr="00F90F24">
        <w:rPr>
          <w:b w:val="0"/>
          <w:szCs w:val="24"/>
        </w:rPr>
        <w:t xml:space="preserve">Undang-Undang Nomor 35 Tahun 2004 tentang Perubahan atas Undang-Undang Nomor 23 Tahun 2002 Tentang Perlindungan Anak, </w:t>
      </w:r>
      <w:r w:rsidRPr="00F90F24">
        <w:rPr>
          <w:b w:val="0"/>
          <w:snapToGrid w:val="0"/>
          <w:szCs w:val="24"/>
        </w:rPr>
        <w:t>bahwa a</w:t>
      </w:r>
      <w:r w:rsidRPr="00F90F24">
        <w:rPr>
          <w:b w:val="0"/>
          <w:color w:val="000000"/>
          <w:szCs w:val="24"/>
        </w:rPr>
        <w:t>nak adalah seseorang yang belum berusia 18 (delapan belas) tahun, termasuk anak yang masih dalam kandungan.</w:t>
      </w:r>
    </w:p>
    <w:p w:rsidR="00F90F24" w:rsidRPr="00F90F24" w:rsidRDefault="00F90F24" w:rsidP="00F90F24">
      <w:pPr>
        <w:pStyle w:val="BodyTextIndent"/>
        <w:spacing w:line="480" w:lineRule="auto"/>
        <w:ind w:firstLine="709"/>
        <w:jc w:val="both"/>
        <w:rPr>
          <w:b w:val="0"/>
          <w:color w:val="000000"/>
          <w:szCs w:val="24"/>
        </w:rPr>
      </w:pPr>
      <w:r w:rsidRPr="00F90F24">
        <w:rPr>
          <w:b w:val="0"/>
          <w:color w:val="000000"/>
          <w:szCs w:val="24"/>
        </w:rPr>
        <w:t xml:space="preserve">Penjelasan </w:t>
      </w:r>
      <w:r w:rsidRPr="00F90F24">
        <w:rPr>
          <w:b w:val="0"/>
          <w:szCs w:val="24"/>
        </w:rPr>
        <w:t>Undang-Undang Nomor 35 Tahun 2004 tentang Perubahan atas Undang-Undang Nomor 23 Tahun 2002 Tentang Perlindungan Anak</w:t>
      </w:r>
      <w:r w:rsidRPr="00F90F24">
        <w:rPr>
          <w:b w:val="0"/>
          <w:snapToGrid w:val="0"/>
          <w:szCs w:val="24"/>
        </w:rPr>
        <w:t xml:space="preserve"> menyebutkan bahwa a</w:t>
      </w:r>
      <w:r w:rsidRPr="00F90F24">
        <w:rPr>
          <w:b w:val="0"/>
          <w:color w:val="000000"/>
          <w:szCs w:val="24"/>
        </w:rPr>
        <w:t xml:space="preserve">nak adalah amanah sekaligus karunia Tuhan Yang Maha Esa, yang senantiasa harus kita jaga karena dalam dirinya melekat harkat, martabat, dan hak-hak sebagai manusia yang harus dijunjung tinggi. Hak asasi anak merupakan bagian dari hak asasi manusia yang termuat dalam Undang-Undang Dasar 1945 dan Konvensi Perserikatan Bangsa-Bangsa tentang Hak-Hak Anak. Dari sisi kehidupan berbangsa dan bernegara, anak adalah masa depan bangsa dan generasi penerus cita-cita bangsa, sehingga setiap anak berhak atas kelangsungan hidup, tumbuh, dan berkembang, berpartisipasi serta berhak atas perlindungan dari tindak kekerasan dan diskriminasi serta hak sipil dan kebebasan. </w:t>
      </w:r>
    </w:p>
    <w:p w:rsidR="00F90F24" w:rsidRPr="00F90F24" w:rsidRDefault="00F90F24" w:rsidP="00A6327B">
      <w:pPr>
        <w:pStyle w:val="BodyTextIndent"/>
        <w:numPr>
          <w:ilvl w:val="0"/>
          <w:numId w:val="4"/>
        </w:numPr>
        <w:tabs>
          <w:tab w:val="clear" w:pos="720"/>
          <w:tab w:val="right" w:pos="0"/>
          <w:tab w:val="num" w:pos="360"/>
        </w:tabs>
        <w:spacing w:line="480" w:lineRule="auto"/>
        <w:ind w:left="360"/>
        <w:jc w:val="both"/>
        <w:rPr>
          <w:b w:val="0"/>
          <w:color w:val="000000"/>
          <w:szCs w:val="24"/>
        </w:rPr>
      </w:pPr>
      <w:r w:rsidRPr="00F90F24">
        <w:rPr>
          <w:b w:val="0"/>
          <w:color w:val="000000"/>
          <w:szCs w:val="24"/>
        </w:rPr>
        <w:t>Perlindungan Hukum Terhadap Anak</w:t>
      </w:r>
    </w:p>
    <w:p w:rsidR="00F90F24" w:rsidRPr="00F90F24" w:rsidRDefault="00F90F24" w:rsidP="00F90F24">
      <w:pPr>
        <w:pStyle w:val="BodyTextIndent"/>
        <w:spacing w:line="480" w:lineRule="auto"/>
        <w:ind w:firstLine="720"/>
        <w:jc w:val="both"/>
        <w:rPr>
          <w:b w:val="0"/>
          <w:szCs w:val="24"/>
        </w:rPr>
      </w:pPr>
      <w:r w:rsidRPr="00F90F24">
        <w:rPr>
          <w:b w:val="0"/>
          <w:szCs w:val="24"/>
        </w:rPr>
        <w:lastRenderedPageBreak/>
        <w:t>Anak yang berkonflik dengan hukum harus mendapat perlindungan. Perlindungan khusus bagi anak yang berhadapan dengan hukum sebagaimana dimaksud dalam Pasal 59 Undang-Undang Nomor 35 Tahun 2004 tentang Perubahan atas Undang-Undang Nomor 23 Tahun 2002 Tentang Perlindungan Anak meliputi anak yang berkonflik dengan hukum dan anak korban tindak pidana, merupakan kewajiban dan tanggung jawab pemerintah dan masyarakat.</w:t>
      </w:r>
    </w:p>
    <w:p w:rsidR="00F90F24" w:rsidRPr="00F90F24" w:rsidRDefault="00F90F24" w:rsidP="00F90F24">
      <w:pPr>
        <w:pStyle w:val="BodyTextIndent"/>
        <w:spacing w:line="480" w:lineRule="auto"/>
        <w:ind w:firstLine="720"/>
        <w:jc w:val="both"/>
        <w:rPr>
          <w:b w:val="0"/>
          <w:szCs w:val="24"/>
        </w:rPr>
      </w:pPr>
      <w:r w:rsidRPr="00F90F24">
        <w:rPr>
          <w:b w:val="0"/>
          <w:szCs w:val="24"/>
        </w:rPr>
        <w:t>Perlindungan khusus bagi anak yang berhadapan dengan hukum dilaksanakan melalui:</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t>Perlakuan atas anak secara manusiawi sesuai dengan martabat dan hak-hak anak.</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t>Penyediaan petugas pendamping khusus anak sejak dini</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t>Penyediaan sarana dan prasarana khusus</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t>Penjatuhan sanksi yang tepat untuk kepentingan yang terbaik bagi anak</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t>Pemantauan dan pencatatan terus menerus terhadap perkembangan anak yang berhadapan dengan hukum</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t>Pemberian jaminan untuk mempertahankan hubungan dengan orang tua atau keluarga</w:t>
      </w:r>
    </w:p>
    <w:p w:rsidR="00F90F24" w:rsidRPr="00F90F24" w:rsidRDefault="00F90F24" w:rsidP="00A6327B">
      <w:pPr>
        <w:pStyle w:val="BodyTextIndent"/>
        <w:numPr>
          <w:ilvl w:val="2"/>
          <w:numId w:val="2"/>
        </w:numPr>
        <w:spacing w:line="480" w:lineRule="auto"/>
        <w:ind w:left="1134"/>
        <w:jc w:val="both"/>
        <w:rPr>
          <w:b w:val="0"/>
          <w:szCs w:val="24"/>
        </w:rPr>
      </w:pPr>
      <w:r w:rsidRPr="00F90F24">
        <w:rPr>
          <w:b w:val="0"/>
          <w:szCs w:val="24"/>
        </w:rPr>
        <w:lastRenderedPageBreak/>
        <w:t>Perlindungan dari pemberitaan identitas melalui media massa dan untuk menghindari labelisasi.</w:t>
      </w:r>
      <w:r w:rsidRPr="00F90F24">
        <w:rPr>
          <w:rStyle w:val="FootnoteReference"/>
          <w:b w:val="0"/>
        </w:rPr>
        <w:footnoteReference w:id="8"/>
      </w:r>
    </w:p>
    <w:p w:rsidR="00F90F24" w:rsidRPr="00F90F24" w:rsidRDefault="00F90F24" w:rsidP="00F90F24">
      <w:pPr>
        <w:pStyle w:val="BodyTextIndent"/>
        <w:tabs>
          <w:tab w:val="num" w:pos="1134"/>
        </w:tabs>
        <w:spacing w:line="480" w:lineRule="auto"/>
        <w:ind w:left="1134"/>
        <w:jc w:val="both"/>
        <w:rPr>
          <w:b w:val="0"/>
          <w:szCs w:val="24"/>
        </w:rPr>
      </w:pPr>
    </w:p>
    <w:p w:rsidR="00F90F24" w:rsidRPr="00F90F24" w:rsidRDefault="00F90F24" w:rsidP="00F90F24">
      <w:pPr>
        <w:spacing w:line="480" w:lineRule="auto"/>
        <w:ind w:firstLine="720"/>
        <w:jc w:val="both"/>
      </w:pPr>
      <w:r w:rsidRPr="00F90F24">
        <w:t>Beberapa penjabaran mengenai pentingnya suatu perlindungan hukum terhadap anak, menyatakan bahwa yang dimaksud dengan perlindungan anak:</w:t>
      </w:r>
    </w:p>
    <w:p w:rsidR="00F90F24" w:rsidRPr="00F90F24" w:rsidRDefault="00F90F24" w:rsidP="00A6327B">
      <w:pPr>
        <w:numPr>
          <w:ilvl w:val="0"/>
          <w:numId w:val="3"/>
        </w:numPr>
        <w:tabs>
          <w:tab w:val="clear" w:pos="720"/>
          <w:tab w:val="left" w:pos="1134"/>
        </w:tabs>
        <w:spacing w:line="480" w:lineRule="auto"/>
        <w:ind w:left="1134"/>
        <w:jc w:val="both"/>
      </w:pPr>
      <w:r w:rsidRPr="00F90F24">
        <w:t>Suatu perwujudan adanya keadilan dalam suatu masyarakat. Keadilan ini merupakan keadilan sosial yang merupakan dasar utama perlindungan anak.</w:t>
      </w:r>
    </w:p>
    <w:p w:rsidR="00F90F24" w:rsidRPr="00F90F24" w:rsidRDefault="00F90F24" w:rsidP="00A6327B">
      <w:pPr>
        <w:numPr>
          <w:ilvl w:val="0"/>
          <w:numId w:val="3"/>
        </w:numPr>
        <w:tabs>
          <w:tab w:val="clear" w:pos="720"/>
          <w:tab w:val="num" w:pos="1134"/>
        </w:tabs>
        <w:spacing w:line="480" w:lineRule="auto"/>
        <w:ind w:left="1134" w:hanging="357"/>
        <w:jc w:val="both"/>
      </w:pPr>
      <w:r w:rsidRPr="00F90F24">
        <w:t>Suatu usaha bersama melindungi anak untuk melaksanakan hak dan kewajibannya secara manusiawi dan positif.</w:t>
      </w:r>
    </w:p>
    <w:p w:rsidR="00F90F24" w:rsidRPr="00F90F24" w:rsidRDefault="00F90F24" w:rsidP="00A6327B">
      <w:pPr>
        <w:numPr>
          <w:ilvl w:val="0"/>
          <w:numId w:val="3"/>
        </w:numPr>
        <w:tabs>
          <w:tab w:val="clear" w:pos="720"/>
          <w:tab w:val="num" w:pos="1134"/>
        </w:tabs>
        <w:spacing w:line="480" w:lineRule="auto"/>
        <w:ind w:left="1134" w:hanging="357"/>
        <w:jc w:val="both"/>
      </w:pPr>
      <w:r w:rsidRPr="00F90F24">
        <w:t>Suatu permasalahan manusia yang merupakan kenyataan sosial.</w:t>
      </w:r>
    </w:p>
    <w:p w:rsidR="00F90F24" w:rsidRPr="00F90F24" w:rsidRDefault="00F90F24" w:rsidP="00A6327B">
      <w:pPr>
        <w:numPr>
          <w:ilvl w:val="0"/>
          <w:numId w:val="3"/>
        </w:numPr>
        <w:tabs>
          <w:tab w:val="clear" w:pos="720"/>
          <w:tab w:val="num" w:pos="1134"/>
        </w:tabs>
        <w:spacing w:line="480" w:lineRule="auto"/>
        <w:ind w:left="1134" w:hanging="357"/>
        <w:jc w:val="both"/>
      </w:pPr>
      <w:r w:rsidRPr="00F90F24">
        <w:t>Suatu hasil interaksi antara pihak-pihak tertentu, sebagai akibat adanya interrelasi antara fenomena yang ada dan saling mempengaruhinya.</w:t>
      </w:r>
    </w:p>
    <w:p w:rsidR="00F90F24" w:rsidRPr="00F90F24" w:rsidRDefault="00F90F24" w:rsidP="00A6327B">
      <w:pPr>
        <w:numPr>
          <w:ilvl w:val="0"/>
          <w:numId w:val="3"/>
        </w:numPr>
        <w:tabs>
          <w:tab w:val="clear" w:pos="720"/>
          <w:tab w:val="num" w:pos="1134"/>
        </w:tabs>
        <w:spacing w:line="480" w:lineRule="auto"/>
        <w:ind w:left="1134" w:hanging="357"/>
        <w:jc w:val="both"/>
      </w:pPr>
      <w:r w:rsidRPr="00F90F24">
        <w:t>Suatu tindakan individu yang dipengaruhi oleh unsur-unsur sosial tertentu atau masyarakat tertentu. Seperti kepentingan yang dapat menjadi motivasi, lembaga-lembaga sosial (keluarga, sekolah, pesantren, pemerintah dan sebagainya), nilai-nilai sosial, norma (hukum), status peran dan sebagainya.</w:t>
      </w:r>
    </w:p>
    <w:p w:rsidR="00F90F24" w:rsidRPr="00F90F24" w:rsidRDefault="00F90F24" w:rsidP="00A6327B">
      <w:pPr>
        <w:numPr>
          <w:ilvl w:val="0"/>
          <w:numId w:val="3"/>
        </w:numPr>
        <w:tabs>
          <w:tab w:val="clear" w:pos="720"/>
          <w:tab w:val="num" w:pos="1134"/>
        </w:tabs>
        <w:spacing w:line="480" w:lineRule="auto"/>
        <w:ind w:left="1134"/>
        <w:jc w:val="both"/>
      </w:pPr>
      <w:r w:rsidRPr="00F90F24">
        <w:t xml:space="preserve">Dapat merupakan suatu tindakan hukum (yuridis) yang dapat mempunyai akibat hukum yang harus diselesaikan dengan berpedoman dan berdasarkan hukum. Perlu adanya pengaturan </w:t>
      </w:r>
      <w:r w:rsidRPr="00F90F24">
        <w:lastRenderedPageBreak/>
        <w:t>berdasarkan hukum untuk mencegah dan menindak pelaksanaan perlindungan anak yang menimbulkan penderitaan mental, fisik dan sosial bagi anak yang bersangkutan.</w:t>
      </w:r>
    </w:p>
    <w:p w:rsidR="00F90F24" w:rsidRPr="00F90F24" w:rsidRDefault="00F90F24" w:rsidP="00A6327B">
      <w:pPr>
        <w:numPr>
          <w:ilvl w:val="0"/>
          <w:numId w:val="3"/>
        </w:numPr>
        <w:tabs>
          <w:tab w:val="clear" w:pos="720"/>
          <w:tab w:val="num" w:pos="1134"/>
        </w:tabs>
        <w:spacing w:line="480" w:lineRule="auto"/>
        <w:ind w:left="1134"/>
        <w:jc w:val="both"/>
      </w:pPr>
      <w:r w:rsidRPr="00F90F24">
        <w:t>Harus diusahakan dalam berbagai bidang penghidupan dan  kehidupan berkeluarga, masyarakat, bernegara dan berbangsa.</w:t>
      </w:r>
    </w:p>
    <w:p w:rsidR="00F90F24" w:rsidRPr="00F90F24" w:rsidRDefault="00F90F24" w:rsidP="00A6327B">
      <w:pPr>
        <w:numPr>
          <w:ilvl w:val="0"/>
          <w:numId w:val="3"/>
        </w:numPr>
        <w:tabs>
          <w:tab w:val="clear" w:pos="720"/>
          <w:tab w:val="num" w:pos="1134"/>
        </w:tabs>
        <w:spacing w:line="480" w:lineRule="auto"/>
        <w:ind w:left="1134"/>
        <w:jc w:val="both"/>
      </w:pPr>
      <w:r w:rsidRPr="00F90F24">
        <w:t>Merupakan suatu bidang pembangunan hukum nasional. Mengabaikan masalah perlindungan anak akan mengganggu pembangunan nasional serta kesejahteraan rakyat maupun anak. Ikut serta dalam pembangunan nasional adalah hak dan kewajiban setiap warga negara.</w:t>
      </w:r>
    </w:p>
    <w:p w:rsidR="00F90F24" w:rsidRPr="00F90F24" w:rsidRDefault="00F90F24" w:rsidP="00A6327B">
      <w:pPr>
        <w:numPr>
          <w:ilvl w:val="0"/>
          <w:numId w:val="3"/>
        </w:numPr>
        <w:tabs>
          <w:tab w:val="clear" w:pos="720"/>
          <w:tab w:val="num" w:pos="1134"/>
        </w:tabs>
        <w:spacing w:line="480" w:lineRule="auto"/>
        <w:ind w:left="1134"/>
        <w:jc w:val="both"/>
      </w:pPr>
      <w:r w:rsidRPr="00F90F24">
        <w:t xml:space="preserve">Merupakan bidang pelayanan sukarela </w:t>
      </w:r>
      <w:r w:rsidRPr="00F90F24">
        <w:rPr>
          <w:i/>
        </w:rPr>
        <w:t>(voluntarisme)</w:t>
      </w:r>
      <w:r w:rsidRPr="00F90F24">
        <w:t xml:space="preserve"> yang luas lingkupnya dengan gaya baru (inovatif, inkonvensional).</w:t>
      </w:r>
      <w:r w:rsidRPr="00F90F24">
        <w:rPr>
          <w:rStyle w:val="FootnoteReference"/>
        </w:rPr>
        <w:footnoteReference w:id="9"/>
      </w:r>
    </w:p>
    <w:p w:rsidR="00F90F24" w:rsidRPr="00F90F24" w:rsidRDefault="00F90F24" w:rsidP="00F90F24">
      <w:pPr>
        <w:spacing w:line="480" w:lineRule="auto"/>
        <w:ind w:left="1134"/>
        <w:jc w:val="both"/>
      </w:pPr>
    </w:p>
    <w:p w:rsidR="00F90F24" w:rsidRPr="00F90F24" w:rsidRDefault="00F90F24" w:rsidP="00F90F24">
      <w:pPr>
        <w:pStyle w:val="BodyText"/>
        <w:spacing w:after="0" w:line="480" w:lineRule="auto"/>
        <w:ind w:firstLine="720"/>
        <w:jc w:val="both"/>
      </w:pPr>
      <w:r w:rsidRPr="00F90F24">
        <w:t>Berpedoman dari konsep perlindungan anak di atas maka dalam penanganan anak sebagai saksi korban dalam proses penyelidikan perkara pidana perkosaan, selayaknyalah mendapat suatu perlindungan khusus, karena selama ini belum adanya perlindungan hukum terhadap saksi korban perkosaan itu sendiri. Untuk itu perlu adanya infrastruktur dan sistem pelaporan yang komprehensif yang baik dan team terpadu yang melibatkan kepolisian, dokter, pekerja sosial, tokoh masyarakat, psikolog dan pihak terkait lain untuk melakukan penanganan perlindungan tersebut.</w:t>
      </w:r>
    </w:p>
    <w:p w:rsidR="00F90F24" w:rsidRPr="00F90F24" w:rsidRDefault="00F90F24" w:rsidP="00F90F24">
      <w:pPr>
        <w:spacing w:line="480" w:lineRule="auto"/>
        <w:ind w:firstLine="720"/>
        <w:jc w:val="both"/>
      </w:pPr>
      <w:r w:rsidRPr="00F90F24">
        <w:t xml:space="preserve">Perlindungan anak dilihat dari segi pembinaan generasi muda yang merupakan bagian integral dari pembangunan nasional dan juga menjadi sarana </w:t>
      </w:r>
      <w:r w:rsidRPr="00F90F24">
        <w:lastRenderedPageBreak/>
        <w:t>guna tercapainya tujuan pembangunan nasional, yaitu masyarakat adil dan makmur serta aman dan sentosa berdasarkan Pancasila dan Undang-Undang Dasar 1945 dengan wadah negara kesatuan republik indonesia dalam ketertiban pergaulan internasional yang damai, adil dan merdeka.</w:t>
      </w:r>
    </w:p>
    <w:p w:rsidR="00F90F24" w:rsidRPr="00F90F24" w:rsidRDefault="00F90F24" w:rsidP="00F90F24">
      <w:pPr>
        <w:pStyle w:val="BodyTextIndent"/>
        <w:spacing w:line="480" w:lineRule="auto"/>
        <w:ind w:left="709"/>
        <w:jc w:val="both"/>
        <w:rPr>
          <w:b w:val="0"/>
          <w:szCs w:val="24"/>
        </w:rPr>
      </w:pPr>
      <w:r w:rsidRPr="00F90F24">
        <w:rPr>
          <w:b w:val="0"/>
          <w:szCs w:val="24"/>
        </w:rPr>
        <w:t>Perlindungan anak adalah segala usaha yang dilakukan untuk menciptakan kondisi agar setiap anak dapat melaksanakan hak dan kewajibannya demi perkembangan dan pertumbuhan anak secara wajar baik fisik, mental dan sosial. Perlindungan anak merupakan perwujudan adanya keadilan dalam suatu masyarakat. Dengan demikian perlindungan anak diusahakan dalam berbagai bidang kehidupan bernegara dan bermasyarakat. Kegiatan perlindungan anak membawa akibat hukum, baik dalam kaitannya dengan hukum tertulis maupun hukum tidak tertulis. Hukum merupakan jaminan bagi perlindungan anak.</w:t>
      </w:r>
      <w:r w:rsidRPr="00F90F24">
        <w:rPr>
          <w:rStyle w:val="FootnoteReference"/>
          <w:b w:val="0"/>
        </w:rPr>
        <w:footnoteReference w:id="10"/>
      </w:r>
    </w:p>
    <w:p w:rsidR="00F90F24" w:rsidRPr="00F90F24" w:rsidRDefault="00F90F24" w:rsidP="00F90F24">
      <w:pPr>
        <w:pStyle w:val="BodyTextIndent"/>
        <w:spacing w:line="480" w:lineRule="auto"/>
        <w:ind w:left="709"/>
        <w:jc w:val="both"/>
        <w:rPr>
          <w:b w:val="0"/>
          <w:szCs w:val="24"/>
          <w:vertAlign w:val="superscript"/>
        </w:rPr>
      </w:pPr>
    </w:p>
    <w:p w:rsidR="00F90F24" w:rsidRPr="00F90F24" w:rsidRDefault="00F90F24" w:rsidP="00F90F24">
      <w:pPr>
        <w:spacing w:line="480" w:lineRule="auto"/>
        <w:ind w:firstLine="720"/>
        <w:jc w:val="both"/>
      </w:pPr>
      <w:r w:rsidRPr="00F90F24">
        <w:t xml:space="preserve">Perlindungan anak menyangkut pula aspek pembinaan generasi muda dan masalah nasional yang memerlukan penataan dalam suatu sistem terpadu dan terkoordinasi dengan baik. Perlindungan hak asasi anak adalah meletakkan hak anak ke dalam status sosial anak dalam kehidupan masyarakat, sebagai bentuk perlindungan terhadap kepentingan-kepentingan anak yang mengalami masalah sosial. Perlindungan dapat diberikan pada hak-hak dalam berbagai cara. Proses </w:t>
      </w:r>
      <w:r w:rsidRPr="00F90F24">
        <w:lastRenderedPageBreak/>
        <w:t>perlindungan anak dimaksud sebagai proses pendidikan terhadap ketidakpahaman dan ketidakmampuan anak dalam melakukan suatu tugas-tugas sosial kemasyarakatan. Perlindungan hak asasi anak dapat diberikan dengan cara yang sistematis, melalui serangkaian program, stimulasi. Pendidikan, bimbingan, permainan dan dapat juga diberikan melalui bantuan hukum.</w:t>
      </w:r>
    </w:p>
    <w:p w:rsidR="00F90F24" w:rsidRPr="00F90F24" w:rsidRDefault="00F90F24" w:rsidP="00F90F24">
      <w:pPr>
        <w:spacing w:line="480" w:lineRule="auto"/>
        <w:ind w:firstLine="748"/>
        <w:jc w:val="both"/>
      </w:pPr>
      <w:r w:rsidRPr="00F90F24">
        <w:t>Maulana Hassan Madong menyebutkan bahwa perlindungan anak dapat dibedakan dalam dua pengertian yaitu :</w:t>
      </w:r>
    </w:p>
    <w:p w:rsidR="00F90F24" w:rsidRPr="00F90F24" w:rsidRDefault="00F90F24" w:rsidP="00A6327B">
      <w:pPr>
        <w:numPr>
          <w:ilvl w:val="1"/>
          <w:numId w:val="14"/>
        </w:numPr>
        <w:spacing w:line="480" w:lineRule="auto"/>
        <w:ind w:left="1108"/>
        <w:jc w:val="both"/>
      </w:pPr>
      <w:r w:rsidRPr="00F90F24">
        <w:t>Perlindungan yang bersifat yuridis, meliputi perlindungan:</w:t>
      </w:r>
    </w:p>
    <w:p w:rsidR="00F90F24" w:rsidRPr="00F90F24" w:rsidRDefault="00F90F24" w:rsidP="00A6327B">
      <w:pPr>
        <w:numPr>
          <w:ilvl w:val="1"/>
          <w:numId w:val="5"/>
        </w:numPr>
        <w:spacing w:line="480" w:lineRule="auto"/>
        <w:jc w:val="both"/>
      </w:pPr>
      <w:r w:rsidRPr="00F90F24">
        <w:t>Bidang hukum publik (pidana)</w:t>
      </w:r>
    </w:p>
    <w:p w:rsidR="00F90F24" w:rsidRPr="00F90F24" w:rsidRDefault="00F90F24" w:rsidP="00A6327B">
      <w:pPr>
        <w:numPr>
          <w:ilvl w:val="1"/>
          <w:numId w:val="5"/>
        </w:numPr>
        <w:spacing w:line="480" w:lineRule="auto"/>
        <w:jc w:val="both"/>
      </w:pPr>
      <w:r w:rsidRPr="00F90F24">
        <w:t>Bidang hukum keperdataan (perdata)</w:t>
      </w:r>
    </w:p>
    <w:p w:rsidR="00F90F24" w:rsidRPr="00F90F24" w:rsidRDefault="00F90F24" w:rsidP="00A6327B">
      <w:pPr>
        <w:numPr>
          <w:ilvl w:val="1"/>
          <w:numId w:val="14"/>
        </w:numPr>
        <w:spacing w:line="480" w:lineRule="auto"/>
        <w:ind w:left="1080"/>
        <w:jc w:val="both"/>
      </w:pPr>
      <w:r w:rsidRPr="00F90F24">
        <w:t>Perlindungan yang bersifat non yuridis yang meliputi :</w:t>
      </w:r>
    </w:p>
    <w:p w:rsidR="00F90F24" w:rsidRPr="00F90F24" w:rsidRDefault="00F90F24" w:rsidP="00A6327B">
      <w:pPr>
        <w:numPr>
          <w:ilvl w:val="0"/>
          <w:numId w:val="7"/>
        </w:numPr>
        <w:spacing w:line="480" w:lineRule="auto"/>
        <w:jc w:val="both"/>
      </w:pPr>
      <w:r w:rsidRPr="00F90F24">
        <w:t>Bidang sosial</w:t>
      </w:r>
    </w:p>
    <w:p w:rsidR="00F90F24" w:rsidRPr="00F90F24" w:rsidRDefault="00F90F24" w:rsidP="00A6327B">
      <w:pPr>
        <w:numPr>
          <w:ilvl w:val="0"/>
          <w:numId w:val="7"/>
        </w:numPr>
        <w:spacing w:line="480" w:lineRule="auto"/>
        <w:jc w:val="both"/>
      </w:pPr>
      <w:r w:rsidRPr="00F90F24">
        <w:t>Bidang kesehatan</w:t>
      </w:r>
    </w:p>
    <w:p w:rsidR="00F90F24" w:rsidRPr="00F90F24" w:rsidRDefault="00F90F24" w:rsidP="00A6327B">
      <w:pPr>
        <w:numPr>
          <w:ilvl w:val="0"/>
          <w:numId w:val="7"/>
        </w:numPr>
        <w:spacing w:line="480" w:lineRule="auto"/>
        <w:jc w:val="both"/>
      </w:pPr>
      <w:r w:rsidRPr="00F90F24">
        <w:t>Bidang pendidikan.</w:t>
      </w:r>
      <w:r w:rsidRPr="00F90F24">
        <w:rPr>
          <w:rStyle w:val="FootnoteReference"/>
        </w:rPr>
        <w:footnoteReference w:id="11"/>
      </w:r>
    </w:p>
    <w:p w:rsidR="00F90F24" w:rsidRPr="00F90F24" w:rsidRDefault="00F90F24" w:rsidP="00F90F24">
      <w:pPr>
        <w:spacing w:line="480" w:lineRule="auto"/>
        <w:ind w:left="1108"/>
        <w:jc w:val="both"/>
      </w:pPr>
    </w:p>
    <w:p w:rsidR="00F90F24" w:rsidRPr="00F90F24" w:rsidRDefault="00F90F24" w:rsidP="00F90F24">
      <w:pPr>
        <w:spacing w:line="480" w:lineRule="auto"/>
        <w:ind w:firstLine="748"/>
        <w:jc w:val="both"/>
      </w:pPr>
      <w:r w:rsidRPr="00F90F24">
        <w:t>Menurut Shanty Dellyana bahwa perlindungan anak adalah “suatu usaha yang mengadakan kondisi dimana setiap anak dapat melaksanakan hak dan kewajibannya. Adapun perlindungan anak ini merupakan perwujudan adanya keadilan dalam suatu masyarakat”.</w:t>
      </w:r>
      <w:r w:rsidRPr="00F90F24">
        <w:rPr>
          <w:rStyle w:val="FootnoteReference"/>
        </w:rPr>
        <w:footnoteReference w:id="12"/>
      </w:r>
      <w:r w:rsidRPr="00F90F24">
        <w:t xml:space="preserve"> Dengan demikian maka perlindungan anak harus diusahakan dalam berbagai bidang kehidupan bernegara dan bermasyarakat.</w:t>
      </w:r>
    </w:p>
    <w:p w:rsidR="00F90F24" w:rsidRPr="00F90F24" w:rsidRDefault="00F90F24" w:rsidP="00F90F24">
      <w:pPr>
        <w:spacing w:line="480" w:lineRule="auto"/>
        <w:ind w:firstLine="748"/>
        <w:jc w:val="both"/>
      </w:pPr>
      <w:r w:rsidRPr="00F90F24">
        <w:t xml:space="preserve">Bismar Siregar yang dikutip oleh Maulana Hassan Wadong menyebutkan bahwa : “untuk mengelompokan hukum perlindungan anak dengan bentuk yaitu </w:t>
      </w:r>
      <w:r w:rsidRPr="00F90F24">
        <w:lastRenderedPageBreak/>
        <w:t>aspek hukum perlindungan anak, ruang lingkup advokasi anak dan hukum perlindungan anak lebih dipusatkan pada hak-hak anak yang diatur dalam hukum dan bukan kewajiban, mengingat ketentuan hukum (yuridis) anak belum dibebani dengan kewajiban”.</w:t>
      </w:r>
      <w:r w:rsidRPr="00F90F24">
        <w:rPr>
          <w:rStyle w:val="FootnoteReference"/>
        </w:rPr>
        <w:footnoteReference w:id="13"/>
      </w:r>
    </w:p>
    <w:p w:rsidR="00F90F24" w:rsidRPr="00F90F24" w:rsidRDefault="00F90F24" w:rsidP="00F90F24">
      <w:pPr>
        <w:spacing w:line="480" w:lineRule="auto"/>
        <w:ind w:firstLine="748"/>
        <w:jc w:val="both"/>
      </w:pPr>
      <w:r w:rsidRPr="00F90F24">
        <w:t xml:space="preserve">JE. Doek dan HMA Drewes yang dikutip oleh Maulana Hassan Wadong memberikan pengertian hukum perlindungan anak dengan pengertian </w:t>
      </w:r>
      <w:r w:rsidRPr="00F90F24">
        <w:rPr>
          <w:i/>
          <w:iCs/>
        </w:rPr>
        <w:t xml:space="preserve">jengdrecht </w:t>
      </w:r>
      <w:r w:rsidRPr="00F90F24">
        <w:t xml:space="preserve"> dan kemudian mengelompokan ke dalam dua bagian yaitu :</w:t>
      </w:r>
    </w:p>
    <w:p w:rsidR="00F90F24" w:rsidRPr="00F90F24" w:rsidRDefault="00F90F24" w:rsidP="00A6327B">
      <w:pPr>
        <w:pStyle w:val="BodyText"/>
        <w:numPr>
          <w:ilvl w:val="0"/>
          <w:numId w:val="8"/>
        </w:numPr>
        <w:spacing w:after="0" w:line="480" w:lineRule="auto"/>
        <w:ind w:left="1108"/>
        <w:jc w:val="both"/>
      </w:pPr>
      <w:r w:rsidRPr="00F90F24">
        <w:t>Dalam pengertian luas yaitu hukum perlindungan anak adalah segala aturan hidup yang memberikan perlindungan kepada mereka yang belum dewasa dan memberikan kemungkinan bagi mereka untuk berkembang.</w:t>
      </w:r>
    </w:p>
    <w:p w:rsidR="00F90F24" w:rsidRPr="00F90F24" w:rsidRDefault="00F90F24" w:rsidP="00A6327B">
      <w:pPr>
        <w:pStyle w:val="BodyText"/>
        <w:numPr>
          <w:ilvl w:val="0"/>
          <w:numId w:val="8"/>
        </w:numPr>
        <w:spacing w:after="0" w:line="480" w:lineRule="auto"/>
        <w:ind w:left="1080"/>
        <w:jc w:val="both"/>
      </w:pPr>
      <w:r w:rsidRPr="00F90F24">
        <w:t>Dalam pengertian sempit, hukum perlindungan anak meliputi perlindungan hukum yang terdapat dalam :</w:t>
      </w:r>
    </w:p>
    <w:p w:rsidR="00F90F24" w:rsidRPr="00F90F24" w:rsidRDefault="00F90F24" w:rsidP="00A6327B">
      <w:pPr>
        <w:numPr>
          <w:ilvl w:val="0"/>
          <w:numId w:val="9"/>
        </w:numPr>
        <w:spacing w:line="480" w:lineRule="auto"/>
        <w:jc w:val="both"/>
      </w:pPr>
      <w:r w:rsidRPr="00F90F24">
        <w:t>Ketentuan hukum Perdata</w:t>
      </w:r>
    </w:p>
    <w:p w:rsidR="00F90F24" w:rsidRPr="00F90F24" w:rsidRDefault="00F90F24" w:rsidP="00A6327B">
      <w:pPr>
        <w:numPr>
          <w:ilvl w:val="0"/>
          <w:numId w:val="9"/>
        </w:numPr>
        <w:spacing w:line="480" w:lineRule="auto"/>
        <w:jc w:val="both"/>
      </w:pPr>
      <w:r w:rsidRPr="00F90F24">
        <w:t>Ketentuan hukum Pidana</w:t>
      </w:r>
    </w:p>
    <w:p w:rsidR="00F90F24" w:rsidRPr="00F90F24" w:rsidRDefault="00F90F24" w:rsidP="00A6327B">
      <w:pPr>
        <w:numPr>
          <w:ilvl w:val="0"/>
          <w:numId w:val="9"/>
        </w:numPr>
        <w:spacing w:line="480" w:lineRule="auto"/>
        <w:jc w:val="both"/>
      </w:pPr>
      <w:r w:rsidRPr="00F90F24">
        <w:t>Ketentuan hukum acara.</w:t>
      </w:r>
      <w:r w:rsidRPr="00F90F24">
        <w:rPr>
          <w:rStyle w:val="FootnoteReference"/>
        </w:rPr>
        <w:footnoteReference w:id="14"/>
      </w:r>
    </w:p>
    <w:p w:rsidR="00F90F24" w:rsidRPr="00F90F24" w:rsidRDefault="00F90F24" w:rsidP="00F90F24">
      <w:pPr>
        <w:spacing w:line="480" w:lineRule="auto"/>
        <w:ind w:left="748"/>
        <w:jc w:val="both"/>
      </w:pPr>
    </w:p>
    <w:p w:rsidR="00F90F24" w:rsidRPr="00F90F24" w:rsidRDefault="00F90F24" w:rsidP="00F90F24">
      <w:pPr>
        <w:spacing w:line="480" w:lineRule="auto"/>
        <w:ind w:firstLine="748"/>
        <w:jc w:val="both"/>
      </w:pPr>
      <w:r w:rsidRPr="00F90F24">
        <w:t>Berdasarkan definisi hukum perlindungan anak tersebut dapat dilihat unsur-unsur yang essensial yang meletakkan hak-hak anak dalam proses pembinaan/pembelaan dan perlindungan yang ditentukan oleh hukum. Unsur-unsur tersebut adalah:</w:t>
      </w:r>
    </w:p>
    <w:p w:rsidR="00F90F24" w:rsidRPr="00F90F24" w:rsidRDefault="00F90F24" w:rsidP="00A6327B">
      <w:pPr>
        <w:numPr>
          <w:ilvl w:val="2"/>
          <w:numId w:val="1"/>
        </w:numPr>
        <w:spacing w:line="480" w:lineRule="auto"/>
        <w:ind w:left="360"/>
        <w:jc w:val="both"/>
      </w:pPr>
      <w:r w:rsidRPr="00F90F24">
        <w:t>Peraturan hukum formal dan material yang bersifat memaksa</w:t>
      </w:r>
    </w:p>
    <w:p w:rsidR="00F90F24" w:rsidRPr="00F90F24" w:rsidRDefault="00F90F24" w:rsidP="00A6327B">
      <w:pPr>
        <w:numPr>
          <w:ilvl w:val="2"/>
          <w:numId w:val="1"/>
        </w:numPr>
        <w:spacing w:line="480" w:lineRule="auto"/>
        <w:ind w:left="360"/>
        <w:jc w:val="both"/>
      </w:pPr>
      <w:r w:rsidRPr="00F90F24">
        <w:lastRenderedPageBreak/>
        <w:t>Proses perlindungan hak atau hak-hak anak</w:t>
      </w:r>
    </w:p>
    <w:p w:rsidR="00F90F24" w:rsidRPr="00F90F24" w:rsidRDefault="00F90F24" w:rsidP="00A6327B">
      <w:pPr>
        <w:numPr>
          <w:ilvl w:val="2"/>
          <w:numId w:val="1"/>
        </w:numPr>
        <w:spacing w:line="480" w:lineRule="auto"/>
        <w:ind w:left="360"/>
        <w:jc w:val="both"/>
      </w:pPr>
      <w:r w:rsidRPr="00F90F24">
        <w:t xml:space="preserve">Adanya perbuatan tindak pidana </w:t>
      </w:r>
      <w:r w:rsidRPr="00F90F24">
        <w:rPr>
          <w:i/>
          <w:iCs/>
        </w:rPr>
        <w:t>(straafbaar feit)</w:t>
      </w:r>
      <w:r w:rsidRPr="00F90F24">
        <w:t xml:space="preserve"> dan perbuatan melawan hukum</w:t>
      </w:r>
    </w:p>
    <w:p w:rsidR="00F90F24" w:rsidRPr="00F90F24" w:rsidRDefault="00F90F24" w:rsidP="00A6327B">
      <w:pPr>
        <w:numPr>
          <w:ilvl w:val="2"/>
          <w:numId w:val="1"/>
        </w:numPr>
        <w:spacing w:line="480" w:lineRule="auto"/>
        <w:ind w:left="360"/>
        <w:jc w:val="both"/>
      </w:pPr>
      <w:r w:rsidRPr="00F90F24">
        <w:t>Adanya kepentingan hak anak yang terlindungi.</w:t>
      </w:r>
    </w:p>
    <w:p w:rsidR="00F90F24" w:rsidRPr="00F90F24" w:rsidRDefault="00F90F24" w:rsidP="00F90F24">
      <w:pPr>
        <w:pStyle w:val="BodyText"/>
        <w:spacing w:after="0" w:line="480" w:lineRule="auto"/>
        <w:ind w:firstLine="748"/>
        <w:jc w:val="both"/>
        <w:rPr>
          <w:bCs/>
        </w:rPr>
      </w:pPr>
      <w:r w:rsidRPr="00F90F24">
        <w:rPr>
          <w:bCs/>
        </w:rPr>
        <w:t>Kepedulian umat manusia atas eksistensi anak dan masa depannya telah diatur dalam Undang-Undang Nomor 23 Tahun 2002 tentang Perlindungan Anak dan Undang-Undang Nomor 11 Tahun 2012 tentang Sistem Pengadilan Anak.</w:t>
      </w:r>
    </w:p>
    <w:p w:rsidR="00F90F24" w:rsidRPr="00F90F24" w:rsidRDefault="00F90F24" w:rsidP="00F90F24">
      <w:pPr>
        <w:spacing w:line="480" w:lineRule="auto"/>
        <w:jc w:val="both"/>
      </w:pPr>
      <w:r w:rsidRPr="00F90F24">
        <w:tab/>
        <w:t>Perlindungan anak adalah antara lain:</w:t>
      </w:r>
    </w:p>
    <w:p w:rsidR="00F90F24" w:rsidRPr="00F90F24" w:rsidRDefault="00F90F24" w:rsidP="00A6327B">
      <w:pPr>
        <w:numPr>
          <w:ilvl w:val="3"/>
          <w:numId w:val="5"/>
        </w:numPr>
        <w:spacing w:line="480" w:lineRule="auto"/>
        <w:ind w:left="1080"/>
        <w:jc w:val="both"/>
      </w:pPr>
      <w:r w:rsidRPr="00F90F24">
        <w:t>Segala daya upaya yang dilakukan secara sadar oleh setiap orang maupun lembaga pemerintah dan swasta yang bertujuan mengusahakan pengamanan, penguasaan dan pemenuhan kesejahteraan fisik, mental dan sosial anak remaja yang sesuai dengan kepentingan dan hak asasinya.</w:t>
      </w:r>
    </w:p>
    <w:p w:rsidR="00F90F24" w:rsidRPr="00F90F24" w:rsidRDefault="00F90F24" w:rsidP="00A6327B">
      <w:pPr>
        <w:numPr>
          <w:ilvl w:val="3"/>
          <w:numId w:val="5"/>
        </w:numPr>
        <w:tabs>
          <w:tab w:val="num" w:pos="1080"/>
        </w:tabs>
        <w:spacing w:line="480" w:lineRule="auto"/>
        <w:ind w:left="1080"/>
        <w:jc w:val="both"/>
      </w:pPr>
      <w:r w:rsidRPr="00F90F24">
        <w:t>Segala daya upaya bersama yang dilakukan dengan sadar oleh perorangan, keluarga, masyarakat, badan-badan pemerintah dan swasta untuk pengamanan, pengadaan dan pemenuhan kesejahteraan rohaniah dan jasmaniah anak berusaia 0 – 18 tahun, tidak dan belum pernah menikah, sesuai dengan hak asasi dan kepentingannya agar dapat mengembangkan dirinya seoptimal mungkin.</w:t>
      </w:r>
      <w:r w:rsidRPr="00F90F24">
        <w:rPr>
          <w:rStyle w:val="FootnoteReference"/>
        </w:rPr>
        <w:footnoteReference w:id="15"/>
      </w:r>
    </w:p>
    <w:p w:rsidR="00F90F24" w:rsidRPr="00F90F24" w:rsidRDefault="00F90F24" w:rsidP="00F90F24">
      <w:pPr>
        <w:spacing w:line="480" w:lineRule="auto"/>
        <w:ind w:left="720"/>
        <w:jc w:val="both"/>
      </w:pPr>
    </w:p>
    <w:p w:rsidR="00F90F24" w:rsidRPr="00F90F24" w:rsidRDefault="00F90F24" w:rsidP="00F90F24">
      <w:pPr>
        <w:spacing w:line="480" w:lineRule="auto"/>
        <w:jc w:val="both"/>
        <w:rPr>
          <w:color w:val="000000"/>
          <w:lang w:eastAsia="id-ID"/>
        </w:rPr>
      </w:pPr>
      <w:r w:rsidRPr="00F90F24">
        <w:lastRenderedPageBreak/>
        <w:tab/>
        <w:t xml:space="preserve">Hukum perlindungan anak adalah keseluruhan ketentuan peraturan perundang-undangan yang menjadi dasar orang melindungi pelaksanaan hak dan kewajiban anak. </w:t>
      </w:r>
    </w:p>
    <w:p w:rsidR="00F90F24" w:rsidRPr="00F90F24" w:rsidRDefault="00F90F24" w:rsidP="00F90F24">
      <w:pPr>
        <w:spacing w:line="480" w:lineRule="auto"/>
        <w:jc w:val="both"/>
      </w:pPr>
    </w:p>
    <w:p w:rsidR="00F90F24" w:rsidRPr="00F90F24" w:rsidRDefault="00F90F24" w:rsidP="00A6327B">
      <w:pPr>
        <w:numPr>
          <w:ilvl w:val="0"/>
          <w:numId w:val="10"/>
        </w:numPr>
        <w:tabs>
          <w:tab w:val="clear" w:pos="3829"/>
          <w:tab w:val="num" w:pos="360"/>
        </w:tabs>
        <w:spacing w:line="480" w:lineRule="auto"/>
        <w:ind w:left="360"/>
        <w:jc w:val="both"/>
      </w:pPr>
      <w:bookmarkStart w:id="4" w:name="_Hlk100733665"/>
      <w:r w:rsidRPr="00F90F24">
        <w:t>Penyalahgunaan Narkotika</w:t>
      </w:r>
      <w:bookmarkEnd w:id="4"/>
      <w:r w:rsidRPr="00F90F24">
        <w:t xml:space="preserve">. </w:t>
      </w:r>
    </w:p>
    <w:p w:rsidR="00F90F24" w:rsidRPr="00F90F24" w:rsidRDefault="00F90F24" w:rsidP="00F90F24">
      <w:pPr>
        <w:pStyle w:val="BodyTextIndent"/>
        <w:spacing w:line="480" w:lineRule="auto"/>
        <w:ind w:firstLine="720"/>
        <w:jc w:val="both"/>
        <w:rPr>
          <w:b w:val="0"/>
          <w:szCs w:val="24"/>
        </w:rPr>
      </w:pPr>
      <w:r w:rsidRPr="00F90F24">
        <w:rPr>
          <w:b w:val="0"/>
          <w:szCs w:val="24"/>
        </w:rPr>
        <w:t xml:space="preserve">Secara harafiah narkotika sebagaimana di ungkapkan oleh Wilson Nadaek merumuskan sebagai berikut : Narkotika berasal dari bahasa Yunani, dari kata </w:t>
      </w:r>
      <w:r w:rsidRPr="00F90F24">
        <w:rPr>
          <w:b w:val="0"/>
          <w:i/>
          <w:iCs/>
          <w:szCs w:val="24"/>
        </w:rPr>
        <w:t>Narke</w:t>
      </w:r>
      <w:r w:rsidRPr="00F90F24">
        <w:rPr>
          <w:b w:val="0"/>
          <w:szCs w:val="24"/>
        </w:rPr>
        <w:t>, yang berarti beku, lumpuh, dan dungu.</w:t>
      </w:r>
      <w:r w:rsidRPr="00F90F24">
        <w:rPr>
          <w:rStyle w:val="FootnoteReference"/>
          <w:b w:val="0"/>
        </w:rPr>
        <w:footnoteReference w:id="16"/>
      </w:r>
      <w:r w:rsidRPr="00F90F24">
        <w:rPr>
          <w:b w:val="0"/>
          <w:szCs w:val="24"/>
        </w:rPr>
        <w:t xml:space="preserve"> Menurut Farmakologi medis, yaitu “Narkotika adalah obat yang dapat menghilangkan (terutama) rasa nyeri yang berasal dari daerah Visceral dan dapat menimbulkan efek stupor (bengong masih sadar namun masih harus digertak) serta adiksi.</w:t>
      </w:r>
      <w:r w:rsidRPr="00F90F24">
        <w:rPr>
          <w:rStyle w:val="FootnoteReference"/>
          <w:b w:val="0"/>
        </w:rPr>
        <w:footnoteReference w:id="17"/>
      </w:r>
    </w:p>
    <w:p w:rsidR="00F90F24" w:rsidRPr="00F90F24" w:rsidRDefault="00F90F24" w:rsidP="00F90F24">
      <w:pPr>
        <w:pStyle w:val="BodyTextIndent"/>
        <w:spacing w:line="480" w:lineRule="auto"/>
        <w:ind w:firstLine="720"/>
        <w:jc w:val="both"/>
        <w:rPr>
          <w:b w:val="0"/>
          <w:szCs w:val="24"/>
        </w:rPr>
      </w:pPr>
      <w:r w:rsidRPr="00F90F24">
        <w:rPr>
          <w:b w:val="0"/>
          <w:szCs w:val="24"/>
        </w:rPr>
        <w:t>Soedjono D. menyatakan bahwa yang dimaksud dengan narkotika adalah sejenis zat, yang bila dipergunakan (dimasukkan dalam tubuh) akan membawa pengaruh terhadap tubuh si pemakai. Pengaruh tersebut berupa : menenangkan, merangsang, dan menimbulkan khayalan (halusinasi).</w:t>
      </w:r>
      <w:r w:rsidRPr="00F90F24">
        <w:rPr>
          <w:rStyle w:val="FootnoteReference"/>
          <w:b w:val="0"/>
        </w:rPr>
        <w:footnoteReference w:id="18"/>
      </w:r>
      <w:r w:rsidRPr="00F90F24">
        <w:rPr>
          <w:b w:val="0"/>
          <w:szCs w:val="24"/>
        </w:rPr>
        <w:t xml:space="preserve"> Sedangkan menurut Elijah Adams memberikan definisi narkotika adalah sebagai berikut, </w:t>
      </w:r>
      <w:r w:rsidRPr="00F90F24">
        <w:rPr>
          <w:b w:val="0"/>
          <w:szCs w:val="24"/>
        </w:rPr>
        <w:lastRenderedPageBreak/>
        <w:t xml:space="preserve">“Narkotika adalah : terdiri dari zat sintesis dan semi sintesis yang terkenal adalah heroin yang terbuat dari morfhine yang tidak dipergunakan, tetapi banyak nampak dalam perdagangan-perdagangan gelap, selain juga terkenal istilah </w:t>
      </w:r>
      <w:r w:rsidRPr="00F90F24">
        <w:rPr>
          <w:b w:val="0"/>
          <w:i/>
          <w:szCs w:val="24"/>
        </w:rPr>
        <w:t>dihydo morfhine</w:t>
      </w:r>
      <w:r w:rsidRPr="00F90F24">
        <w:rPr>
          <w:b w:val="0"/>
          <w:szCs w:val="24"/>
        </w:rPr>
        <w:t>.</w:t>
      </w:r>
      <w:r w:rsidRPr="00F90F24">
        <w:rPr>
          <w:rStyle w:val="FootnoteReference"/>
          <w:b w:val="0"/>
        </w:rPr>
        <w:footnoteReference w:id="19"/>
      </w:r>
    </w:p>
    <w:p w:rsidR="00F90F24" w:rsidRPr="00F90F24" w:rsidRDefault="00F90F24" w:rsidP="00F90F24">
      <w:pPr>
        <w:pStyle w:val="BodyTextIndent"/>
        <w:spacing w:line="480" w:lineRule="auto"/>
        <w:ind w:firstLine="720"/>
        <w:jc w:val="both"/>
        <w:rPr>
          <w:b w:val="0"/>
          <w:szCs w:val="24"/>
        </w:rPr>
      </w:pPr>
      <w:r w:rsidRPr="00F90F24">
        <w:rPr>
          <w:b w:val="0"/>
          <w:szCs w:val="24"/>
        </w:rPr>
        <w:t>Selain definisi yang diberikan oleh para ahli, terdapat juga pengertian narkotika dalam Pasal 1 Undang-Undang Nomor 35 Tahun 2009 bahwa narkotika merupakan zat atau obat yang berasal dari tanaman atau bukan tanaman, baik sintetis maupun semi sintetis, yang dapat menyebabkan penurunan atau perubahan kesadaran, hilangnya rasa sakit, mengurangi sampai menghilangkan rasa ngeri dan dapat menimbulkan ketergantungan. Prekursor narkotika merupakan zat atau bahan pemula atau kimia yang dapat digunakan dalam pembuatan narkotika.</w:t>
      </w:r>
      <w:r w:rsidRPr="00F90F24">
        <w:rPr>
          <w:rStyle w:val="FootnoteReference"/>
          <w:b w:val="0"/>
        </w:rPr>
        <w:footnoteReference w:id="20"/>
      </w:r>
    </w:p>
    <w:p w:rsidR="00F90F24" w:rsidRPr="00F90F24" w:rsidRDefault="00F90F24" w:rsidP="00F90F24">
      <w:pPr>
        <w:pStyle w:val="BodyTextIndent"/>
        <w:spacing w:line="480" w:lineRule="auto"/>
        <w:ind w:firstLine="720"/>
        <w:jc w:val="both"/>
        <w:rPr>
          <w:b w:val="0"/>
          <w:szCs w:val="24"/>
        </w:rPr>
      </w:pPr>
      <w:bookmarkStart w:id="8" w:name="_Hlk86992449"/>
      <w:r w:rsidRPr="00F90F24">
        <w:rPr>
          <w:b w:val="0"/>
          <w:szCs w:val="24"/>
        </w:rPr>
        <w:t xml:space="preserve">Peraturan Menteri Pendidikan Dan Kebudayaan Republik Indonesia Nomor 38 Tahun 2019 Tentang Pencegahan Penyalahgunaan dan Peredaran Gelap Narkotika dan Prekursor Narkotika Di Lingkungan Kementerian Pendidikan dan Kebudayaan menyebutkan bahwa narkotika adalah zat atau obat yang berasal dari tanaman atau bukan tanaman, baik sintetis maupun semisintetis yang </w:t>
      </w:r>
      <w:r w:rsidRPr="00F90F24">
        <w:rPr>
          <w:b w:val="0"/>
          <w:szCs w:val="24"/>
        </w:rPr>
        <w:lastRenderedPageBreak/>
        <w:t>dapat menyebabkan penurunan atau perubahan kesadaran, hilangnya rasa, mengurangi sampai menghilangkan rasa nyeri, dan dapat menimbulkan ketergantungan, yang dibedakan ke dalam golongan-golongan sebagaimana tercantum dalam Lampiran Undang-Undang Nomor 35 Tahun 2009 tentang Narkotika.</w:t>
      </w:r>
      <w:r w:rsidRPr="00F90F24">
        <w:rPr>
          <w:rStyle w:val="FootnoteReference"/>
          <w:b w:val="0"/>
        </w:rPr>
        <w:footnoteReference w:id="21"/>
      </w:r>
    </w:p>
    <w:p w:rsidR="00F90F24" w:rsidRPr="00F90F24" w:rsidRDefault="00F90F24" w:rsidP="00F90F24">
      <w:pPr>
        <w:pStyle w:val="BodyTextIndent"/>
        <w:spacing w:line="480" w:lineRule="auto"/>
        <w:ind w:firstLine="720"/>
        <w:jc w:val="both"/>
        <w:rPr>
          <w:b w:val="0"/>
          <w:szCs w:val="24"/>
        </w:rPr>
      </w:pPr>
      <w:r w:rsidRPr="00F90F24">
        <w:rPr>
          <w:b w:val="0"/>
          <w:szCs w:val="24"/>
        </w:rPr>
        <w:t>Peraturan Menteri Kesehatan Republik Indonesia Nomor 44 Tahun 2019 Tentang Perubahan Penggolongan Narkotika menyebutkan bahwa narkotika merupakan obat atau bahan yang bermanfaat di bidang pengobatan atau pelayanan kesehatan dan pengembangan ilmu pengetahuan, tetapi dapat juga menimbulkan ketergantungan yang sangat merugikan apabila disalahgunakan atau digunakan tanpa pengendalian dan pengawasan yang ketat dan saksama.</w:t>
      </w:r>
      <w:r w:rsidRPr="00F90F24">
        <w:rPr>
          <w:rStyle w:val="FootnoteReference"/>
          <w:b w:val="0"/>
        </w:rPr>
        <w:footnoteReference w:id="22"/>
      </w:r>
    </w:p>
    <w:p w:rsidR="00F90F24" w:rsidRPr="00F90F24" w:rsidRDefault="00F90F24" w:rsidP="00F90F24">
      <w:pPr>
        <w:pStyle w:val="Default"/>
        <w:spacing w:line="480" w:lineRule="auto"/>
        <w:ind w:firstLine="720"/>
        <w:jc w:val="both"/>
      </w:pPr>
      <w:r w:rsidRPr="00F90F24">
        <w:t xml:space="preserve">Penjelasan Peraturan Pemerintah Republik Indonesia Nomor 40 Tahun 2013 Tentang Pelaksanaan Undang-Undang Nomor 35 Tahun 2009 Tentang Narkotika menyebutkan bahwa narkotika yang disalahgunakan atau penggunaan narkotika tidak sesuai dengan standar pengobatan, dapat menimbulkan akibat yang sangat merugikan bagi setiap orang dan masyarakat serta nilai-nilai budaya bangsa yang pada akhirnya akan dapat melemahkan ketahanan nasional. Apabila </w:t>
      </w:r>
      <w:r w:rsidRPr="00F90F24">
        <w:lastRenderedPageBreak/>
        <w:t>penggunaan narkotika dilakukan sesuai dengan standar, prosedur, dan ukuran atau dosis yang diizinkan serta melalui pengawasan yang ketat dari dokter atau pejabat yang berwenang maka narkotika dapat bermanfaat di bidang medis atau kedokteran, serta pengembangan ilmu pengetahuan dan teknologi.</w:t>
      </w:r>
      <w:r w:rsidRPr="00F90F24">
        <w:rPr>
          <w:rStyle w:val="FootnoteReference"/>
        </w:rPr>
        <w:footnoteReference w:id="23"/>
      </w:r>
    </w:p>
    <w:bookmarkEnd w:id="8"/>
    <w:p w:rsidR="00F90F24" w:rsidRPr="00F90F24" w:rsidRDefault="00F90F24" w:rsidP="00F90F24">
      <w:pPr>
        <w:pStyle w:val="BodyTextIndent"/>
        <w:spacing w:line="480" w:lineRule="auto"/>
        <w:ind w:firstLine="720"/>
        <w:jc w:val="both"/>
        <w:rPr>
          <w:b w:val="0"/>
          <w:szCs w:val="24"/>
        </w:rPr>
      </w:pPr>
      <w:r w:rsidRPr="00F90F24">
        <w:rPr>
          <w:b w:val="0"/>
          <w:szCs w:val="24"/>
        </w:rPr>
        <w:t>Narkotika dan psikotropika dalam pergaulan sehari-hari  cendrung disamakan, masyarakat lebih mengenal pada zat tersebut sebagai narkoba narkotika dan obat-obat terlarang/psikotropika) atau NAPZA, narkoba menrut proses pembuatannya terbagi menjadi 3 (tiga) golongan yaitu :</w:t>
      </w:r>
    </w:p>
    <w:p w:rsidR="00F90F24" w:rsidRPr="00F90F24" w:rsidRDefault="00F90F24" w:rsidP="00A6327B">
      <w:pPr>
        <w:pStyle w:val="BodyTextIndent"/>
        <w:numPr>
          <w:ilvl w:val="2"/>
          <w:numId w:val="13"/>
        </w:numPr>
        <w:tabs>
          <w:tab w:val="clear" w:pos="2160"/>
          <w:tab w:val="num" w:pos="1080"/>
        </w:tabs>
        <w:autoSpaceDE w:val="0"/>
        <w:autoSpaceDN w:val="0"/>
        <w:adjustRightInd w:val="0"/>
        <w:spacing w:line="480" w:lineRule="auto"/>
        <w:ind w:left="1077" w:hanging="357"/>
        <w:jc w:val="both"/>
        <w:rPr>
          <w:b w:val="0"/>
          <w:color w:val="000000"/>
          <w:szCs w:val="24"/>
        </w:rPr>
      </w:pPr>
      <w:r w:rsidRPr="00F90F24">
        <w:rPr>
          <w:b w:val="0"/>
          <w:color w:val="000000"/>
          <w:szCs w:val="24"/>
        </w:rPr>
        <w:t xml:space="preserve">Alamai, adalah jenis zat/obat yang diambil langsung dai alam, tanpa ada proses fermentasi, contohnya : Ganja, Kokain dan lain- lain </w:t>
      </w:r>
    </w:p>
    <w:p w:rsidR="00F90F24" w:rsidRPr="00F90F24" w:rsidRDefault="00F90F24" w:rsidP="00A6327B">
      <w:pPr>
        <w:pStyle w:val="BodyTextIndent"/>
        <w:numPr>
          <w:ilvl w:val="2"/>
          <w:numId w:val="13"/>
        </w:numPr>
        <w:tabs>
          <w:tab w:val="clear" w:pos="2160"/>
          <w:tab w:val="num" w:pos="1080"/>
        </w:tabs>
        <w:autoSpaceDE w:val="0"/>
        <w:autoSpaceDN w:val="0"/>
        <w:adjustRightInd w:val="0"/>
        <w:spacing w:line="480" w:lineRule="auto"/>
        <w:ind w:left="1077" w:hanging="357"/>
        <w:jc w:val="both"/>
        <w:rPr>
          <w:b w:val="0"/>
          <w:color w:val="000000"/>
          <w:szCs w:val="24"/>
        </w:rPr>
      </w:pPr>
      <w:r w:rsidRPr="00F90F24">
        <w:rPr>
          <w:b w:val="0"/>
          <w:color w:val="000000"/>
          <w:szCs w:val="24"/>
        </w:rPr>
        <w:t xml:space="preserve">Semi Sintesis, jenis zat/obat yang diproses sedemikian rupa melalui proses fermentasi, contohnya : morfein, heroin, kodein, </w:t>
      </w:r>
      <w:r w:rsidRPr="00F90F24">
        <w:rPr>
          <w:b w:val="0"/>
          <w:i/>
          <w:color w:val="000000"/>
          <w:szCs w:val="24"/>
        </w:rPr>
        <w:t xml:space="preserve">crack </w:t>
      </w:r>
      <w:r w:rsidRPr="00F90F24">
        <w:rPr>
          <w:b w:val="0"/>
          <w:color w:val="000000"/>
          <w:szCs w:val="24"/>
        </w:rPr>
        <w:t xml:space="preserve">dan lain- lain. </w:t>
      </w:r>
    </w:p>
    <w:p w:rsidR="00F90F24" w:rsidRPr="00F90F24" w:rsidRDefault="00F90F24" w:rsidP="00A6327B">
      <w:pPr>
        <w:pStyle w:val="BodyTextIndent"/>
        <w:numPr>
          <w:ilvl w:val="2"/>
          <w:numId w:val="13"/>
        </w:numPr>
        <w:tabs>
          <w:tab w:val="clear" w:pos="2160"/>
          <w:tab w:val="num" w:pos="1080"/>
        </w:tabs>
        <w:autoSpaceDE w:val="0"/>
        <w:autoSpaceDN w:val="0"/>
        <w:adjustRightInd w:val="0"/>
        <w:spacing w:line="480" w:lineRule="auto"/>
        <w:ind w:left="1077" w:hanging="357"/>
        <w:jc w:val="both"/>
        <w:rPr>
          <w:b w:val="0"/>
          <w:color w:val="000000"/>
          <w:szCs w:val="24"/>
        </w:rPr>
      </w:pPr>
      <w:r w:rsidRPr="00F90F24">
        <w:rPr>
          <w:b w:val="0"/>
          <w:color w:val="000000"/>
          <w:szCs w:val="24"/>
        </w:rPr>
        <w:t xml:space="preserve">Sintesis, merupakan obat zat yang mulai dikembangkan sejak tahun 1930-an untuk keperluan medis dan penelitian digunakan sebagai penghilang rasa sakit (analgesic) dan penekan batuk (Antitusik) seperti :amphetamine, </w:t>
      </w:r>
      <w:r w:rsidRPr="00F90F24">
        <w:rPr>
          <w:b w:val="0"/>
          <w:color w:val="000000"/>
          <w:szCs w:val="24"/>
        </w:rPr>
        <w:lastRenderedPageBreak/>
        <w:t>deksamfitamin, pethadin, meperidin, metadon, dipopanon, dan lain- lain. Zat/obat sintesis juga dipakai oleh para dokter untuk terapi bagi para pecandu narkoba.</w:t>
      </w:r>
      <w:r w:rsidRPr="00F90F24">
        <w:rPr>
          <w:rStyle w:val="FootnoteReference"/>
          <w:b w:val="0"/>
          <w:color w:val="000000"/>
        </w:rPr>
        <w:footnoteReference w:id="24"/>
      </w:r>
    </w:p>
    <w:p w:rsidR="00F90F24" w:rsidRPr="00F90F24" w:rsidRDefault="00F90F24" w:rsidP="00F90F24">
      <w:pPr>
        <w:pStyle w:val="BodyTextIndent"/>
        <w:autoSpaceDE w:val="0"/>
        <w:autoSpaceDN w:val="0"/>
        <w:adjustRightInd w:val="0"/>
        <w:spacing w:line="480" w:lineRule="auto"/>
        <w:ind w:left="1077"/>
        <w:jc w:val="both"/>
        <w:rPr>
          <w:b w:val="0"/>
          <w:color w:val="000000"/>
          <w:szCs w:val="24"/>
        </w:rPr>
      </w:pPr>
    </w:p>
    <w:p w:rsidR="00F90F24" w:rsidRPr="00F90F24" w:rsidRDefault="00F90F24" w:rsidP="00F90F24">
      <w:pPr>
        <w:pStyle w:val="BodyTextIndent"/>
        <w:spacing w:line="480" w:lineRule="auto"/>
        <w:ind w:firstLine="720"/>
        <w:jc w:val="both"/>
        <w:rPr>
          <w:b w:val="0"/>
          <w:szCs w:val="24"/>
        </w:rPr>
      </w:pPr>
      <w:r w:rsidRPr="00F90F24">
        <w:rPr>
          <w:b w:val="0"/>
          <w:szCs w:val="24"/>
        </w:rPr>
        <w:t xml:space="preserve">Menurut pengaruh penggunaannya </w:t>
      </w:r>
      <w:r w:rsidRPr="00F90F24">
        <w:rPr>
          <w:b w:val="0"/>
          <w:i/>
          <w:szCs w:val="24"/>
        </w:rPr>
        <w:t>(effect),</w:t>
      </w:r>
      <w:r w:rsidRPr="00F90F24">
        <w:rPr>
          <w:b w:val="0"/>
          <w:szCs w:val="24"/>
        </w:rPr>
        <w:t xml:space="preserve"> akibat kelebihan dosis </w:t>
      </w:r>
      <w:r w:rsidRPr="00F90F24">
        <w:rPr>
          <w:b w:val="0"/>
          <w:i/>
          <w:szCs w:val="24"/>
        </w:rPr>
        <w:t>(overdosis)</w:t>
      </w:r>
      <w:r w:rsidRPr="00F90F24">
        <w:rPr>
          <w:b w:val="0"/>
          <w:szCs w:val="24"/>
        </w:rPr>
        <w:t xml:space="preserve"> dan gejala bebas pengaruhnya (</w:t>
      </w:r>
      <w:r w:rsidRPr="00F90F24">
        <w:rPr>
          <w:b w:val="0"/>
          <w:i/>
          <w:iCs/>
          <w:szCs w:val="24"/>
        </w:rPr>
        <w:t>Withdrawal Syndrome</w:t>
      </w:r>
      <w:r w:rsidRPr="00F90F24">
        <w:rPr>
          <w:b w:val="0"/>
          <w:szCs w:val="24"/>
        </w:rPr>
        <w:t>) dan kalangan medis, obat-obatan yang sering disalahgunakan itu dibagi ke dalam 2 (dua) kelompok yaitu:</w:t>
      </w:r>
    </w:p>
    <w:p w:rsidR="00F90F24" w:rsidRPr="00F90F24" w:rsidRDefault="00F90F24" w:rsidP="00A6327B">
      <w:pPr>
        <w:pStyle w:val="BodyTextIndent"/>
        <w:numPr>
          <w:ilvl w:val="3"/>
          <w:numId w:val="13"/>
        </w:numPr>
        <w:tabs>
          <w:tab w:val="clear" w:pos="2880"/>
          <w:tab w:val="num" w:pos="1080"/>
        </w:tabs>
        <w:autoSpaceDE w:val="0"/>
        <w:autoSpaceDN w:val="0"/>
        <w:adjustRightInd w:val="0"/>
        <w:spacing w:line="480" w:lineRule="auto"/>
        <w:ind w:left="1080"/>
        <w:jc w:val="both"/>
        <w:rPr>
          <w:b w:val="0"/>
          <w:color w:val="000000"/>
          <w:szCs w:val="24"/>
        </w:rPr>
      </w:pPr>
      <w:r w:rsidRPr="00F90F24">
        <w:rPr>
          <w:b w:val="0"/>
          <w:color w:val="000000"/>
          <w:szCs w:val="24"/>
        </w:rPr>
        <w:t xml:space="preserve">Kelompok Narkotika, pengaruhnya menimbulkan euphurina, rasa ngantuk berat, penciutan pupil mata, dan sesak napas. Kelebihan dosis akan mengakibatkan kejang- kejang, koma, napas lambat dan pendek-pendek. Gejala bebas pengaruhnya adalah gambapng marah, gemetaran, panik serta berkeringat, obatnya seperti : metadon, kodein, dan hidrimorfon. </w:t>
      </w:r>
    </w:p>
    <w:p w:rsidR="00F90F24" w:rsidRPr="00F90F24" w:rsidRDefault="00F90F24" w:rsidP="00A6327B">
      <w:pPr>
        <w:pStyle w:val="BodyTextIndent"/>
        <w:numPr>
          <w:ilvl w:val="3"/>
          <w:numId w:val="13"/>
        </w:numPr>
        <w:tabs>
          <w:tab w:val="clear" w:pos="2880"/>
          <w:tab w:val="num" w:pos="1080"/>
        </w:tabs>
        <w:autoSpaceDE w:val="0"/>
        <w:autoSpaceDN w:val="0"/>
        <w:adjustRightInd w:val="0"/>
        <w:spacing w:line="480" w:lineRule="auto"/>
        <w:ind w:left="1080"/>
        <w:jc w:val="both"/>
        <w:rPr>
          <w:b w:val="0"/>
          <w:color w:val="000000"/>
          <w:szCs w:val="24"/>
        </w:rPr>
      </w:pPr>
      <w:r w:rsidRPr="00F90F24">
        <w:rPr>
          <w:b w:val="0"/>
          <w:color w:val="000000"/>
          <w:szCs w:val="24"/>
        </w:rPr>
        <w:t>Kelompok Depresent, adalah jenis obat yang brefungsi mengurangi aktivitas fungsional tubuh. Obat ini dapat membuat si pemakai merasa tenang dan bahkan membuatnya tertidur atau tidak sadarkan diri.</w:t>
      </w:r>
      <w:r w:rsidRPr="00F90F24">
        <w:rPr>
          <w:rStyle w:val="FootnoteReference"/>
          <w:b w:val="0"/>
          <w:color w:val="000000"/>
        </w:rPr>
        <w:footnoteReference w:id="25"/>
      </w:r>
    </w:p>
    <w:p w:rsidR="00F90F24" w:rsidRPr="00F90F24" w:rsidRDefault="00F90F24" w:rsidP="00F90F24">
      <w:pPr>
        <w:tabs>
          <w:tab w:val="left" w:pos="374"/>
        </w:tabs>
        <w:spacing w:line="480" w:lineRule="auto"/>
        <w:ind w:firstLine="748"/>
        <w:jc w:val="both"/>
      </w:pPr>
    </w:p>
    <w:p w:rsidR="00F90F24" w:rsidRPr="00F90F24" w:rsidRDefault="00F90F24" w:rsidP="00F90F24">
      <w:pPr>
        <w:tabs>
          <w:tab w:val="left" w:pos="374"/>
        </w:tabs>
        <w:spacing w:line="480" w:lineRule="auto"/>
        <w:ind w:firstLine="748"/>
        <w:jc w:val="both"/>
      </w:pPr>
      <w:r w:rsidRPr="00F90F24">
        <w:lastRenderedPageBreak/>
        <w:t>Penyalahgunaan narkotika sudah semakin memperihatinkan, karena telah mampu masuk dan menggerogoti segala lapisan kehidupan masyarakat dan berbagai usia dan yang memprihatinkan sekali adalah penyalahgunaan narkotika yang dilakukan oleh anak. Sehingga tidak jarang anak harus berhadapan dengan proses hukum. Anak adalah penerus generasi muda bangsa yang perlu kita lindungi agar memiliki budi pekerti yang luhur, maka sudah sepatutnya hak-hak seorang anak harus dilindungi baik ia sebagai pelaku tindak pidana ataupun tidak.</w:t>
      </w:r>
    </w:p>
    <w:p w:rsidR="00F90F24" w:rsidRPr="00F90F24" w:rsidRDefault="00F90F24" w:rsidP="00F90F24">
      <w:pPr>
        <w:tabs>
          <w:tab w:val="left" w:pos="374"/>
        </w:tabs>
        <w:spacing w:line="480" w:lineRule="auto"/>
        <w:ind w:firstLine="748"/>
        <w:jc w:val="both"/>
      </w:pPr>
      <w:r w:rsidRPr="00F90F24">
        <w:t>Undang-Undang No 35 Tahun 2009 Tentang Narkotika tidak memberikan pengecualian terhadap pelaku anak. Namun terhadap putusan yang dijatuhkan oleh hakim mengenai hukuman apa yang dikenakan dan berat hukuman yang dijatuhkan haruslah mempertimbangkan dari keadaan sosial mengenai fakta-fakta dari pelaku anak tersebut. Dengan demikian sebelum hakim menjatuhkan putusan terhadap anak yang melakukan tindak pidana, ada beberapa hal yang menjadi dasar pertimbangan bagi hakim. putusan hakim akan mempengaruhi kehidupan si anak tersebut pada masa selanjutnya. Oleh karena itu Hakim harus yakin benar bahwa putusan yang akan diambil adalah yang paling tepat dan juga adil.</w:t>
      </w:r>
    </w:p>
    <w:p w:rsidR="00F90F24" w:rsidRPr="00F90F24" w:rsidRDefault="00F90F24" w:rsidP="00F90F24">
      <w:pPr>
        <w:tabs>
          <w:tab w:val="left" w:pos="374"/>
        </w:tabs>
        <w:spacing w:line="480" w:lineRule="auto"/>
        <w:ind w:firstLine="748"/>
        <w:jc w:val="both"/>
      </w:pPr>
      <w:r w:rsidRPr="00F90F24">
        <w:t>Terhadap anak yang melakukan tindak pidana tidak dapat dipersalahkan sepenuhnya karena terpengaruh oleh lingkungan sekitarnya dimana anak adalah sebagai korban dari rekayasa orang dewasa. Dalam masalah narkotika, anak menjadi sasaran utama dimana keingintahuannya masih labil karenanya anak tergolong korban.</w:t>
      </w:r>
    </w:p>
    <w:p w:rsidR="004235C8" w:rsidRPr="00014091" w:rsidRDefault="004235C8" w:rsidP="00F90F24">
      <w:pPr>
        <w:spacing w:line="480" w:lineRule="auto"/>
        <w:jc w:val="both"/>
      </w:pPr>
    </w:p>
    <w:sectPr w:rsidR="004235C8" w:rsidRPr="00014091"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D7E" w:rsidRDefault="009E0D7E" w:rsidP="00C756CF">
      <w:r>
        <w:separator/>
      </w:r>
    </w:p>
  </w:endnote>
  <w:endnote w:type="continuationSeparator" w:id="1">
    <w:p w:rsidR="009E0D7E" w:rsidRDefault="009E0D7E"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83" w:rsidRDefault="00CC71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83" w:rsidRDefault="00CC71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83" w:rsidRDefault="00CC7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D7E" w:rsidRDefault="009E0D7E" w:rsidP="00C756CF">
      <w:r>
        <w:separator/>
      </w:r>
    </w:p>
  </w:footnote>
  <w:footnote w:type="continuationSeparator" w:id="1">
    <w:p w:rsidR="009E0D7E" w:rsidRDefault="009E0D7E" w:rsidP="00C756CF">
      <w:r>
        <w:continuationSeparator/>
      </w:r>
    </w:p>
  </w:footnote>
  <w:footnote w:id="2">
    <w:p w:rsidR="00F90F24" w:rsidRPr="00641F0E" w:rsidRDefault="00F90F24" w:rsidP="00F90F24">
      <w:pPr>
        <w:pStyle w:val="FootnoteText"/>
        <w:ind w:firstLine="709"/>
        <w:jc w:val="both"/>
        <w:rPr>
          <w:i/>
        </w:rPr>
      </w:pPr>
      <w:r w:rsidRPr="00641F0E">
        <w:rPr>
          <w:rStyle w:val="FootnoteReference"/>
        </w:rPr>
        <w:footnoteRef/>
      </w:r>
      <w:r w:rsidRPr="00641F0E">
        <w:t xml:space="preserve"> Marlina, </w:t>
      </w:r>
      <w:r w:rsidRPr="00641F0E">
        <w:rPr>
          <w:i/>
          <w:iCs/>
        </w:rPr>
        <w:t>Op.Cit</w:t>
      </w:r>
      <w:r w:rsidRPr="00641F0E">
        <w:t>, h.36.</w:t>
      </w:r>
    </w:p>
  </w:footnote>
  <w:footnote w:id="3">
    <w:p w:rsidR="00F90F24" w:rsidRPr="00641F0E" w:rsidRDefault="00F90F24" w:rsidP="00F90F24">
      <w:pPr>
        <w:pStyle w:val="FootnoteText"/>
        <w:ind w:firstLine="709"/>
        <w:jc w:val="both"/>
      </w:pPr>
      <w:r w:rsidRPr="00641F0E">
        <w:rPr>
          <w:rStyle w:val="FootnoteReference"/>
        </w:rPr>
        <w:footnoteRef/>
      </w:r>
      <w:r w:rsidRPr="00641F0E">
        <w:t xml:space="preserve">Purnianti, </w:t>
      </w:r>
      <w:r w:rsidRPr="00641F0E">
        <w:rPr>
          <w:i/>
          <w:iCs/>
        </w:rPr>
        <w:t>Analisa Situasi Sistem Peradilan Pidana Anak (Juvenile Justice System) di Indonesia</w:t>
      </w:r>
      <w:r w:rsidRPr="00641F0E">
        <w:t>, UNICEF, Indonesia, 2013, h.37</w:t>
      </w:r>
    </w:p>
  </w:footnote>
  <w:footnote w:id="4">
    <w:p w:rsidR="00F90F24" w:rsidRPr="00641F0E" w:rsidRDefault="00F90F24" w:rsidP="00F90F24">
      <w:pPr>
        <w:pStyle w:val="FootnoteText"/>
        <w:ind w:firstLine="709"/>
      </w:pPr>
      <w:r w:rsidRPr="00641F0E">
        <w:rPr>
          <w:rStyle w:val="FootnoteReference"/>
        </w:rPr>
        <w:footnoteRef/>
      </w:r>
      <w:r w:rsidRPr="00641F0E">
        <w:rPr>
          <w:i/>
        </w:rPr>
        <w:t>Ibid</w:t>
      </w:r>
      <w:r w:rsidRPr="00641F0E">
        <w:t>, h.39</w:t>
      </w:r>
    </w:p>
  </w:footnote>
  <w:footnote w:id="5">
    <w:p w:rsidR="00F90F24" w:rsidRPr="00641F0E" w:rsidRDefault="00F90F24" w:rsidP="00F90F24">
      <w:pPr>
        <w:pStyle w:val="FootnoteText"/>
        <w:ind w:firstLine="709"/>
      </w:pPr>
      <w:bookmarkStart w:id="1" w:name="_Hlk171785071"/>
      <w:r w:rsidRPr="00641F0E">
        <w:rPr>
          <w:rStyle w:val="FootnoteReference"/>
        </w:rPr>
        <w:footnoteRef/>
      </w:r>
      <w:r w:rsidRPr="00641F0E">
        <w:t xml:space="preserve">Eva Zulfa, </w:t>
      </w:r>
      <w:r w:rsidRPr="00641F0E">
        <w:rPr>
          <w:i/>
        </w:rPr>
        <w:t>Keadilan Restofatif di Indonesia</w:t>
      </w:r>
      <w:r w:rsidRPr="00641F0E">
        <w:t>, Ghalia Indonesia, Jakarta, 2017</w:t>
      </w:r>
      <w:bookmarkEnd w:id="1"/>
      <w:r w:rsidRPr="00641F0E">
        <w:t>, h.17</w:t>
      </w:r>
    </w:p>
  </w:footnote>
  <w:footnote w:id="6">
    <w:p w:rsidR="00F90F24" w:rsidRPr="00641F0E" w:rsidRDefault="00F90F24" w:rsidP="00F90F24">
      <w:pPr>
        <w:pStyle w:val="FootnoteText"/>
        <w:ind w:firstLine="709"/>
      </w:pPr>
      <w:r w:rsidRPr="00641F0E">
        <w:rPr>
          <w:rStyle w:val="FootnoteReference"/>
        </w:rPr>
        <w:footnoteRef/>
      </w:r>
      <w:r w:rsidRPr="00641F0E">
        <w:rPr>
          <w:i/>
        </w:rPr>
        <w:t>Ibid</w:t>
      </w:r>
      <w:r w:rsidRPr="00641F0E">
        <w:t>, h.18</w:t>
      </w:r>
    </w:p>
  </w:footnote>
  <w:footnote w:id="7">
    <w:p w:rsidR="00F90F24" w:rsidRPr="00641F0E" w:rsidRDefault="00F90F24" w:rsidP="00F90F24">
      <w:pPr>
        <w:pStyle w:val="FootnoteText"/>
        <w:jc w:val="both"/>
      </w:pPr>
      <w:r w:rsidRPr="00641F0E">
        <w:tab/>
      </w:r>
      <w:r w:rsidRPr="00641F0E">
        <w:rPr>
          <w:rStyle w:val="FootnoteReference"/>
        </w:rPr>
        <w:footnoteRef/>
      </w:r>
      <w:bookmarkStart w:id="2" w:name="_Hlk171785106"/>
      <w:r w:rsidRPr="00641F0E">
        <w:t xml:space="preserve">Maulana Hassan Madong. </w:t>
      </w:r>
      <w:r w:rsidRPr="00641F0E">
        <w:rPr>
          <w:bCs/>
          <w:i/>
          <w:iCs/>
        </w:rPr>
        <w:t>Pengantar Advokasi dan Hukum Perlindungan Anak</w:t>
      </w:r>
      <w:r w:rsidRPr="00641F0E">
        <w:t>, Gramedia Widiasarana Indonesia, Jakarta, 2018</w:t>
      </w:r>
      <w:bookmarkEnd w:id="2"/>
      <w:r w:rsidRPr="00641F0E">
        <w:t>, h.</w:t>
      </w:r>
      <w:r w:rsidRPr="00641F0E">
        <w:rPr>
          <w:snapToGrid w:val="0"/>
        </w:rPr>
        <w:t xml:space="preserve"> 39</w:t>
      </w:r>
    </w:p>
  </w:footnote>
  <w:footnote w:id="8">
    <w:p w:rsidR="00F90F24" w:rsidRPr="00641F0E" w:rsidRDefault="00F90F24" w:rsidP="00F90F24">
      <w:pPr>
        <w:pStyle w:val="FootnoteText"/>
      </w:pPr>
      <w:r w:rsidRPr="00641F0E">
        <w:tab/>
      </w:r>
      <w:r w:rsidRPr="00641F0E">
        <w:rPr>
          <w:rStyle w:val="FootnoteReference"/>
        </w:rPr>
        <w:footnoteRef/>
      </w:r>
      <w:r w:rsidRPr="00641F0E">
        <w:t xml:space="preserve">Marlina.  </w:t>
      </w:r>
      <w:r w:rsidRPr="00641F0E">
        <w:rPr>
          <w:i/>
          <w:iCs/>
        </w:rPr>
        <w:t>Op.Cit</w:t>
      </w:r>
      <w:r w:rsidRPr="00641F0E">
        <w:t>, h.  209.</w:t>
      </w:r>
    </w:p>
  </w:footnote>
  <w:footnote w:id="9">
    <w:p w:rsidR="00F90F24" w:rsidRPr="00641F0E" w:rsidRDefault="00F90F24" w:rsidP="00F90F24">
      <w:pPr>
        <w:pStyle w:val="FootnoteText"/>
      </w:pPr>
      <w:r w:rsidRPr="00641F0E">
        <w:tab/>
      </w:r>
      <w:r w:rsidRPr="00641F0E">
        <w:rPr>
          <w:rStyle w:val="FootnoteReference"/>
        </w:rPr>
        <w:footnoteRef/>
      </w:r>
      <w:r w:rsidRPr="00641F0E">
        <w:t xml:space="preserve">Maidin Gultom. </w:t>
      </w:r>
      <w:r w:rsidRPr="00641F0E">
        <w:rPr>
          <w:i/>
        </w:rPr>
        <w:t>Op.Cit</w:t>
      </w:r>
      <w:r w:rsidRPr="00641F0E">
        <w:t>.  h. 36-37</w:t>
      </w:r>
    </w:p>
  </w:footnote>
  <w:footnote w:id="10">
    <w:p w:rsidR="00F90F24" w:rsidRPr="00641F0E" w:rsidRDefault="00F90F24" w:rsidP="00F90F24">
      <w:pPr>
        <w:pStyle w:val="FootnoteText"/>
      </w:pPr>
      <w:r w:rsidRPr="00641F0E">
        <w:tab/>
      </w:r>
      <w:r w:rsidRPr="00641F0E">
        <w:rPr>
          <w:rStyle w:val="FootnoteReference"/>
        </w:rPr>
        <w:footnoteRef/>
      </w:r>
      <w:r w:rsidRPr="00641F0E">
        <w:rPr>
          <w:i/>
        </w:rPr>
        <w:t>Ibid</w:t>
      </w:r>
      <w:r w:rsidRPr="00641F0E">
        <w:t>.  h. 33.</w:t>
      </w:r>
    </w:p>
  </w:footnote>
  <w:footnote w:id="11">
    <w:p w:rsidR="00F90F24" w:rsidRPr="00641F0E" w:rsidRDefault="00F90F24" w:rsidP="00F90F24">
      <w:pPr>
        <w:pStyle w:val="FootnoteText"/>
      </w:pPr>
      <w:r w:rsidRPr="00641F0E">
        <w:tab/>
      </w:r>
      <w:r w:rsidRPr="00641F0E">
        <w:rPr>
          <w:rStyle w:val="FootnoteReference"/>
        </w:rPr>
        <w:footnoteRef/>
      </w:r>
      <w:r w:rsidRPr="00641F0E">
        <w:t xml:space="preserve">Maulana Hassan Madong, </w:t>
      </w:r>
      <w:r w:rsidRPr="00641F0E">
        <w:rPr>
          <w:bCs/>
          <w:i/>
          <w:iCs/>
        </w:rPr>
        <w:t>Op.Cit</w:t>
      </w:r>
      <w:r w:rsidRPr="00641F0E">
        <w:t>, h. 40</w:t>
      </w:r>
    </w:p>
  </w:footnote>
  <w:footnote w:id="12">
    <w:p w:rsidR="00F90F24" w:rsidRPr="00641F0E" w:rsidRDefault="00F90F24" w:rsidP="00F90F24">
      <w:pPr>
        <w:pStyle w:val="FootnoteText"/>
      </w:pPr>
      <w:r w:rsidRPr="00641F0E">
        <w:tab/>
      </w:r>
      <w:r w:rsidRPr="00641F0E">
        <w:rPr>
          <w:rStyle w:val="FootnoteReference"/>
        </w:rPr>
        <w:footnoteRef/>
      </w:r>
      <w:r w:rsidRPr="00641F0E">
        <w:t xml:space="preserve">Shanty Dellyana. </w:t>
      </w:r>
      <w:r w:rsidRPr="00641F0E">
        <w:rPr>
          <w:i/>
        </w:rPr>
        <w:t>Wanita dan Anak Di Mata Hukum</w:t>
      </w:r>
      <w:r w:rsidRPr="00641F0E">
        <w:t>, Liberty, Yogyakarta, 2018.  h. 18</w:t>
      </w:r>
    </w:p>
  </w:footnote>
  <w:footnote w:id="13">
    <w:p w:rsidR="00F90F24" w:rsidRPr="00641F0E" w:rsidRDefault="00F90F24" w:rsidP="00F90F24">
      <w:pPr>
        <w:pStyle w:val="FootnoteText"/>
      </w:pPr>
      <w:r w:rsidRPr="00641F0E">
        <w:tab/>
      </w:r>
      <w:r w:rsidRPr="00641F0E">
        <w:rPr>
          <w:rStyle w:val="FootnoteReference"/>
        </w:rPr>
        <w:footnoteRef/>
      </w:r>
      <w:r w:rsidRPr="00641F0E">
        <w:t xml:space="preserve">Maulana Hassan Madong, </w:t>
      </w:r>
      <w:r w:rsidRPr="00641F0E">
        <w:rPr>
          <w:bCs/>
          <w:i/>
          <w:iCs/>
        </w:rPr>
        <w:t xml:space="preserve">Op.Cit, </w:t>
      </w:r>
      <w:r w:rsidRPr="00641F0E">
        <w:t xml:space="preserve"> h. 41.</w:t>
      </w:r>
    </w:p>
  </w:footnote>
  <w:footnote w:id="14">
    <w:p w:rsidR="00F90F24" w:rsidRPr="00641F0E" w:rsidRDefault="00F90F24" w:rsidP="00F90F24">
      <w:pPr>
        <w:pStyle w:val="FootnoteText"/>
      </w:pPr>
      <w:r w:rsidRPr="00641F0E">
        <w:tab/>
      </w:r>
      <w:r w:rsidRPr="00641F0E">
        <w:rPr>
          <w:rStyle w:val="FootnoteReference"/>
        </w:rPr>
        <w:footnoteRef/>
      </w:r>
      <w:r w:rsidRPr="00641F0E">
        <w:rPr>
          <w:i/>
        </w:rPr>
        <w:t>Ibid</w:t>
      </w:r>
      <w:r w:rsidRPr="00641F0E">
        <w:t>, h. 41.</w:t>
      </w:r>
    </w:p>
  </w:footnote>
  <w:footnote w:id="15">
    <w:p w:rsidR="00F90F24" w:rsidRPr="00641F0E" w:rsidRDefault="00F90F24" w:rsidP="00F90F24">
      <w:pPr>
        <w:pStyle w:val="FootnoteText"/>
        <w:jc w:val="both"/>
      </w:pPr>
      <w:r w:rsidRPr="00641F0E">
        <w:tab/>
      </w:r>
      <w:r w:rsidRPr="00641F0E">
        <w:rPr>
          <w:rStyle w:val="FootnoteReference"/>
        </w:rPr>
        <w:footnoteRef/>
      </w:r>
      <w:bookmarkStart w:id="3" w:name="_Hlk171785443"/>
      <w:r w:rsidRPr="00641F0E">
        <w:rPr>
          <w:bCs/>
          <w:iCs/>
        </w:rPr>
        <w:t xml:space="preserve">Iman Jauhari. </w:t>
      </w:r>
      <w:r w:rsidRPr="00641F0E">
        <w:rPr>
          <w:bCs/>
          <w:i/>
          <w:iCs/>
        </w:rPr>
        <w:t>Advokasi Hak-Hak Anak (Ditinjau dari Hukum Islam dan Peraturan Perundang-Undangan)</w:t>
      </w:r>
      <w:r w:rsidRPr="00641F0E">
        <w:t>, Pustaka Bangsa Press, Medan, 2018</w:t>
      </w:r>
      <w:bookmarkEnd w:id="3"/>
      <w:r w:rsidRPr="00641F0E">
        <w:t>, h. 20-21</w:t>
      </w:r>
    </w:p>
  </w:footnote>
  <w:footnote w:id="16">
    <w:p w:rsidR="00F90F24" w:rsidRPr="00641F0E" w:rsidRDefault="00F90F24" w:rsidP="00F90F24">
      <w:pPr>
        <w:pStyle w:val="FootnoteText"/>
        <w:ind w:firstLine="709"/>
        <w:jc w:val="both"/>
      </w:pPr>
      <w:r w:rsidRPr="00641F0E">
        <w:rPr>
          <w:rStyle w:val="FootnoteReference"/>
        </w:rPr>
        <w:footnoteRef/>
      </w:r>
      <w:bookmarkStart w:id="5" w:name="_Hlk171785468"/>
      <w:r w:rsidRPr="00641F0E">
        <w:t xml:space="preserve">Wilson Nadaek, </w:t>
      </w:r>
      <w:r w:rsidRPr="00641F0E">
        <w:rPr>
          <w:i/>
          <w:iCs/>
        </w:rPr>
        <w:t xml:space="preserve">Korban Ganja dan Masalah Narkotika, </w:t>
      </w:r>
      <w:r w:rsidRPr="00641F0E">
        <w:t>Indonesia Publishing House, Bandung, 2013</w:t>
      </w:r>
      <w:bookmarkEnd w:id="5"/>
      <w:r w:rsidRPr="00641F0E">
        <w:t>, h.122.</w:t>
      </w:r>
    </w:p>
  </w:footnote>
  <w:footnote w:id="17">
    <w:p w:rsidR="00F90F24" w:rsidRPr="00641F0E" w:rsidRDefault="00F90F24" w:rsidP="00F90F24">
      <w:pPr>
        <w:pStyle w:val="FootnoteText"/>
        <w:ind w:firstLine="709"/>
        <w:jc w:val="both"/>
      </w:pPr>
      <w:r w:rsidRPr="00641F0E">
        <w:rPr>
          <w:rStyle w:val="FootnoteReference"/>
        </w:rPr>
        <w:footnoteRef/>
      </w:r>
      <w:bookmarkStart w:id="6" w:name="_Hlk171785522"/>
      <w:r w:rsidRPr="00641F0E">
        <w:t xml:space="preserve">Wijaya A.W. </w:t>
      </w:r>
      <w:r w:rsidRPr="00641F0E">
        <w:rPr>
          <w:i/>
          <w:iCs/>
        </w:rPr>
        <w:t xml:space="preserve">Masalah Kenakan Remaja dan Penyalahgunaan Narkotika, </w:t>
      </w:r>
      <w:r w:rsidRPr="00641F0E">
        <w:t>Armico, Bandung, 2015</w:t>
      </w:r>
      <w:bookmarkEnd w:id="6"/>
      <w:r w:rsidRPr="00641F0E">
        <w:t>, h.145</w:t>
      </w:r>
    </w:p>
  </w:footnote>
  <w:footnote w:id="18">
    <w:p w:rsidR="00F90F24" w:rsidRPr="00641F0E" w:rsidRDefault="00F90F24" w:rsidP="00F90F24">
      <w:pPr>
        <w:pStyle w:val="FootnoteText"/>
        <w:ind w:firstLine="709"/>
        <w:jc w:val="both"/>
      </w:pPr>
      <w:r w:rsidRPr="00641F0E">
        <w:rPr>
          <w:rStyle w:val="FootnoteReference"/>
        </w:rPr>
        <w:footnoteRef/>
      </w:r>
      <w:r w:rsidRPr="00641F0E">
        <w:t xml:space="preserve">Soedjono D. </w:t>
      </w:r>
      <w:r w:rsidRPr="00641F0E">
        <w:rPr>
          <w:i/>
          <w:iCs/>
        </w:rPr>
        <w:t xml:space="preserve">Segi Hukum tentang Narkotika di Indonesia, </w:t>
      </w:r>
      <w:r w:rsidRPr="00641F0E">
        <w:t>Karya Nusantara, Bandung, 2017, hl.5.</w:t>
      </w:r>
    </w:p>
  </w:footnote>
  <w:footnote w:id="19">
    <w:p w:rsidR="00F90F24" w:rsidRPr="00641F0E" w:rsidRDefault="00F90F24" w:rsidP="00F90F24">
      <w:pPr>
        <w:pStyle w:val="FootnoteText"/>
        <w:ind w:firstLine="709"/>
        <w:jc w:val="both"/>
      </w:pPr>
      <w:r w:rsidRPr="00641F0E">
        <w:rPr>
          <w:rStyle w:val="FootnoteReference"/>
        </w:rPr>
        <w:footnoteRef/>
      </w:r>
      <w:r w:rsidRPr="00641F0E">
        <w:t xml:space="preserve">Wilson Nadeak, </w:t>
      </w:r>
      <w:r w:rsidRPr="00641F0E">
        <w:rPr>
          <w:i/>
          <w:iCs/>
        </w:rPr>
        <w:t xml:space="preserve">Op.Cit., </w:t>
      </w:r>
      <w:r w:rsidRPr="00641F0E">
        <w:t>h. 124</w:t>
      </w:r>
    </w:p>
  </w:footnote>
  <w:footnote w:id="20">
    <w:p w:rsidR="00F90F24" w:rsidRPr="00641F0E" w:rsidRDefault="00F90F24" w:rsidP="00F90F24">
      <w:pPr>
        <w:pStyle w:val="FootnoteText"/>
        <w:ind w:firstLine="709"/>
        <w:jc w:val="both"/>
      </w:pPr>
      <w:r w:rsidRPr="00641F0E">
        <w:rPr>
          <w:rStyle w:val="FootnoteReference"/>
        </w:rPr>
        <w:footnoteRef/>
      </w:r>
      <w:bookmarkStart w:id="7" w:name="_Hlk171785604"/>
      <w:r w:rsidRPr="00641F0E">
        <w:t xml:space="preserve">F. Asya, </w:t>
      </w:r>
      <w:r w:rsidRPr="00641F0E">
        <w:rPr>
          <w:i/>
          <w:iCs/>
        </w:rPr>
        <w:t xml:space="preserve">Narkotika dan Psikotropika, </w:t>
      </w:r>
      <w:r w:rsidRPr="00641F0E">
        <w:t>Asa Mandiri, Jakarta, 2019</w:t>
      </w:r>
      <w:bookmarkEnd w:id="7"/>
      <w:r w:rsidRPr="00641F0E">
        <w:t>, h. 3</w:t>
      </w:r>
    </w:p>
  </w:footnote>
  <w:footnote w:id="21">
    <w:p w:rsidR="00F90F24" w:rsidRPr="00641F0E" w:rsidRDefault="00F90F24" w:rsidP="00F90F24">
      <w:pPr>
        <w:pStyle w:val="FootnoteText"/>
        <w:ind w:firstLine="709"/>
        <w:jc w:val="both"/>
      </w:pPr>
      <w:r w:rsidRPr="00641F0E">
        <w:rPr>
          <w:rStyle w:val="FootnoteReference"/>
        </w:rPr>
        <w:footnoteRef/>
      </w:r>
      <w:r w:rsidRPr="00641F0E">
        <w:t>Pasal 1 Peraturan Menteri Pendidikan Dan Kebudayaan Republik Indonesia Nomor 38 Tahun 2019 Tentang Pencegahan Penyalahgunaan dan Peredaran Gelap Narkotika dan Prekursor Narkotika Di Lingkungan Kementerian Pendidikan dan Kebudayaan</w:t>
      </w:r>
    </w:p>
  </w:footnote>
  <w:footnote w:id="22">
    <w:p w:rsidR="00F90F24" w:rsidRPr="00641F0E" w:rsidRDefault="00F90F24" w:rsidP="00F90F24">
      <w:pPr>
        <w:pStyle w:val="FootnoteText"/>
        <w:ind w:firstLine="709"/>
        <w:jc w:val="both"/>
      </w:pPr>
      <w:r w:rsidRPr="00641F0E">
        <w:rPr>
          <w:rStyle w:val="FootnoteReference"/>
        </w:rPr>
        <w:footnoteRef/>
      </w:r>
      <w:r w:rsidRPr="00641F0E">
        <w:t xml:space="preserve">Bagian Menimbang Peraturan Menteri Kesehatan Republik Indonesia Nomor 44 Tahun 2019 Tentang Perubahan Penggolongan Narkotika. </w:t>
      </w:r>
    </w:p>
  </w:footnote>
  <w:footnote w:id="23">
    <w:p w:rsidR="00F90F24" w:rsidRPr="00641F0E" w:rsidRDefault="00F90F24" w:rsidP="00F90F24">
      <w:pPr>
        <w:pStyle w:val="FootnoteText"/>
        <w:ind w:firstLine="709"/>
        <w:jc w:val="both"/>
      </w:pPr>
      <w:r w:rsidRPr="00641F0E">
        <w:rPr>
          <w:rStyle w:val="FootnoteReference"/>
        </w:rPr>
        <w:footnoteRef/>
      </w:r>
      <w:r w:rsidRPr="00641F0E">
        <w:t>Penjelasan Peraturan Pemerintah Republik Indonesia Nomor 40 Tahun 2013 Tentang Pelaksanaan Undang-Undang Nomor 35 Tahun 2009 Tentang Narkotika.</w:t>
      </w:r>
    </w:p>
  </w:footnote>
  <w:footnote w:id="24">
    <w:p w:rsidR="00F90F24" w:rsidRPr="00641F0E" w:rsidRDefault="00F90F24" w:rsidP="00F90F24">
      <w:pPr>
        <w:pStyle w:val="FootnoteText"/>
        <w:ind w:firstLine="709"/>
        <w:jc w:val="both"/>
      </w:pPr>
      <w:r w:rsidRPr="00641F0E">
        <w:rPr>
          <w:rStyle w:val="FootnoteReference"/>
        </w:rPr>
        <w:footnoteRef/>
      </w:r>
      <w:r w:rsidRPr="00641F0E">
        <w:rPr>
          <w:i/>
        </w:rPr>
        <w:t>Ibid</w:t>
      </w:r>
      <w:r w:rsidRPr="00641F0E">
        <w:t>, h.4</w:t>
      </w:r>
    </w:p>
  </w:footnote>
  <w:footnote w:id="25">
    <w:p w:rsidR="00F90F24" w:rsidRPr="00641F0E" w:rsidRDefault="00F90F24" w:rsidP="00F90F24">
      <w:pPr>
        <w:pStyle w:val="FootnoteText"/>
        <w:ind w:firstLine="709"/>
        <w:jc w:val="both"/>
      </w:pPr>
      <w:r w:rsidRPr="00641F0E">
        <w:rPr>
          <w:rStyle w:val="FootnoteReference"/>
        </w:rPr>
        <w:footnoteRef/>
      </w:r>
      <w:r w:rsidRPr="00641F0E">
        <w:rPr>
          <w:i/>
        </w:rPr>
        <w:t>Ibid</w:t>
      </w:r>
      <w:r w:rsidRPr="00641F0E">
        <w:t>, h.6.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112262" w:rsidP="007C2BC0">
    <w:pPr>
      <w:pStyle w:val="Header"/>
      <w:framePr w:wrap="around" w:vAnchor="text" w:hAnchor="margin" w:xAlign="right" w:y="1"/>
      <w:rPr>
        <w:rStyle w:val="PageNumber"/>
      </w:rPr>
    </w:pPr>
    <w:r w:rsidRPr="0011226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A6327B">
      <w:rPr>
        <w:rStyle w:val="PageNumber"/>
      </w:rPr>
      <w:instrText xml:space="preserve">PAGE  </w:instrText>
    </w:r>
    <w:r>
      <w:rPr>
        <w:rStyle w:val="PageNumber"/>
      </w:rPr>
      <w:fldChar w:fldCharType="separate"/>
    </w:r>
    <w:r w:rsidR="00A6327B">
      <w:rPr>
        <w:rStyle w:val="PageNumber"/>
      </w:rPr>
      <w:t>4</w:t>
    </w:r>
    <w:r>
      <w:rPr>
        <w:rStyle w:val="PageNumber"/>
      </w:rPr>
      <w:fldChar w:fldCharType="end"/>
    </w:r>
  </w:p>
  <w:p w:rsidR="00DE30A6" w:rsidRDefault="009E0D7E"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83" w:rsidRDefault="00CC7183" w:rsidP="00CC7183">
    <w:pPr>
      <w:pStyle w:val="Header"/>
      <w:ind w:right="360"/>
      <w:jc w:val="right"/>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21/11/2025 10:04:50</w:t>
    </w:r>
  </w:p>
  <w:p w:rsidR="00DE30A6" w:rsidRDefault="00112262" w:rsidP="007C2BC0">
    <w:pPr>
      <w:pStyle w:val="Header"/>
      <w:ind w:right="360"/>
    </w:pPr>
    <w:r w:rsidRPr="00112262">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112262">
    <w:pPr>
      <w:pStyle w:val="Header"/>
    </w:pPr>
    <w:r w:rsidRPr="0011226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3195"/>
    <w:multiLevelType w:val="hybridMultilevel"/>
    <w:tmpl w:val="E286DC70"/>
    <w:lvl w:ilvl="0" w:tplc="C9545AA6">
      <w:start w:val="2"/>
      <w:numFmt w:val="upperLetter"/>
      <w:lvlText w:val="%1."/>
      <w:lvlJc w:val="left"/>
      <w:pPr>
        <w:tabs>
          <w:tab w:val="num" w:pos="3829"/>
        </w:tabs>
        <w:ind w:left="382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A0DA7"/>
    <w:multiLevelType w:val="hybridMultilevel"/>
    <w:tmpl w:val="21785A12"/>
    <w:lvl w:ilvl="0" w:tplc="0409000F">
      <w:start w:val="1"/>
      <w:numFmt w:val="decimal"/>
      <w:lvlText w:val="%1."/>
      <w:lvlJc w:val="left"/>
      <w:pPr>
        <w:tabs>
          <w:tab w:val="num" w:pos="720"/>
        </w:tabs>
        <w:ind w:left="720" w:hanging="360"/>
      </w:pPr>
      <w:rPr>
        <w:rFonts w:hint="default"/>
      </w:rPr>
    </w:lvl>
    <w:lvl w:ilvl="1" w:tplc="4BCE8830">
      <w:start w:val="1"/>
      <w:numFmt w:val="decimal"/>
      <w:lvlText w:val="(%2)"/>
      <w:lvlJc w:val="left"/>
      <w:pPr>
        <w:tabs>
          <w:tab w:val="num" w:pos="1440"/>
        </w:tabs>
        <w:ind w:left="1440" w:hanging="360"/>
      </w:pPr>
      <w:rPr>
        <w:rFonts w:hint="default"/>
      </w:rPr>
    </w:lvl>
    <w:lvl w:ilvl="2" w:tplc="67BE4AA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8E085D"/>
    <w:multiLevelType w:val="hybridMultilevel"/>
    <w:tmpl w:val="F5B81E88"/>
    <w:lvl w:ilvl="0" w:tplc="81D06E24">
      <w:start w:val="1"/>
      <w:numFmt w:val="decimal"/>
      <w:lvlText w:val="%1)"/>
      <w:lvlJc w:val="left"/>
      <w:pPr>
        <w:tabs>
          <w:tab w:val="num" w:pos="720"/>
        </w:tabs>
        <w:ind w:left="720" w:hanging="360"/>
      </w:pPr>
      <w:rPr>
        <w:rFonts w:ascii="Times New Roman" w:eastAsia="Times New Roman" w:hAnsi="Times New Roman" w:cs="Times New Roman" w:hint="default"/>
      </w:rPr>
    </w:lvl>
    <w:lvl w:ilvl="1" w:tplc="B012443C">
      <w:start w:val="1"/>
      <w:numFmt w:val="lowerLetter"/>
      <w:lvlText w:val="%2)"/>
      <w:lvlJc w:val="left"/>
      <w:pPr>
        <w:tabs>
          <w:tab w:val="num" w:pos="1440"/>
        </w:tabs>
        <w:ind w:left="1440" w:hanging="360"/>
      </w:pPr>
      <w:rPr>
        <w:rFonts w:ascii="Arial" w:eastAsia="Times New Roman" w:hAnsi="Arial" w:cs="Arial"/>
      </w:rPr>
    </w:lvl>
    <w:lvl w:ilvl="2" w:tplc="AD8C8150">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FFACEC4E">
      <w:start w:val="1"/>
      <w:numFmt w:val="decimal"/>
      <w:lvlText w:val="%5."/>
      <w:lvlJc w:val="left"/>
      <w:pPr>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A31C04"/>
    <w:multiLevelType w:val="hybridMultilevel"/>
    <w:tmpl w:val="7FE28E80"/>
    <w:lvl w:ilvl="0" w:tplc="46DA703E">
      <w:start w:val="1"/>
      <w:numFmt w:val="decimal"/>
      <w:lvlText w:val="%1."/>
      <w:lvlJc w:val="left"/>
      <w:pPr>
        <w:tabs>
          <w:tab w:val="num" w:pos="720"/>
        </w:tabs>
        <w:ind w:left="720" w:hanging="360"/>
      </w:pPr>
      <w:rPr>
        <w:b w:val="0"/>
      </w:rPr>
    </w:lvl>
    <w:lvl w:ilvl="1" w:tplc="15D87CBE">
      <w:start w:val="1"/>
      <w:numFmt w:val="lowerLetter"/>
      <w:lvlText w:val="%2."/>
      <w:lvlJc w:val="left"/>
      <w:pPr>
        <w:tabs>
          <w:tab w:val="num" w:pos="1440"/>
        </w:tabs>
        <w:ind w:left="1440" w:hanging="360"/>
      </w:pPr>
      <w:rPr>
        <w:rFonts w:ascii="Times New Roman" w:eastAsia="Calibri" w:hAnsi="Times New Roman" w:cs="Times New Roman" w:hint="default"/>
      </w:rPr>
    </w:lvl>
    <w:lvl w:ilvl="2" w:tplc="295067FA">
      <w:start w:val="1"/>
      <w:numFmt w:val="lowerLetter"/>
      <w:lvlText w:val="%3."/>
      <w:lvlJc w:val="left"/>
      <w:pPr>
        <w:ind w:left="2340" w:hanging="360"/>
      </w:pPr>
      <w:rPr>
        <w:rFonts w:ascii="Times New Roman" w:eastAsia="Times New Roman" w:hAnsi="Times New Roman" w:cs="Times New Roman"/>
        <w:sz w:val="23"/>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FB06C9D"/>
    <w:multiLevelType w:val="hybridMultilevel"/>
    <w:tmpl w:val="03344E20"/>
    <w:lvl w:ilvl="0" w:tplc="B4603524">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FAB47AE"/>
    <w:multiLevelType w:val="hybridMultilevel"/>
    <w:tmpl w:val="3BB4C7E4"/>
    <w:lvl w:ilvl="0" w:tplc="0409000F">
      <w:start w:val="1"/>
      <w:numFmt w:val="decimal"/>
      <w:lvlText w:val="%1."/>
      <w:lvlJc w:val="left"/>
      <w:pPr>
        <w:tabs>
          <w:tab w:val="num" w:pos="720"/>
        </w:tabs>
        <w:ind w:left="720" w:hanging="360"/>
      </w:pPr>
      <w:rPr>
        <w:rFonts w:hint="default"/>
      </w:rPr>
    </w:lvl>
    <w:lvl w:ilvl="1" w:tplc="F8D6B9BE">
      <w:start w:val="1"/>
      <w:numFmt w:val="decimal"/>
      <w:lvlText w:val="%2)"/>
      <w:lvlJc w:val="left"/>
      <w:pPr>
        <w:tabs>
          <w:tab w:val="num" w:pos="1440"/>
        </w:tabs>
        <w:ind w:left="1440" w:hanging="360"/>
      </w:pPr>
      <w:rPr>
        <w:rFonts w:ascii="Times New Roman" w:eastAsia="Times New Roman" w:hAnsi="Times New Roman" w:cs="Times New Roman"/>
      </w:rPr>
    </w:lvl>
    <w:lvl w:ilvl="2" w:tplc="29562EF6">
      <w:start w:val="1"/>
      <w:numFmt w:val="upperLetter"/>
      <w:lvlText w:val="%3."/>
      <w:lvlJc w:val="left"/>
      <w:pPr>
        <w:tabs>
          <w:tab w:val="num" w:pos="2340"/>
        </w:tabs>
        <w:ind w:left="2340" w:hanging="360"/>
      </w:pPr>
      <w:rPr>
        <w:rFonts w:ascii="Arial" w:hAnsi="Arial" w:cs="Arial" w:hint="default"/>
      </w:rPr>
    </w:lvl>
    <w:lvl w:ilvl="3" w:tplc="3206836E">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DF6FCF"/>
    <w:multiLevelType w:val="hybridMultilevel"/>
    <w:tmpl w:val="89C85D88"/>
    <w:lvl w:ilvl="0" w:tplc="7DA476C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645DE8"/>
    <w:multiLevelType w:val="hybridMultilevel"/>
    <w:tmpl w:val="0D8C2896"/>
    <w:lvl w:ilvl="0" w:tplc="F59E3E5A">
      <w:start w:val="1"/>
      <w:numFmt w:val="upperLetter"/>
      <w:lvlText w:val="%1."/>
      <w:lvlJc w:val="left"/>
      <w:pPr>
        <w:tabs>
          <w:tab w:val="num" w:pos="3829"/>
        </w:tabs>
        <w:ind w:left="3829" w:hanging="360"/>
      </w:pPr>
      <w:rPr>
        <w:rFonts w:hint="default"/>
      </w:rPr>
    </w:lvl>
    <w:lvl w:ilvl="1" w:tplc="F1422FDC">
      <w:start w:val="1"/>
      <w:numFmt w:val="decimal"/>
      <w:lvlText w:val="%2."/>
      <w:lvlJc w:val="left"/>
      <w:pPr>
        <w:tabs>
          <w:tab w:val="num" w:pos="1440"/>
        </w:tabs>
        <w:ind w:left="1440" w:hanging="360"/>
      </w:pPr>
      <w:rPr>
        <w:rFonts w:hint="default"/>
      </w:rPr>
    </w:lvl>
    <w:lvl w:ilvl="2" w:tplc="81BC8D30">
      <w:start w:val="1"/>
      <w:numFmt w:val="upperLetter"/>
      <w:lvlText w:val="%3."/>
      <w:lvlJc w:val="left"/>
      <w:pPr>
        <w:tabs>
          <w:tab w:val="num" w:pos="2340"/>
        </w:tabs>
        <w:ind w:left="2340" w:hanging="360"/>
      </w:pPr>
      <w:rPr>
        <w:rFonts w:ascii="Times New Roman" w:hAnsi="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881B09"/>
    <w:multiLevelType w:val="hybridMultilevel"/>
    <w:tmpl w:val="9F10A410"/>
    <w:lvl w:ilvl="0" w:tplc="002272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C461D3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975DE7"/>
    <w:multiLevelType w:val="hybridMultilevel"/>
    <w:tmpl w:val="59EC2306"/>
    <w:lvl w:ilvl="0" w:tplc="A566B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C39E1"/>
    <w:multiLevelType w:val="hybridMultilevel"/>
    <w:tmpl w:val="211A45A8"/>
    <w:lvl w:ilvl="0" w:tplc="AA2E597A">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9F1BA7"/>
    <w:multiLevelType w:val="hybridMultilevel"/>
    <w:tmpl w:val="0798934E"/>
    <w:lvl w:ilvl="0" w:tplc="A47CB7C4">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0"/>
  </w:num>
  <w:num w:numId="5">
    <w:abstractNumId w:val="7"/>
  </w:num>
  <w:num w:numId="6">
    <w:abstractNumId w:val="5"/>
  </w:num>
  <w:num w:numId="7">
    <w:abstractNumId w:val="12"/>
  </w:num>
  <w:num w:numId="8">
    <w:abstractNumId w:val="4"/>
  </w:num>
  <w:num w:numId="9">
    <w:abstractNumId w:val="13"/>
  </w:num>
  <w:num w:numId="10">
    <w:abstractNumId w:val="9"/>
  </w:num>
  <w:num w:numId="11">
    <w:abstractNumId w:val="1"/>
  </w:num>
  <w:num w:numId="12">
    <w:abstractNumId w:val="11"/>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TWZx8T8m95hUY2sTXHYk3oNDpdk=" w:salt="39RC/PVP3jeFLF/ysGIjQ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14091"/>
    <w:rsid w:val="00091633"/>
    <w:rsid w:val="00112262"/>
    <w:rsid w:val="001515D1"/>
    <w:rsid w:val="001A5C8F"/>
    <w:rsid w:val="00280F85"/>
    <w:rsid w:val="0038484B"/>
    <w:rsid w:val="00391F26"/>
    <w:rsid w:val="00415F71"/>
    <w:rsid w:val="004235C8"/>
    <w:rsid w:val="004E6D17"/>
    <w:rsid w:val="006344A3"/>
    <w:rsid w:val="006C2BFC"/>
    <w:rsid w:val="008231AA"/>
    <w:rsid w:val="009E0D7E"/>
    <w:rsid w:val="00A6327B"/>
    <w:rsid w:val="00A818BB"/>
    <w:rsid w:val="00C5219F"/>
    <w:rsid w:val="00C756CF"/>
    <w:rsid w:val="00CB1633"/>
    <w:rsid w:val="00CC7183"/>
    <w:rsid w:val="00D673C0"/>
    <w:rsid w:val="00D76F75"/>
    <w:rsid w:val="00D95A79"/>
    <w:rsid w:val="00E354F9"/>
    <w:rsid w:val="00F25BE9"/>
    <w:rsid w:val="00F43E4B"/>
    <w:rsid w:val="00F90F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2025-11-21T03:08:00Z</dcterms:created>
  <dcterms:modified xsi:type="dcterms:W3CDTF">2025-11-21T03:08:00Z</dcterms:modified>
</cp:coreProperties>
</file>