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3B6" w:rsidRPr="002F0BE2" w:rsidRDefault="00F473B6" w:rsidP="00F473B6">
      <w:pPr>
        <w:spacing w:line="480" w:lineRule="auto"/>
        <w:jc w:val="center"/>
        <w:rPr>
          <w:b/>
          <w:color w:val="000000"/>
        </w:rPr>
      </w:pPr>
      <w:r w:rsidRPr="002F0BE2">
        <w:rPr>
          <w:b/>
          <w:color w:val="000000"/>
        </w:rPr>
        <w:t>BAB IV</w:t>
      </w:r>
    </w:p>
    <w:p w:rsidR="00F473B6" w:rsidRPr="002F0BE2" w:rsidRDefault="00F473B6" w:rsidP="00F473B6">
      <w:pPr>
        <w:spacing w:line="480" w:lineRule="auto"/>
        <w:jc w:val="center"/>
        <w:rPr>
          <w:b/>
          <w:color w:val="000000"/>
        </w:rPr>
      </w:pPr>
      <w:r w:rsidRPr="002F0BE2">
        <w:rPr>
          <w:b/>
          <w:color w:val="000000"/>
        </w:rPr>
        <w:t>HASIL PENELITIAN DAN PEMBAHASAN</w:t>
      </w:r>
    </w:p>
    <w:p w:rsidR="00F473B6" w:rsidRPr="002F0BE2" w:rsidRDefault="00F473B6" w:rsidP="006E69C9">
      <w:pPr>
        <w:numPr>
          <w:ilvl w:val="2"/>
          <w:numId w:val="4"/>
        </w:numPr>
        <w:spacing w:line="480" w:lineRule="auto"/>
        <w:ind w:left="360"/>
        <w:jc w:val="both"/>
        <w:rPr>
          <w:b/>
          <w:color w:val="000000"/>
        </w:rPr>
      </w:pPr>
      <w:r w:rsidRPr="002F0BE2">
        <w:rPr>
          <w:b/>
          <w:color w:val="000000"/>
        </w:rPr>
        <w:t xml:space="preserve">Pengaturan Tindak Pidana Pemalsuan </w:t>
      </w:r>
      <w:r w:rsidRPr="002F0BE2">
        <w:rPr>
          <w:b/>
        </w:rPr>
        <w:t xml:space="preserve">Surat Dalam Pembuatan Akta Otentik Yang Dilakukan Oleh Notaris </w:t>
      </w:r>
    </w:p>
    <w:p w:rsidR="00F473B6" w:rsidRPr="002F0BE2" w:rsidRDefault="00F473B6" w:rsidP="00F473B6">
      <w:pPr>
        <w:spacing w:line="480" w:lineRule="auto"/>
        <w:ind w:firstLine="748"/>
        <w:jc w:val="both"/>
      </w:pPr>
      <w:r w:rsidRPr="002F0BE2">
        <w:t>Perbuatan pemalsuan sesungguhnya baru dikenal didalam suatu masyarakat yang sudah maju, dimana data-data/surat, uang logam, merek atau tanda tertentu dipergunakan untuk mempermudah lalu lintas hubungan di dalam masyarakat. Kejahatan mengenai pemalsuan adalah suatu tindak kejahatan yang di dalamnya mengandung unsur suatu keadaan ketidakbenaran atau palsu atas suatu objek yang sesuatunya itu tampak dari luar seolah-olah benar adanya padahal sebenarnya bertentangan dengan yang sebenarnya, sedangkan perbuatan memalsu adalah berupa perbuatan mengubah dengan cara bagaimanapun oleh orang yang tidak berhak atas sebuah surat yang berakibat sebagian atau seluruh isinya menjadi lain atau berbeda dengan isi surat semula.</w:t>
      </w:r>
      <w:r w:rsidRPr="002F0BE2">
        <w:rPr>
          <w:rStyle w:val="FootnoteReference"/>
        </w:rPr>
        <w:footnoteReference w:id="2"/>
      </w:r>
    </w:p>
    <w:p w:rsidR="00F473B6" w:rsidRPr="002F0BE2" w:rsidRDefault="00F473B6" w:rsidP="00F473B6">
      <w:pPr>
        <w:autoSpaceDE w:val="0"/>
        <w:autoSpaceDN w:val="0"/>
        <w:adjustRightInd w:val="0"/>
        <w:spacing w:line="480" w:lineRule="auto"/>
        <w:ind w:firstLine="720"/>
        <w:jc w:val="both"/>
      </w:pPr>
      <w:r w:rsidRPr="002F0BE2">
        <w:t>Perbuatan pemalsuan dapat digolongkan dalam kelompok kejahatan penipuan sehingga tidak semua perbuatan adalah pemalsuan. Perbuatan pemalsuan tergolong kelompok kejahatan penipuan apabila seseorang memberikan gambaran tentang sesuatu gambaran atas barang seakan-akan asli atau benar, sedangkan sesungguhnya atau kebenaran tersebut tidak dimilikinya, karena gambaran data ini orang lain terpedaya dan mempercayai bahwa keadaan yang digambarkan atas barang/surat/data tersebut adalah benar atau asli. Pemalsuan terhadap tulisan/data terjadi apabila isinya atau datanya tidak benar.</w:t>
      </w:r>
    </w:p>
    <w:p w:rsidR="00F473B6" w:rsidRPr="002F0BE2" w:rsidRDefault="00F473B6" w:rsidP="00F473B6">
      <w:pPr>
        <w:spacing w:line="480" w:lineRule="auto"/>
        <w:ind w:firstLine="709"/>
        <w:jc w:val="both"/>
        <w:rPr>
          <w:bCs/>
          <w:color w:val="000000"/>
          <w:lang w:eastAsia="id-ID"/>
        </w:rPr>
      </w:pPr>
      <w:r w:rsidRPr="002F0BE2">
        <w:rPr>
          <w:bCs/>
          <w:color w:val="000000"/>
          <w:lang w:eastAsia="id-ID"/>
        </w:rPr>
        <w:lastRenderedPageBreak/>
        <w:t>Pemalsuan merupakan suatu bentuk kejahatan yang diatur dalam Bab XII Buku II KUH.Pidana, dimana pada buku tersebut dicantumkan bahwa yang termasuk pemalsuan hanyalah berupa tulisan-tulisan saja, termasuk didalamnya pemalsuan tanda tangan yang diatur dalam Pasal 263 KUH.Pidana. s/d Pasal 276 KUHPidana. Tindak Pidana yang sering terjadi adalah berkaitan dengan Pasal 263 KUHPidana (membuat surat palsu atau memalsukan surat); dan Pasal 264 (memalsukan akta-akta otentik) dan Pasal 266 KUHPidana (menyuruh memasukkan keterangan palsu ke dalam suatu akta otentik).</w:t>
      </w:r>
      <w:r w:rsidRPr="002F0BE2">
        <w:rPr>
          <w:rStyle w:val="FootnoteReference"/>
          <w:bCs/>
          <w:color w:val="000000"/>
          <w:lang w:eastAsia="id-ID"/>
        </w:rPr>
        <w:footnoteReference w:id="3"/>
      </w:r>
    </w:p>
    <w:p w:rsidR="00F473B6" w:rsidRPr="002F0BE2" w:rsidRDefault="00F473B6" w:rsidP="00F473B6">
      <w:pPr>
        <w:spacing w:line="480" w:lineRule="auto"/>
        <w:ind w:firstLine="709"/>
        <w:jc w:val="both"/>
        <w:rPr>
          <w:color w:val="000000"/>
        </w:rPr>
      </w:pPr>
      <w:r w:rsidRPr="002F0BE2">
        <w:rPr>
          <w:color w:val="000000"/>
          <w:lang w:val="en-ID"/>
        </w:rPr>
        <w:t>Membuat sebuah surat yang isi seluruhnya atau isi pada bagian tertentu yang bertentangan dengan kebenaran atau palsu disebut dengan pemalsuan intelektual (</w:t>
      </w:r>
      <w:r w:rsidRPr="002F0BE2">
        <w:rPr>
          <w:i/>
          <w:iCs/>
          <w:color w:val="000000"/>
          <w:lang w:val="en-ID"/>
        </w:rPr>
        <w:t>intelectueele valschheids</w:t>
      </w:r>
      <w:r w:rsidRPr="002F0BE2">
        <w:rPr>
          <w:color w:val="000000"/>
          <w:lang w:val="en-ID"/>
        </w:rPr>
        <w:t>). Pemalsuan intelektual adalah pemalsuan terhadap isi suratnya. Perbuatan dalam pemalsuan intelektual bisa merupakan perbuatan membuat palsu surat dan juga bisa perbuatan memalsu surat</w:t>
      </w:r>
      <w:r w:rsidRPr="002F0BE2">
        <w:rPr>
          <w:color w:val="000000"/>
          <w:lang w:val="id-ID"/>
        </w:rPr>
        <w:t>)</w:t>
      </w:r>
      <w:r w:rsidRPr="002F0BE2">
        <w:rPr>
          <w:color w:val="000000"/>
        </w:rPr>
        <w:t>.</w:t>
      </w:r>
      <w:r w:rsidRPr="002F0BE2">
        <w:rPr>
          <w:rStyle w:val="FootnoteReference"/>
          <w:color w:val="000000"/>
        </w:rPr>
        <w:footnoteReference w:id="4"/>
      </w:r>
    </w:p>
    <w:p w:rsidR="00F473B6" w:rsidRPr="002F0BE2" w:rsidRDefault="00F473B6" w:rsidP="00F473B6">
      <w:pPr>
        <w:spacing w:line="480" w:lineRule="auto"/>
        <w:ind w:firstLine="709"/>
        <w:jc w:val="both"/>
        <w:rPr>
          <w:color w:val="000000"/>
          <w:lang w:val="en-ID"/>
        </w:rPr>
      </w:pPr>
      <w:r w:rsidRPr="002F0BE2">
        <w:rPr>
          <w:color w:val="000000"/>
          <w:lang w:val="en-ID"/>
        </w:rPr>
        <w:t>Selain itu terdapat surat palsu yang dibuat oleh seseorang yang mengatasnamakan (seolah-olah) surat iitu dibuat oleh seorang tertentu, bukan menggunakan nama sebenarnya si pembuat surat itu sendiri. Surat semacam ini juga merupakan surat palsu. Pemalsuan semacam ini disebut dengan “pemalsuan materiil (</w:t>
      </w:r>
      <w:r w:rsidRPr="002F0BE2">
        <w:rPr>
          <w:i/>
          <w:iCs/>
          <w:color w:val="000000"/>
          <w:lang w:val="en-ID"/>
        </w:rPr>
        <w:t>materiele valscheid</w:t>
      </w:r>
      <w:r w:rsidRPr="002F0BE2">
        <w:rPr>
          <w:color w:val="000000"/>
          <w:lang w:val="en-ID"/>
        </w:rPr>
        <w:t xml:space="preserve">). Pasalnya surat bukan terletak pada isi surat tetapi pada nama orang (termasuk juga tanda tangan) si pembuat surat yang seolah-oleh dibuat oleh orang yang nama sebenarnya di dalam surat. Misalnya A membuat surat seolah-olah surat tersebut dibuat oleh atau berasal dari B, karena nama dan </w:t>
      </w:r>
      <w:r w:rsidRPr="002F0BE2">
        <w:rPr>
          <w:color w:val="000000"/>
          <w:lang w:val="en-ID"/>
        </w:rPr>
        <w:lastRenderedPageBreak/>
        <w:t>tanda tangan B dicantumkan dalam surat itu, namun sesungguhnya yang menandatanganinya adalah A sendiri dengan meniru tanda tangan B. Bisa juga tidak meniru tanda tangan B, tetapi membuat tanda tangan palsu dengan dikarang-karang seolah-olah tanda tangan B.</w:t>
      </w:r>
      <w:r w:rsidRPr="002F0BE2">
        <w:rPr>
          <w:rStyle w:val="FootnoteReference"/>
          <w:color w:val="000000"/>
          <w:lang w:val="en-ID"/>
        </w:rPr>
        <w:footnoteReference w:id="5"/>
      </w:r>
    </w:p>
    <w:p w:rsidR="00F473B6" w:rsidRPr="002F0BE2" w:rsidRDefault="00F473B6" w:rsidP="00F473B6">
      <w:pPr>
        <w:spacing w:line="480" w:lineRule="auto"/>
        <w:ind w:firstLine="709"/>
        <w:jc w:val="both"/>
        <w:rPr>
          <w:color w:val="000000"/>
          <w:lang w:val="en-ID"/>
        </w:rPr>
      </w:pPr>
      <w:r w:rsidRPr="002F0BE2">
        <w:rPr>
          <w:color w:val="000000"/>
          <w:lang w:val="en-ID"/>
        </w:rPr>
        <w:t>Pemalsuan surat mengenai nama dan tanda tangannya ini ada dua macam:</w:t>
      </w:r>
    </w:p>
    <w:p w:rsidR="00F473B6" w:rsidRPr="002F0BE2" w:rsidRDefault="00F473B6" w:rsidP="006E69C9">
      <w:pPr>
        <w:pStyle w:val="ListParagraph"/>
        <w:numPr>
          <w:ilvl w:val="4"/>
          <w:numId w:val="9"/>
        </w:numPr>
        <w:tabs>
          <w:tab w:val="clear" w:pos="3600"/>
          <w:tab w:val="num" w:pos="1080"/>
        </w:tabs>
        <w:autoSpaceDE w:val="0"/>
        <w:autoSpaceDN w:val="0"/>
        <w:adjustRightInd w:val="0"/>
        <w:ind w:left="1080"/>
        <w:jc w:val="both"/>
        <w:rPr>
          <w:color w:val="000000"/>
          <w:szCs w:val="24"/>
          <w:lang w:val="en-ID"/>
        </w:rPr>
      </w:pPr>
      <w:r w:rsidRPr="002F0BE2">
        <w:rPr>
          <w:color w:val="000000"/>
          <w:lang w:val="en-ID"/>
        </w:rPr>
        <w:t xml:space="preserve">Membuat dengan meniru tanda tangan seseorang yang sesungguhnya tidak </w:t>
      </w:r>
      <w:r w:rsidRPr="002F0BE2">
        <w:rPr>
          <w:color w:val="000000"/>
          <w:szCs w:val="24"/>
          <w:lang w:val="en-ID"/>
        </w:rPr>
        <w:t>ada orang yang mempunyai nama tersebut, atau tidak diketahui siapa orangnya. Nama orang ini dibuat fiktif atau dikarang-karang saja.</w:t>
      </w:r>
    </w:p>
    <w:p w:rsidR="00F473B6" w:rsidRPr="002F0BE2" w:rsidRDefault="00F473B6" w:rsidP="006E69C9">
      <w:pPr>
        <w:pStyle w:val="ListParagraph"/>
        <w:numPr>
          <w:ilvl w:val="4"/>
          <w:numId w:val="9"/>
        </w:numPr>
        <w:tabs>
          <w:tab w:val="clear" w:pos="3600"/>
          <w:tab w:val="num" w:pos="1080"/>
        </w:tabs>
        <w:autoSpaceDE w:val="0"/>
        <w:autoSpaceDN w:val="0"/>
        <w:adjustRightInd w:val="0"/>
        <w:ind w:left="1080"/>
        <w:jc w:val="both"/>
        <w:rPr>
          <w:color w:val="000000"/>
          <w:szCs w:val="24"/>
          <w:lang w:val="en-ID"/>
        </w:rPr>
      </w:pPr>
      <w:r w:rsidRPr="002F0BE2">
        <w:rPr>
          <w:color w:val="000000"/>
          <w:szCs w:val="24"/>
          <w:lang w:val="en-ID"/>
        </w:rPr>
        <w:t>Membuat surat dengan menggunakan nama orang lain yang dikenal tanpa sepengetahuan atau persetujuan si pemilik nama tersebut. Kemudian si pembuat surat membubuhkan tanda tangan orang itu dengan meniru atau seolah-olah tanda tangan tersebut merupakan tanda tangan orang yang namanya dicantumkan dalam surat itu.</w:t>
      </w:r>
      <w:r w:rsidRPr="002F0BE2">
        <w:rPr>
          <w:rStyle w:val="FootnoteReference"/>
          <w:color w:val="000000"/>
          <w:szCs w:val="24"/>
          <w:lang w:val="en-ID"/>
        </w:rPr>
        <w:footnoteReference w:id="6"/>
      </w:r>
    </w:p>
    <w:p w:rsidR="00F473B6" w:rsidRPr="002F0BE2" w:rsidRDefault="00F473B6" w:rsidP="00F473B6">
      <w:pPr>
        <w:pStyle w:val="ListParagraph"/>
        <w:autoSpaceDE w:val="0"/>
        <w:autoSpaceDN w:val="0"/>
        <w:adjustRightInd w:val="0"/>
        <w:ind w:left="1080"/>
        <w:jc w:val="both"/>
        <w:rPr>
          <w:color w:val="000000"/>
          <w:szCs w:val="24"/>
          <w:lang w:val="en-ID"/>
        </w:rPr>
      </w:pPr>
    </w:p>
    <w:p w:rsidR="00F473B6" w:rsidRPr="002F0BE2" w:rsidRDefault="00F473B6" w:rsidP="00F473B6">
      <w:pPr>
        <w:autoSpaceDE w:val="0"/>
        <w:autoSpaceDN w:val="0"/>
        <w:adjustRightInd w:val="0"/>
        <w:spacing w:line="456" w:lineRule="auto"/>
        <w:ind w:firstLine="720"/>
        <w:jc w:val="both"/>
        <w:rPr>
          <w:color w:val="000000"/>
          <w:lang w:val="en-ID"/>
        </w:rPr>
      </w:pPr>
      <w:r w:rsidRPr="002F0BE2">
        <w:rPr>
          <w:color w:val="000000"/>
          <w:lang w:val="en-ID"/>
        </w:rPr>
        <w:t xml:space="preserve">Tanda tangan yang dimaksud di sini adalah termasuk tanda tangan dengan menggunakan cap/stempel tanda tangan. Begitu juga tanda tangan dengan menggunakan mesin </w:t>
      </w:r>
      <w:r w:rsidRPr="002F0BE2">
        <w:rPr>
          <w:i/>
          <w:iCs/>
          <w:color w:val="000000"/>
          <w:lang w:val="en-ID"/>
        </w:rPr>
        <w:t>scanner</w:t>
      </w:r>
      <w:r w:rsidRPr="002F0BE2">
        <w:rPr>
          <w:color w:val="000000"/>
          <w:lang w:val="en-ID"/>
        </w:rPr>
        <w:t xml:space="preserve">. Tanda tangan seperti itu bukanlah termasuk tanda tangan palsu, dan orang yang menggunakan cap/stempel tanda tangan atau menempatkan tanda tangan dengan mesin </w:t>
      </w:r>
      <w:r w:rsidRPr="002F0BE2">
        <w:rPr>
          <w:i/>
          <w:iCs/>
          <w:color w:val="000000"/>
          <w:lang w:val="en-ID"/>
        </w:rPr>
        <w:t xml:space="preserve">scanner </w:t>
      </w:r>
      <w:r w:rsidRPr="002F0BE2">
        <w:rPr>
          <w:color w:val="000000"/>
          <w:lang w:val="en-ID"/>
        </w:rPr>
        <w:t xml:space="preserve"> bukan termasuk perbuatan meniru tanda tangan orang lain, dan bukanlah termasuk membuat surat palsu sebagaimana dalam Pasal 263 ayat (1). Alasannya, karena orang yang menggunakan cap/stempel tanda tangan atau dengan menggunakan mesin </w:t>
      </w:r>
      <w:r w:rsidRPr="002F0BE2">
        <w:rPr>
          <w:i/>
          <w:iCs/>
          <w:color w:val="000000"/>
          <w:lang w:val="en-ID"/>
        </w:rPr>
        <w:t xml:space="preserve">scanner </w:t>
      </w:r>
      <w:r w:rsidRPr="002F0BE2">
        <w:rPr>
          <w:color w:val="000000"/>
          <w:lang w:val="en-ID"/>
        </w:rPr>
        <w:t xml:space="preserve"> membubuhkan tanda tangan bukan miliknya di atas surat tersebut, telah mendapat perintah atau persetujuan orang yang sebenarnya memiliki tanda tangan. Apabila syarat ini tidak dipenuhi, maka tanda tangan tersebut termasuk tanda tangan palsu, dan orang yang menggunakan stempel tanda tangan atau mesin </w:t>
      </w:r>
      <w:r w:rsidRPr="002F0BE2">
        <w:rPr>
          <w:i/>
          <w:iCs/>
          <w:color w:val="000000"/>
          <w:lang w:val="en-ID"/>
        </w:rPr>
        <w:t xml:space="preserve">scanner </w:t>
      </w:r>
      <w:r w:rsidRPr="002F0BE2">
        <w:rPr>
          <w:color w:val="000000"/>
          <w:lang w:val="en-ID"/>
        </w:rPr>
        <w:t xml:space="preserve"> tersebut dapat dipidana karena melanggar Pasal 263 ayat (1).</w:t>
      </w:r>
    </w:p>
    <w:p w:rsidR="00F473B6" w:rsidRPr="002F0BE2" w:rsidRDefault="00F473B6" w:rsidP="00F473B6">
      <w:pPr>
        <w:autoSpaceDE w:val="0"/>
        <w:autoSpaceDN w:val="0"/>
        <w:adjustRightInd w:val="0"/>
        <w:spacing w:line="480" w:lineRule="auto"/>
        <w:ind w:firstLine="720"/>
        <w:jc w:val="both"/>
      </w:pPr>
      <w:r w:rsidRPr="002F0BE2">
        <w:lastRenderedPageBreak/>
        <w:t>Berbagai jenis perbuatan pemalsuan yang terdapat dalam KUHP dianut:</w:t>
      </w:r>
    </w:p>
    <w:p w:rsidR="00F473B6" w:rsidRPr="002F0BE2" w:rsidRDefault="00F473B6" w:rsidP="006E69C9">
      <w:pPr>
        <w:numPr>
          <w:ilvl w:val="0"/>
          <w:numId w:val="5"/>
        </w:numPr>
        <w:autoSpaceDE w:val="0"/>
        <w:autoSpaceDN w:val="0"/>
        <w:adjustRightInd w:val="0"/>
        <w:ind w:left="993" w:hanging="284"/>
        <w:jc w:val="both"/>
      </w:pPr>
      <w:r w:rsidRPr="002F0BE2">
        <w:t>Disamping pengakuan terhadap azas hak atas jaminan kebenaran/keaslian data.surat/tulisan, perbuatan pemalsuan terhadap data/surat/tulisan tersebut harus dilakukan dengan tujua jahat</w:t>
      </w:r>
    </w:p>
    <w:p w:rsidR="00F473B6" w:rsidRPr="002F0BE2" w:rsidRDefault="00F473B6" w:rsidP="006E69C9">
      <w:pPr>
        <w:numPr>
          <w:ilvl w:val="0"/>
          <w:numId w:val="5"/>
        </w:numPr>
        <w:autoSpaceDE w:val="0"/>
        <w:autoSpaceDN w:val="0"/>
        <w:adjustRightInd w:val="0"/>
        <w:ind w:left="993" w:hanging="284"/>
        <w:jc w:val="both"/>
      </w:pPr>
      <w:r w:rsidRPr="002F0BE2">
        <w:t>Berhubung tujuan jahat dianggap terlalu luas, harus diisyaratkan, bahwa pelaku harus mempunyai niat/maksud untuk menciptaka anggapan atas sesuatu yag dipalsukan sebagai yang asli/benar.</w:t>
      </w:r>
      <w:r w:rsidRPr="002F0BE2">
        <w:rPr>
          <w:rStyle w:val="FootnoteReference"/>
        </w:rPr>
        <w:footnoteReference w:id="7"/>
      </w:r>
    </w:p>
    <w:p w:rsidR="00F473B6" w:rsidRPr="002F0BE2" w:rsidRDefault="00F473B6" w:rsidP="00F473B6">
      <w:pPr>
        <w:autoSpaceDE w:val="0"/>
        <w:autoSpaceDN w:val="0"/>
        <w:adjustRightInd w:val="0"/>
        <w:ind w:left="709"/>
        <w:jc w:val="both"/>
      </w:pPr>
    </w:p>
    <w:p w:rsidR="00F473B6" w:rsidRPr="002F0BE2" w:rsidRDefault="00F473B6" w:rsidP="00F473B6">
      <w:pPr>
        <w:spacing w:line="480" w:lineRule="auto"/>
        <w:ind w:firstLine="748"/>
        <w:jc w:val="both"/>
      </w:pPr>
      <w:r w:rsidRPr="002F0BE2">
        <w:t>Perbuatan memalsukan surat dilakukan dengan cara melakukan perubahan-perubahan tanpa hak (tanpa izin yang berhak) dalam suatu surat atau tulisan. Tidak peduli, bahwa ini sebelumnya merupakan sesuatu yang tidak benar atau sesuatu yang benar,perunaha isi yang tidak benar menjadi benar merupakan pemalsuan surat.</w:t>
      </w:r>
    </w:p>
    <w:p w:rsidR="00F473B6" w:rsidRPr="002F0BE2" w:rsidRDefault="00F473B6" w:rsidP="00F473B6">
      <w:pPr>
        <w:spacing w:line="480" w:lineRule="auto"/>
        <w:ind w:firstLine="748"/>
        <w:jc w:val="both"/>
      </w:pPr>
      <w:r w:rsidRPr="002F0BE2">
        <w:t xml:space="preserve">Kejahatan pemalsuan surat </w:t>
      </w:r>
      <w:r w:rsidRPr="002F0BE2">
        <w:rPr>
          <w:i/>
        </w:rPr>
        <w:t>(valschheid in geschriften)</w:t>
      </w:r>
      <w:r w:rsidRPr="002F0BE2">
        <w:t xml:space="preserve"> diatur dalam Bab XII buku II KUHP, dari Pasal 263 sampai Pasal 276, yang dapat dibedakan menjadi 7 macam kejahatan pemalsuan surat, yaitu:</w:t>
      </w:r>
    </w:p>
    <w:p w:rsidR="00F473B6" w:rsidRPr="002F0BE2" w:rsidRDefault="00F473B6" w:rsidP="006E69C9">
      <w:pPr>
        <w:numPr>
          <w:ilvl w:val="6"/>
          <w:numId w:val="21"/>
        </w:numPr>
        <w:tabs>
          <w:tab w:val="clear" w:pos="5040"/>
          <w:tab w:val="num" w:pos="360"/>
        </w:tabs>
        <w:spacing w:line="480" w:lineRule="auto"/>
        <w:ind w:left="360"/>
        <w:rPr>
          <w:color w:val="000000"/>
        </w:rPr>
      </w:pPr>
      <w:r w:rsidRPr="002F0BE2">
        <w:rPr>
          <w:color w:val="000000"/>
        </w:rPr>
        <w:t>Pemalsuan surat pada umumnya (Pasal 263 KUH. Pidana)</w:t>
      </w:r>
    </w:p>
    <w:p w:rsidR="00F473B6" w:rsidRPr="002F0BE2" w:rsidRDefault="00F473B6" w:rsidP="00F473B6">
      <w:pPr>
        <w:spacing w:line="480" w:lineRule="auto"/>
        <w:ind w:firstLine="720"/>
        <w:jc w:val="both"/>
        <w:rPr>
          <w:color w:val="000000"/>
        </w:rPr>
      </w:pPr>
      <w:r w:rsidRPr="002F0BE2">
        <w:rPr>
          <w:color w:val="000000"/>
        </w:rPr>
        <w:t>Pemalsuan surat yang dimaksud dalam pasal ini termasuk semua jenis surat baik surat yang ditulis dengan tangan, surat yang dicetak atau diketik. Syarat dapat dihukumnya orang yang memalsukan surat adalah surat yang palsu itu haruslah :</w:t>
      </w:r>
    </w:p>
    <w:p w:rsidR="00F473B6" w:rsidRPr="002F0BE2" w:rsidRDefault="00F473B6" w:rsidP="006E69C9">
      <w:pPr>
        <w:numPr>
          <w:ilvl w:val="7"/>
          <w:numId w:val="22"/>
        </w:numPr>
        <w:tabs>
          <w:tab w:val="clear" w:pos="5400"/>
          <w:tab w:val="num" w:pos="360"/>
        </w:tabs>
        <w:spacing w:line="480" w:lineRule="auto"/>
        <w:ind w:left="360"/>
        <w:jc w:val="both"/>
        <w:rPr>
          <w:color w:val="000000"/>
        </w:rPr>
      </w:pPr>
      <w:r w:rsidRPr="002F0BE2">
        <w:rPr>
          <w:color w:val="000000"/>
        </w:rPr>
        <w:t>Surat yang dapat menimbulkan hak misalnya :</w:t>
      </w:r>
    </w:p>
    <w:p w:rsidR="00F473B6" w:rsidRPr="002F0BE2" w:rsidRDefault="00F473B6" w:rsidP="006E69C9">
      <w:pPr>
        <w:numPr>
          <w:ilvl w:val="0"/>
          <w:numId w:val="11"/>
        </w:numPr>
        <w:spacing w:line="480" w:lineRule="auto"/>
        <w:jc w:val="both"/>
        <w:rPr>
          <w:color w:val="000000"/>
        </w:rPr>
      </w:pPr>
      <w:r w:rsidRPr="002F0BE2">
        <w:rPr>
          <w:color w:val="000000"/>
        </w:rPr>
        <w:t>Memalsukan ijazah</w:t>
      </w:r>
    </w:p>
    <w:p w:rsidR="00F473B6" w:rsidRPr="002F0BE2" w:rsidRDefault="00F473B6" w:rsidP="006E69C9">
      <w:pPr>
        <w:numPr>
          <w:ilvl w:val="0"/>
          <w:numId w:val="11"/>
        </w:numPr>
        <w:spacing w:line="480" w:lineRule="auto"/>
        <w:jc w:val="both"/>
        <w:rPr>
          <w:color w:val="000000"/>
        </w:rPr>
      </w:pPr>
      <w:r w:rsidRPr="002F0BE2">
        <w:rPr>
          <w:color w:val="000000"/>
        </w:rPr>
        <w:t>Memalsukan karcis tanda masuk</w:t>
      </w:r>
    </w:p>
    <w:p w:rsidR="00F473B6" w:rsidRPr="002F0BE2" w:rsidRDefault="00F473B6" w:rsidP="006E69C9">
      <w:pPr>
        <w:numPr>
          <w:ilvl w:val="7"/>
          <w:numId w:val="22"/>
        </w:numPr>
        <w:tabs>
          <w:tab w:val="clear" w:pos="5400"/>
          <w:tab w:val="num" w:pos="360"/>
        </w:tabs>
        <w:spacing w:line="432" w:lineRule="auto"/>
        <w:ind w:left="360"/>
        <w:jc w:val="both"/>
        <w:rPr>
          <w:color w:val="000000"/>
        </w:rPr>
      </w:pPr>
      <w:r w:rsidRPr="002F0BE2">
        <w:rPr>
          <w:color w:val="000000"/>
        </w:rPr>
        <w:t>Surat yang dapat menimbulkan suatu perjanjian, misalnya :</w:t>
      </w:r>
    </w:p>
    <w:p w:rsidR="00F473B6" w:rsidRPr="002F0BE2" w:rsidRDefault="00F473B6" w:rsidP="006E69C9">
      <w:pPr>
        <w:numPr>
          <w:ilvl w:val="0"/>
          <w:numId w:val="12"/>
        </w:numPr>
        <w:spacing w:line="432" w:lineRule="auto"/>
        <w:jc w:val="both"/>
        <w:rPr>
          <w:color w:val="000000"/>
        </w:rPr>
      </w:pPr>
      <w:r w:rsidRPr="002F0BE2">
        <w:rPr>
          <w:color w:val="000000"/>
        </w:rPr>
        <w:t>Perjanjian piutang</w:t>
      </w:r>
    </w:p>
    <w:p w:rsidR="00F473B6" w:rsidRPr="002F0BE2" w:rsidRDefault="00F473B6" w:rsidP="006E69C9">
      <w:pPr>
        <w:numPr>
          <w:ilvl w:val="0"/>
          <w:numId w:val="12"/>
        </w:numPr>
        <w:spacing w:line="432" w:lineRule="auto"/>
        <w:jc w:val="both"/>
        <w:rPr>
          <w:color w:val="000000"/>
        </w:rPr>
      </w:pPr>
      <w:r w:rsidRPr="002F0BE2">
        <w:rPr>
          <w:color w:val="000000"/>
        </w:rPr>
        <w:lastRenderedPageBreak/>
        <w:t>Perjanjian sewa</w:t>
      </w:r>
    </w:p>
    <w:p w:rsidR="00F473B6" w:rsidRPr="002F0BE2" w:rsidRDefault="00F473B6" w:rsidP="006E69C9">
      <w:pPr>
        <w:numPr>
          <w:ilvl w:val="0"/>
          <w:numId w:val="12"/>
        </w:numPr>
        <w:spacing w:line="432" w:lineRule="auto"/>
        <w:jc w:val="both"/>
        <w:rPr>
          <w:color w:val="000000"/>
        </w:rPr>
      </w:pPr>
      <w:r w:rsidRPr="002F0BE2">
        <w:rPr>
          <w:color w:val="000000"/>
        </w:rPr>
        <w:t>Perjanjian jual beli</w:t>
      </w:r>
    </w:p>
    <w:p w:rsidR="00F473B6" w:rsidRPr="002F0BE2" w:rsidRDefault="00F473B6" w:rsidP="006E69C9">
      <w:pPr>
        <w:numPr>
          <w:ilvl w:val="4"/>
          <w:numId w:val="22"/>
        </w:numPr>
        <w:tabs>
          <w:tab w:val="clear" w:pos="3240"/>
          <w:tab w:val="num" w:pos="360"/>
        </w:tabs>
        <w:spacing w:line="432" w:lineRule="auto"/>
        <w:ind w:left="360"/>
        <w:jc w:val="both"/>
        <w:rPr>
          <w:color w:val="000000"/>
        </w:rPr>
      </w:pPr>
      <w:r w:rsidRPr="002F0BE2">
        <w:rPr>
          <w:color w:val="000000"/>
        </w:rPr>
        <w:t>Surat yang dapat menimbulkan pembebasan utang, misalnya dalam bentuk kwitansi</w:t>
      </w:r>
    </w:p>
    <w:p w:rsidR="00F473B6" w:rsidRPr="002F0BE2" w:rsidRDefault="00F473B6" w:rsidP="006E69C9">
      <w:pPr>
        <w:numPr>
          <w:ilvl w:val="4"/>
          <w:numId w:val="22"/>
        </w:numPr>
        <w:tabs>
          <w:tab w:val="clear" w:pos="3240"/>
          <w:tab w:val="num" w:pos="360"/>
        </w:tabs>
        <w:spacing w:line="432" w:lineRule="auto"/>
        <w:ind w:left="360"/>
        <w:jc w:val="both"/>
        <w:rPr>
          <w:color w:val="000000"/>
        </w:rPr>
      </w:pPr>
      <w:r w:rsidRPr="002F0BE2">
        <w:rPr>
          <w:color w:val="000000"/>
        </w:rPr>
        <w:t>Surat yang dapat dipergunakan untuk surat keterangan bagi perbuatan atau peristiwa :</w:t>
      </w:r>
    </w:p>
    <w:p w:rsidR="00F473B6" w:rsidRPr="002F0BE2" w:rsidRDefault="00F473B6" w:rsidP="006E69C9">
      <w:pPr>
        <w:numPr>
          <w:ilvl w:val="0"/>
          <w:numId w:val="13"/>
        </w:numPr>
        <w:spacing w:line="432" w:lineRule="auto"/>
        <w:jc w:val="both"/>
        <w:rPr>
          <w:color w:val="000000"/>
        </w:rPr>
      </w:pPr>
      <w:r w:rsidRPr="002F0BE2">
        <w:rPr>
          <w:color w:val="000000"/>
        </w:rPr>
        <w:t>Surat keterangan lahir</w:t>
      </w:r>
    </w:p>
    <w:p w:rsidR="00F473B6" w:rsidRPr="002F0BE2" w:rsidRDefault="00F473B6" w:rsidP="006E69C9">
      <w:pPr>
        <w:numPr>
          <w:ilvl w:val="0"/>
          <w:numId w:val="13"/>
        </w:numPr>
        <w:spacing w:line="432" w:lineRule="auto"/>
        <w:jc w:val="both"/>
        <w:rPr>
          <w:color w:val="000000"/>
        </w:rPr>
      </w:pPr>
      <w:r w:rsidRPr="002F0BE2">
        <w:rPr>
          <w:color w:val="000000"/>
        </w:rPr>
        <w:t>Surat keterangan buku tabungan</w:t>
      </w:r>
    </w:p>
    <w:p w:rsidR="00F473B6" w:rsidRPr="002F0BE2" w:rsidRDefault="00F473B6" w:rsidP="006E69C9">
      <w:pPr>
        <w:numPr>
          <w:ilvl w:val="0"/>
          <w:numId w:val="13"/>
        </w:numPr>
        <w:spacing w:line="432" w:lineRule="auto"/>
        <w:ind w:left="734"/>
        <w:jc w:val="both"/>
        <w:rPr>
          <w:color w:val="000000"/>
        </w:rPr>
      </w:pPr>
      <w:r w:rsidRPr="002F0BE2">
        <w:rPr>
          <w:color w:val="000000"/>
        </w:rPr>
        <w:t>Surat keterangan izin angkutan</w:t>
      </w:r>
    </w:p>
    <w:p w:rsidR="00F473B6" w:rsidRPr="002F0BE2" w:rsidRDefault="00F473B6" w:rsidP="00F473B6">
      <w:pPr>
        <w:spacing w:line="432" w:lineRule="auto"/>
        <w:ind w:firstLine="720"/>
        <w:jc w:val="both"/>
        <w:rPr>
          <w:color w:val="000000"/>
        </w:rPr>
      </w:pPr>
      <w:r w:rsidRPr="002F0BE2">
        <w:rPr>
          <w:color w:val="000000"/>
        </w:rPr>
        <w:t>Membuat surat palsu disini maksudnya adalah membuat isinya tidak benar atau tidak sesuai dengan hasilnya bila ditinjau dari segi asal surat. Misalnya :</w:t>
      </w:r>
    </w:p>
    <w:p w:rsidR="00F473B6" w:rsidRPr="002F0BE2" w:rsidRDefault="00F473B6" w:rsidP="006E69C9">
      <w:pPr>
        <w:numPr>
          <w:ilvl w:val="0"/>
          <w:numId w:val="14"/>
        </w:numPr>
        <w:tabs>
          <w:tab w:val="clear" w:pos="734"/>
          <w:tab w:val="num" w:pos="360"/>
        </w:tabs>
        <w:spacing w:line="432" w:lineRule="auto"/>
        <w:ind w:left="360"/>
        <w:jc w:val="both"/>
        <w:rPr>
          <w:color w:val="000000"/>
        </w:rPr>
      </w:pPr>
      <w:r w:rsidRPr="002F0BE2">
        <w:rPr>
          <w:color w:val="000000"/>
        </w:rPr>
        <w:t>A membuat surat seolah-oleh berasal dari B dan menandatangani surat itu dengan meniru tanda tangan B</w:t>
      </w:r>
    </w:p>
    <w:p w:rsidR="00F473B6" w:rsidRPr="002F0BE2" w:rsidRDefault="00F473B6" w:rsidP="006E69C9">
      <w:pPr>
        <w:numPr>
          <w:ilvl w:val="0"/>
          <w:numId w:val="14"/>
        </w:numPr>
        <w:tabs>
          <w:tab w:val="clear" w:pos="734"/>
          <w:tab w:val="num" w:pos="360"/>
        </w:tabs>
        <w:spacing w:line="480" w:lineRule="auto"/>
        <w:ind w:left="360"/>
        <w:jc w:val="both"/>
        <w:rPr>
          <w:color w:val="000000"/>
        </w:rPr>
      </w:pPr>
      <w:r w:rsidRPr="002F0BE2">
        <w:rPr>
          <w:color w:val="000000"/>
        </w:rPr>
        <w:t xml:space="preserve">A mengisi kertas kosong yang sudah ada tanda tangan dari B disebut </w:t>
      </w:r>
      <w:r w:rsidRPr="002F0BE2">
        <w:rPr>
          <w:i/>
          <w:color w:val="000000"/>
        </w:rPr>
        <w:t xml:space="preserve"> blanco sein</w:t>
      </w:r>
      <w:r w:rsidRPr="002F0BE2">
        <w:rPr>
          <w:color w:val="000000"/>
        </w:rPr>
        <w:t>.</w:t>
      </w:r>
    </w:p>
    <w:p w:rsidR="00F473B6" w:rsidRPr="002F0BE2" w:rsidRDefault="00F473B6" w:rsidP="006E69C9">
      <w:pPr>
        <w:numPr>
          <w:ilvl w:val="0"/>
          <w:numId w:val="14"/>
        </w:numPr>
        <w:tabs>
          <w:tab w:val="clear" w:pos="734"/>
          <w:tab w:val="num" w:pos="360"/>
        </w:tabs>
        <w:spacing w:line="480" w:lineRule="auto"/>
        <w:ind w:left="360"/>
        <w:jc w:val="both"/>
        <w:rPr>
          <w:color w:val="000000"/>
        </w:rPr>
      </w:pPr>
      <w:r w:rsidRPr="002F0BE2">
        <w:rPr>
          <w:color w:val="000000"/>
        </w:rPr>
        <w:t>A membuat surat dan menandatanganinya sendiri tetapi isinya tidak benar</w:t>
      </w:r>
    </w:p>
    <w:p w:rsidR="00F473B6" w:rsidRPr="002F0BE2" w:rsidRDefault="00F473B6" w:rsidP="006E69C9">
      <w:pPr>
        <w:numPr>
          <w:ilvl w:val="0"/>
          <w:numId w:val="22"/>
        </w:numPr>
        <w:spacing w:line="480" w:lineRule="auto"/>
        <w:rPr>
          <w:color w:val="000000"/>
        </w:rPr>
      </w:pPr>
      <w:r w:rsidRPr="002F0BE2">
        <w:rPr>
          <w:color w:val="000000"/>
        </w:rPr>
        <w:t>Pemalsuan surat yang diperberat (Pasal 264 KUHP)</w:t>
      </w:r>
      <w:r w:rsidRPr="002F0BE2">
        <w:rPr>
          <w:color w:val="000000"/>
          <w:lang w:val="id-ID"/>
        </w:rPr>
        <w:t>.</w:t>
      </w:r>
    </w:p>
    <w:p w:rsidR="00F473B6" w:rsidRPr="002F0BE2" w:rsidRDefault="00F473B6" w:rsidP="00F473B6">
      <w:pPr>
        <w:spacing w:line="480" w:lineRule="auto"/>
        <w:ind w:firstLine="633"/>
        <w:rPr>
          <w:color w:val="000000"/>
          <w:lang w:val="id-ID"/>
        </w:rPr>
      </w:pPr>
      <w:r w:rsidRPr="002F0BE2">
        <w:rPr>
          <w:color w:val="000000"/>
        </w:rPr>
        <w:t>Pasal 264 KUHP merumuskan sebagai berikut:</w:t>
      </w:r>
    </w:p>
    <w:p w:rsidR="00F473B6" w:rsidRPr="002F0BE2" w:rsidRDefault="00F473B6" w:rsidP="006E69C9">
      <w:pPr>
        <w:pStyle w:val="Default"/>
        <w:numPr>
          <w:ilvl w:val="1"/>
          <w:numId w:val="10"/>
        </w:numPr>
        <w:tabs>
          <w:tab w:val="clear" w:pos="1440"/>
          <w:tab w:val="num" w:pos="993"/>
        </w:tabs>
        <w:ind w:left="993"/>
        <w:jc w:val="both"/>
      </w:pPr>
      <w:r w:rsidRPr="002F0BE2">
        <w:t xml:space="preserve">Pemalsuan surat di pidana dengan pidana penjara paling lama 8 (delapan) tahun, jika dilakukan terhadap: </w:t>
      </w:r>
    </w:p>
    <w:p w:rsidR="00F473B6" w:rsidRPr="002F0BE2" w:rsidRDefault="00F473B6" w:rsidP="006E69C9">
      <w:pPr>
        <w:numPr>
          <w:ilvl w:val="7"/>
          <w:numId w:val="10"/>
        </w:numPr>
        <w:tabs>
          <w:tab w:val="clear" w:pos="5760"/>
          <w:tab w:val="left" w:pos="1418"/>
        </w:tabs>
        <w:ind w:left="1418" w:hanging="425"/>
        <w:jc w:val="both"/>
        <w:rPr>
          <w:color w:val="000000"/>
          <w:lang w:val="id-ID"/>
        </w:rPr>
      </w:pPr>
      <w:r w:rsidRPr="002F0BE2">
        <w:rPr>
          <w:color w:val="000000"/>
        </w:rPr>
        <w:t>Akta-akta otentik</w:t>
      </w:r>
    </w:p>
    <w:p w:rsidR="00F473B6" w:rsidRPr="002F0BE2" w:rsidRDefault="00F473B6" w:rsidP="006E69C9">
      <w:pPr>
        <w:numPr>
          <w:ilvl w:val="7"/>
          <w:numId w:val="10"/>
        </w:numPr>
        <w:tabs>
          <w:tab w:val="clear" w:pos="5760"/>
          <w:tab w:val="left" w:pos="1418"/>
        </w:tabs>
        <w:ind w:left="1418" w:hanging="425"/>
        <w:jc w:val="both"/>
        <w:rPr>
          <w:color w:val="000000"/>
          <w:lang w:val="id-ID"/>
        </w:rPr>
      </w:pPr>
      <w:r w:rsidRPr="002F0BE2">
        <w:rPr>
          <w:color w:val="000000"/>
        </w:rPr>
        <w:t>Surat hutang atau sertipikat hutang dari suatu negara atau bagiannya ataupun dari suatu lembaga umum</w:t>
      </w:r>
      <w:r w:rsidRPr="002F0BE2">
        <w:rPr>
          <w:color w:val="000000"/>
          <w:lang w:val="id-ID"/>
        </w:rPr>
        <w:t>.</w:t>
      </w:r>
    </w:p>
    <w:p w:rsidR="00F473B6" w:rsidRPr="002F0BE2" w:rsidRDefault="00F473B6" w:rsidP="006E69C9">
      <w:pPr>
        <w:numPr>
          <w:ilvl w:val="7"/>
          <w:numId w:val="10"/>
        </w:numPr>
        <w:tabs>
          <w:tab w:val="clear" w:pos="5760"/>
          <w:tab w:val="left" w:pos="1418"/>
        </w:tabs>
        <w:ind w:left="1418" w:hanging="425"/>
        <w:jc w:val="both"/>
        <w:rPr>
          <w:color w:val="000000"/>
          <w:lang w:val="id-ID"/>
        </w:rPr>
      </w:pPr>
      <w:r w:rsidRPr="002F0BE2">
        <w:rPr>
          <w:color w:val="000000"/>
        </w:rPr>
        <w:t>Surat sero atau surat hutang atau sertipikat sero atau hutang dari suatu perkumpulan, yayasan, perseroan, atau maskapai</w:t>
      </w:r>
    </w:p>
    <w:p w:rsidR="00F473B6" w:rsidRPr="002F0BE2" w:rsidRDefault="00F473B6" w:rsidP="006E69C9">
      <w:pPr>
        <w:numPr>
          <w:ilvl w:val="7"/>
          <w:numId w:val="10"/>
        </w:numPr>
        <w:tabs>
          <w:tab w:val="clear" w:pos="5760"/>
          <w:tab w:val="left" w:pos="1418"/>
        </w:tabs>
        <w:ind w:left="1418" w:hanging="425"/>
        <w:jc w:val="both"/>
        <w:rPr>
          <w:color w:val="000000"/>
          <w:lang w:val="id-ID"/>
        </w:rPr>
      </w:pPr>
      <w:r w:rsidRPr="002F0BE2">
        <w:rPr>
          <w:color w:val="000000"/>
        </w:rPr>
        <w:t>Talon, tanda bukti deviden atau bunga dari salah satu surat yang diterangkan dalam 2 (dua) dan 3 (tiga), atau tanda bukti yang dikeluarkan sebagai pengganti surat-surat itu</w:t>
      </w:r>
      <w:r w:rsidRPr="002F0BE2">
        <w:rPr>
          <w:color w:val="000000"/>
          <w:lang w:val="id-ID"/>
        </w:rPr>
        <w:t>.</w:t>
      </w:r>
    </w:p>
    <w:p w:rsidR="00F473B6" w:rsidRPr="002F0BE2" w:rsidRDefault="00F473B6" w:rsidP="006E69C9">
      <w:pPr>
        <w:numPr>
          <w:ilvl w:val="7"/>
          <w:numId w:val="10"/>
        </w:numPr>
        <w:tabs>
          <w:tab w:val="clear" w:pos="5760"/>
          <w:tab w:val="left" w:pos="1418"/>
        </w:tabs>
        <w:ind w:left="1418" w:hanging="425"/>
        <w:jc w:val="both"/>
        <w:rPr>
          <w:color w:val="000000"/>
          <w:lang w:val="id-ID"/>
        </w:rPr>
      </w:pPr>
      <w:r w:rsidRPr="002F0BE2">
        <w:rPr>
          <w:color w:val="000000"/>
        </w:rPr>
        <w:t>Surat kredit atau surat dagang yang diperuntukkan unutk diedarkan</w:t>
      </w:r>
      <w:r w:rsidRPr="002F0BE2">
        <w:rPr>
          <w:color w:val="000000"/>
          <w:lang w:val="id-ID"/>
        </w:rPr>
        <w:t>.</w:t>
      </w:r>
    </w:p>
    <w:p w:rsidR="00F473B6" w:rsidRPr="002F0BE2" w:rsidRDefault="00F473B6" w:rsidP="006E69C9">
      <w:pPr>
        <w:numPr>
          <w:ilvl w:val="1"/>
          <w:numId w:val="10"/>
        </w:numPr>
        <w:tabs>
          <w:tab w:val="clear" w:pos="1440"/>
          <w:tab w:val="num" w:pos="993"/>
        </w:tabs>
        <w:ind w:left="993"/>
        <w:jc w:val="both"/>
        <w:rPr>
          <w:color w:val="000000"/>
          <w:lang w:val="id-ID"/>
        </w:rPr>
      </w:pPr>
      <w:r w:rsidRPr="002F0BE2">
        <w:rPr>
          <w:color w:val="000000"/>
        </w:rPr>
        <w:t xml:space="preserve">Di pidana dengan pidana yang sama barangsiapa dengan sengaja memakai surat tersebut dalam ayat pertama, yang isinya tidak asli atau </w:t>
      </w:r>
      <w:r w:rsidRPr="002F0BE2">
        <w:rPr>
          <w:color w:val="000000"/>
        </w:rPr>
        <w:lastRenderedPageBreak/>
        <w:t>dipalsukan seolah-olah benar dan tidak dipalsu, jika pemakaian surat itu dapat menimbulkan kerugian</w:t>
      </w:r>
      <w:r w:rsidRPr="002F0BE2">
        <w:rPr>
          <w:color w:val="000000"/>
          <w:lang w:val="id-ID"/>
        </w:rPr>
        <w:t>.</w:t>
      </w:r>
    </w:p>
    <w:p w:rsidR="00F473B6" w:rsidRPr="002F0BE2" w:rsidRDefault="00F473B6" w:rsidP="00F473B6">
      <w:pPr>
        <w:ind w:left="993"/>
        <w:jc w:val="both"/>
        <w:rPr>
          <w:color w:val="000000"/>
          <w:lang w:val="id-ID"/>
        </w:rPr>
      </w:pPr>
    </w:p>
    <w:p w:rsidR="00F473B6" w:rsidRPr="002F0BE2" w:rsidRDefault="00F473B6" w:rsidP="00F473B6">
      <w:pPr>
        <w:spacing w:line="480" w:lineRule="auto"/>
        <w:ind w:firstLine="633"/>
        <w:jc w:val="both"/>
        <w:rPr>
          <w:color w:val="000000"/>
          <w:lang w:val="id-ID"/>
        </w:rPr>
      </w:pPr>
      <w:r w:rsidRPr="002F0BE2">
        <w:rPr>
          <w:color w:val="000000"/>
        </w:rPr>
        <w:t>Adapun penjelasan terhadap Pasal 264 KUHP tersebut adalah:</w:t>
      </w:r>
    </w:p>
    <w:p w:rsidR="00F473B6" w:rsidRPr="002F0BE2" w:rsidRDefault="00F473B6" w:rsidP="006E69C9">
      <w:pPr>
        <w:numPr>
          <w:ilvl w:val="0"/>
          <w:numId w:val="15"/>
        </w:numPr>
        <w:spacing w:line="480" w:lineRule="auto"/>
        <w:ind w:left="360"/>
        <w:jc w:val="both"/>
        <w:rPr>
          <w:color w:val="000000"/>
          <w:lang w:val="id-ID"/>
        </w:rPr>
      </w:pPr>
      <w:r w:rsidRPr="002F0BE2">
        <w:rPr>
          <w:color w:val="000000"/>
        </w:rPr>
        <w:t>Sudah barang tentu perbuatan yang diancam hukuman dalam pasal ini harus memuat segala elemen-elemen atau syarat-syarat yang termuat dalam Pasal 263 KUHP dan selain daripada itu ditambah dengan syarat, bahwa surat yang dipalsukan itu terdiri dari surat autentik dan sebagainya, yang tersebut berturut-turut pada sub 1 (satu) sampai 5 (lima) dalam pasal ini, surat-surat mana bersifat umum dan harus tetap membahayakan kepercayaan umum, sehingga menurut pasal ini diancam hukuman yang lebih berat dari pemalsuan surat biasa.</w:t>
      </w:r>
    </w:p>
    <w:p w:rsidR="00F473B6" w:rsidRPr="002F0BE2" w:rsidRDefault="00F473B6" w:rsidP="006E69C9">
      <w:pPr>
        <w:numPr>
          <w:ilvl w:val="0"/>
          <w:numId w:val="15"/>
        </w:numPr>
        <w:spacing w:line="480" w:lineRule="auto"/>
        <w:ind w:left="360"/>
        <w:jc w:val="both"/>
        <w:rPr>
          <w:color w:val="000000"/>
          <w:lang w:val="id-ID"/>
        </w:rPr>
      </w:pPr>
      <w:r w:rsidRPr="002F0BE2">
        <w:rPr>
          <w:color w:val="000000"/>
        </w:rPr>
        <w:t xml:space="preserve">Akta otentik adalah akta yang dibuat dihadapan seorang pegawai negeri umum yang berhak untuk itu, biasanya notaris, pegawai pencatatan jiwa dan sebagainya. </w:t>
      </w:r>
    </w:p>
    <w:p w:rsidR="00F473B6" w:rsidRPr="002F0BE2" w:rsidRDefault="00F473B6" w:rsidP="006E69C9">
      <w:pPr>
        <w:numPr>
          <w:ilvl w:val="0"/>
          <w:numId w:val="22"/>
        </w:numPr>
        <w:tabs>
          <w:tab w:val="clear" w:pos="360"/>
          <w:tab w:val="num" w:pos="11"/>
        </w:tabs>
        <w:spacing w:line="480" w:lineRule="auto"/>
        <w:jc w:val="both"/>
        <w:rPr>
          <w:color w:val="000000"/>
          <w:lang w:val="id-ID"/>
        </w:rPr>
      </w:pPr>
      <w:r w:rsidRPr="002F0BE2">
        <w:rPr>
          <w:color w:val="000000"/>
        </w:rPr>
        <w:t>Menyuruh memasukkan keterangan palsu ke dalam akta autentik (Pasal 266 KUHP)</w:t>
      </w:r>
      <w:r w:rsidRPr="002F0BE2">
        <w:rPr>
          <w:color w:val="000000"/>
          <w:lang w:val="id-ID"/>
        </w:rPr>
        <w:t>.</w:t>
      </w:r>
    </w:p>
    <w:p w:rsidR="00F473B6" w:rsidRPr="002F0BE2" w:rsidRDefault="00F473B6" w:rsidP="00F473B6">
      <w:pPr>
        <w:spacing w:line="480" w:lineRule="auto"/>
        <w:ind w:firstLine="720"/>
        <w:jc w:val="both"/>
        <w:rPr>
          <w:color w:val="000000"/>
          <w:lang w:val="id-ID"/>
        </w:rPr>
      </w:pPr>
      <w:r w:rsidRPr="002F0BE2">
        <w:rPr>
          <w:color w:val="000000"/>
        </w:rPr>
        <w:t>Pasal 266 KUHP merumuskan sebagai berikut</w:t>
      </w:r>
      <w:r w:rsidRPr="002F0BE2">
        <w:rPr>
          <w:color w:val="000000"/>
          <w:lang w:val="id-ID"/>
        </w:rPr>
        <w:t xml:space="preserve"> :</w:t>
      </w:r>
    </w:p>
    <w:p w:rsidR="00F473B6" w:rsidRPr="002F0BE2" w:rsidRDefault="00F473B6" w:rsidP="006E69C9">
      <w:pPr>
        <w:numPr>
          <w:ilvl w:val="0"/>
          <w:numId w:val="16"/>
        </w:numPr>
        <w:ind w:left="1134" w:hanging="425"/>
        <w:jc w:val="both"/>
        <w:rPr>
          <w:color w:val="000000"/>
          <w:lang w:val="id-ID"/>
        </w:rPr>
      </w:pPr>
      <w:r w:rsidRPr="002F0BE2">
        <w:rPr>
          <w:color w:val="000000"/>
        </w:rPr>
        <w:t>Barangsiapa menyuruh memasukkan keterangan palsu ke dalam suatu akta autentik mengenai sesuatu hal yang kebenarannya harus dinyatakan oleh akta itu, dengan maskud untuk memakai atau menyuruh orang lain memakai akta itu seolah-olah keterangannya sesuai dengan kebenaran, di pidana, jika pemakaian itu dapat menimbulkan kerugian, dengna pidana penjara paling lama 7 (tujuh) tahun</w:t>
      </w:r>
      <w:r w:rsidRPr="002F0BE2">
        <w:rPr>
          <w:color w:val="000000"/>
          <w:lang w:val="id-ID"/>
        </w:rPr>
        <w:t>.</w:t>
      </w:r>
    </w:p>
    <w:p w:rsidR="00F473B6" w:rsidRPr="002F0BE2" w:rsidRDefault="00F473B6" w:rsidP="006E69C9">
      <w:pPr>
        <w:numPr>
          <w:ilvl w:val="0"/>
          <w:numId w:val="16"/>
        </w:numPr>
        <w:ind w:left="1134" w:hanging="425"/>
        <w:jc w:val="both"/>
        <w:rPr>
          <w:color w:val="000000"/>
          <w:lang w:val="id-ID"/>
        </w:rPr>
      </w:pPr>
      <w:r w:rsidRPr="002F0BE2">
        <w:rPr>
          <w:color w:val="000000"/>
        </w:rPr>
        <w:t>Di pidana dengan pidana yang sama, barangsiapa dengan sengaja memakai akta tersebut seolah-olah isinya sesuai dengan kebenaran, jika karena pemakaian tersebut dapat menimbulkan bukan kerugian.</w:t>
      </w:r>
    </w:p>
    <w:p w:rsidR="00F473B6" w:rsidRPr="002F0BE2" w:rsidRDefault="00F473B6" w:rsidP="00F473B6">
      <w:pPr>
        <w:ind w:left="720"/>
        <w:jc w:val="both"/>
        <w:rPr>
          <w:color w:val="000000"/>
          <w:lang w:val="id-ID"/>
        </w:rPr>
      </w:pPr>
    </w:p>
    <w:p w:rsidR="00F473B6" w:rsidRPr="002F0BE2" w:rsidRDefault="00F473B6" w:rsidP="00F473B6">
      <w:pPr>
        <w:tabs>
          <w:tab w:val="left" w:pos="7155"/>
        </w:tabs>
        <w:spacing w:line="480" w:lineRule="auto"/>
        <w:ind w:left="360" w:firstLine="633"/>
        <w:jc w:val="both"/>
        <w:rPr>
          <w:color w:val="000000"/>
          <w:lang w:val="id-ID"/>
        </w:rPr>
      </w:pPr>
      <w:r w:rsidRPr="002F0BE2">
        <w:rPr>
          <w:color w:val="000000"/>
        </w:rPr>
        <w:t>Adapun penjelasan terhadap Pasal 266 KUHP tersebut adalah</w:t>
      </w:r>
      <w:r w:rsidRPr="002F0BE2">
        <w:rPr>
          <w:color w:val="000000"/>
          <w:lang w:val="id-ID"/>
        </w:rPr>
        <w:t xml:space="preserve"> :</w:t>
      </w:r>
    </w:p>
    <w:p w:rsidR="00F473B6" w:rsidRPr="002F0BE2" w:rsidRDefault="00F473B6" w:rsidP="006E69C9">
      <w:pPr>
        <w:numPr>
          <w:ilvl w:val="0"/>
          <w:numId w:val="17"/>
        </w:numPr>
        <w:tabs>
          <w:tab w:val="left" w:pos="709"/>
        </w:tabs>
        <w:spacing w:line="480" w:lineRule="auto"/>
        <w:jc w:val="both"/>
        <w:rPr>
          <w:color w:val="000000"/>
          <w:lang w:val="id-ID"/>
        </w:rPr>
      </w:pPr>
      <w:r w:rsidRPr="002F0BE2">
        <w:rPr>
          <w:color w:val="000000"/>
        </w:rPr>
        <w:lastRenderedPageBreak/>
        <w:t xml:space="preserve">Yang dinamakan akta autentiek yaitu suatu surat yang dibuat menurut bentuk dan syarat-syarat yang ditetapkan oleh undang-undang, oleh pegawai umum. </w:t>
      </w:r>
    </w:p>
    <w:p w:rsidR="00F473B6" w:rsidRPr="002F0BE2" w:rsidRDefault="00F473B6" w:rsidP="006E69C9">
      <w:pPr>
        <w:numPr>
          <w:ilvl w:val="0"/>
          <w:numId w:val="17"/>
        </w:numPr>
        <w:tabs>
          <w:tab w:val="left" w:pos="709"/>
        </w:tabs>
        <w:spacing w:line="480" w:lineRule="auto"/>
        <w:jc w:val="both"/>
        <w:rPr>
          <w:color w:val="000000"/>
          <w:lang w:val="id-ID"/>
        </w:rPr>
      </w:pPr>
      <w:r w:rsidRPr="002F0BE2">
        <w:rPr>
          <w:color w:val="000000"/>
        </w:rPr>
        <w:t xml:space="preserve">Yang dapat dihukum menurut pasal ini misalnya orang yang memberikan keterangan tidak benar kepada pegawai </w:t>
      </w:r>
      <w:r w:rsidRPr="002F0BE2">
        <w:rPr>
          <w:i/>
          <w:iCs/>
          <w:color w:val="000000"/>
        </w:rPr>
        <w:t xml:space="preserve">Burgerlijke Stand </w:t>
      </w:r>
      <w:r w:rsidRPr="002F0BE2">
        <w:rPr>
          <w:color w:val="000000"/>
        </w:rPr>
        <w:t xml:space="preserve">untuk dimasukkan kedalam akta kelahiran yang harus dibuat oleh pegawai tersebut, dengan maksud untuk mempergunakan atau menyuruh orang lain menggunakan akta itu seolah-olah keterangan yang termuat di dalamnya itu benar. </w:t>
      </w:r>
    </w:p>
    <w:p w:rsidR="00F473B6" w:rsidRPr="002F0BE2" w:rsidRDefault="00F473B6" w:rsidP="006E69C9">
      <w:pPr>
        <w:numPr>
          <w:ilvl w:val="0"/>
          <w:numId w:val="17"/>
        </w:numPr>
        <w:tabs>
          <w:tab w:val="left" w:pos="709"/>
        </w:tabs>
        <w:spacing w:line="480" w:lineRule="auto"/>
        <w:jc w:val="both"/>
        <w:rPr>
          <w:color w:val="000000"/>
          <w:lang w:val="id-ID"/>
        </w:rPr>
      </w:pPr>
      <w:r w:rsidRPr="002F0BE2">
        <w:rPr>
          <w:color w:val="000000"/>
        </w:rPr>
        <w:t>Yang diancam hukuman itu tidak hanya orang yang memberikan keterangan tidak benar dan sebagainya, akan tetapi juga orang yang dengan sengaja menggunakan surat (akt</w:t>
      </w:r>
      <w:r w:rsidRPr="002F0BE2">
        <w:rPr>
          <w:color w:val="000000"/>
          <w:lang w:val="id-ID"/>
        </w:rPr>
        <w:t>a</w:t>
      </w:r>
      <w:r w:rsidRPr="002F0BE2">
        <w:rPr>
          <w:color w:val="000000"/>
        </w:rPr>
        <w:t xml:space="preserve">) yang memuat keterangan tidak benar itu. Dalam dua hal ini senantiasa harus dibuktikan, bahwa orang itu seakan-akan isi surat itu benar dan perbuatan itu dapat mendatangkan kerugian. </w:t>
      </w:r>
    </w:p>
    <w:p w:rsidR="00F473B6" w:rsidRPr="002F0BE2" w:rsidRDefault="00F473B6" w:rsidP="006E69C9">
      <w:pPr>
        <w:numPr>
          <w:ilvl w:val="0"/>
          <w:numId w:val="17"/>
        </w:numPr>
        <w:tabs>
          <w:tab w:val="left" w:pos="709"/>
        </w:tabs>
        <w:spacing w:line="480" w:lineRule="auto"/>
        <w:jc w:val="both"/>
        <w:rPr>
          <w:color w:val="000000"/>
          <w:lang w:val="id-ID"/>
        </w:rPr>
      </w:pPr>
      <w:r w:rsidRPr="002F0BE2">
        <w:rPr>
          <w:color w:val="000000"/>
        </w:rPr>
        <w:t>Orang yang memberikan keterangan palsu (tidak benar) kepada pegawai polisi untuk dimasukkan kedalam proses-perbal itu tidak dapat dikenakan pasal ini, karena proses-perbal itu gunanya bukan untuk membuktikan kebenaran dari keterangan orang itu, tetapi hanya untuk membuktikan bahwa keterangan yang diberikan orang itu demikianlah adanya. Ini beda sekali dengan surat (akta) kelahiran yang gunanya benar-benar untuk membuktikan kebenaran kelahiran itu.</w:t>
      </w:r>
    </w:p>
    <w:p w:rsidR="00F473B6" w:rsidRPr="002F0BE2" w:rsidRDefault="00F473B6" w:rsidP="006E69C9">
      <w:pPr>
        <w:numPr>
          <w:ilvl w:val="0"/>
          <w:numId w:val="17"/>
        </w:numPr>
        <w:tabs>
          <w:tab w:val="left" w:pos="709"/>
        </w:tabs>
        <w:spacing w:line="480" w:lineRule="auto"/>
        <w:jc w:val="both"/>
        <w:rPr>
          <w:color w:val="000000"/>
          <w:lang w:val="id-ID"/>
        </w:rPr>
      </w:pPr>
      <w:r w:rsidRPr="002F0BE2">
        <w:rPr>
          <w:color w:val="000000"/>
        </w:rPr>
        <w:lastRenderedPageBreak/>
        <w:t xml:space="preserve">Dapat dihukum menurut pasal ini misalnya pedagang yang menyuruh membuat persetujuan dagang kepada seorang notaris mengenai sebidang tanah, jika terlebih dahulu ia menjual tanah itu kepada orang lain. Dalam hal ini maka akta notaris merupakan suatu surat yang digunakan sebagai bukti terhadap suatu pemindahan hak milik. </w:t>
      </w:r>
    </w:p>
    <w:p w:rsidR="00F473B6" w:rsidRPr="002F0BE2" w:rsidRDefault="00F473B6" w:rsidP="00F473B6">
      <w:pPr>
        <w:spacing w:line="480" w:lineRule="auto"/>
        <w:ind w:left="360" w:firstLine="633"/>
        <w:jc w:val="both"/>
        <w:rPr>
          <w:color w:val="000000"/>
          <w:lang w:val="id-ID"/>
        </w:rPr>
      </w:pPr>
      <w:r w:rsidRPr="002F0BE2">
        <w:rPr>
          <w:color w:val="000000"/>
        </w:rPr>
        <w:t>Memberikan keterangan palsu dalam Pasal 266 KUHP memang berkaitan erat dengan ketentuan-ketentuan serta unsur-unsur yang ada dalam Pasal 263 dan Pasal 264 KUHP. Bahwa Pasal 264 ayat (1) KUHP memiliki unsur-unsur yang sama dengan Pasal 263 ayat (1) KUHP, sedangkan perbedaannya terletak dalam obyek daripada pemalsuan. Obyek daripada pemalsuan ini adalah beberapa jenis surat tertentu, seperti akta otentik, dan sebagainya</w:t>
      </w:r>
      <w:r w:rsidRPr="002F0BE2">
        <w:rPr>
          <w:color w:val="000000"/>
          <w:lang w:val="id-ID"/>
        </w:rPr>
        <w:t>.</w:t>
      </w:r>
    </w:p>
    <w:p w:rsidR="00F473B6" w:rsidRPr="002F0BE2" w:rsidRDefault="00F473B6" w:rsidP="006E69C9">
      <w:pPr>
        <w:numPr>
          <w:ilvl w:val="0"/>
          <w:numId w:val="22"/>
        </w:numPr>
        <w:tabs>
          <w:tab w:val="clear" w:pos="360"/>
          <w:tab w:val="num" w:pos="11"/>
        </w:tabs>
        <w:spacing w:line="480" w:lineRule="auto"/>
        <w:jc w:val="both"/>
        <w:rPr>
          <w:color w:val="000000"/>
          <w:lang w:val="id-ID"/>
        </w:rPr>
      </w:pPr>
      <w:r w:rsidRPr="002F0BE2">
        <w:rPr>
          <w:color w:val="000000"/>
        </w:rPr>
        <w:t>Pemalsuan surat tertentu ( Pasal 269 KUHP dan Pasal 270 KUHP)</w:t>
      </w:r>
      <w:r w:rsidRPr="002F0BE2">
        <w:rPr>
          <w:color w:val="000000"/>
          <w:lang w:val="id-ID"/>
        </w:rPr>
        <w:t>.</w:t>
      </w:r>
    </w:p>
    <w:p w:rsidR="00F473B6" w:rsidRPr="002F0BE2" w:rsidRDefault="00F473B6" w:rsidP="00F473B6">
      <w:pPr>
        <w:spacing w:line="480" w:lineRule="auto"/>
        <w:ind w:left="360" w:firstLine="633"/>
        <w:jc w:val="both"/>
        <w:rPr>
          <w:color w:val="000000"/>
          <w:lang w:val="id-ID"/>
        </w:rPr>
      </w:pPr>
      <w:r w:rsidRPr="002F0BE2">
        <w:rPr>
          <w:color w:val="000000"/>
        </w:rPr>
        <w:t>Pasal 269 KUHP merumuskan sebagai berikut</w:t>
      </w:r>
      <w:r w:rsidRPr="002F0BE2">
        <w:rPr>
          <w:color w:val="000000"/>
          <w:lang w:val="id-ID"/>
        </w:rPr>
        <w:t xml:space="preserve"> :</w:t>
      </w:r>
    </w:p>
    <w:p w:rsidR="00F473B6" w:rsidRPr="002F0BE2" w:rsidRDefault="00F473B6" w:rsidP="006E69C9">
      <w:pPr>
        <w:numPr>
          <w:ilvl w:val="0"/>
          <w:numId w:val="18"/>
        </w:numPr>
        <w:ind w:left="1134"/>
        <w:jc w:val="both"/>
        <w:rPr>
          <w:color w:val="000000"/>
          <w:lang w:val="id-ID"/>
        </w:rPr>
      </w:pPr>
      <w:r w:rsidRPr="002F0BE2">
        <w:rPr>
          <w:color w:val="000000"/>
        </w:rPr>
        <w:t xml:space="preserve">Barangsiapa membuat surat palsu atau memalsu surat keterangan tanda kelakuan baik, kecakapan, kemiskinan, kecacatan atau keadaan lain, dengan maksud untuk memakai atau menyuruh orang lain memakai surat itu supaya diterima dalam pekerjaan atau supaya menimbulkan kemurahan hati dan pertolongan, di pidana dengan pidana penjara paling lama 1 (satu) tahun 4 (empat) bulan. </w:t>
      </w:r>
    </w:p>
    <w:p w:rsidR="00F473B6" w:rsidRPr="002F0BE2" w:rsidRDefault="00F473B6" w:rsidP="006E69C9">
      <w:pPr>
        <w:numPr>
          <w:ilvl w:val="0"/>
          <w:numId w:val="18"/>
        </w:numPr>
        <w:ind w:left="1134"/>
        <w:jc w:val="both"/>
        <w:rPr>
          <w:color w:val="000000"/>
          <w:lang w:val="id-ID"/>
        </w:rPr>
      </w:pPr>
      <w:r w:rsidRPr="002F0BE2">
        <w:rPr>
          <w:color w:val="000000"/>
        </w:rPr>
        <w:t>Di pidana dengan pidana yang sama barangsiapa yang dengan sengaja memakai surat keterangan yang palsu atau yang dipalsukan tersebut dalam ayat pertama, seolah-olah surat itu asli dan tidak dipalsu</w:t>
      </w:r>
      <w:r w:rsidRPr="002F0BE2">
        <w:rPr>
          <w:color w:val="000000"/>
          <w:lang w:val="id-ID"/>
        </w:rPr>
        <w:t>.</w:t>
      </w:r>
    </w:p>
    <w:p w:rsidR="00F473B6" w:rsidRPr="002F0BE2" w:rsidRDefault="00F473B6" w:rsidP="00F473B6">
      <w:pPr>
        <w:ind w:left="720"/>
        <w:jc w:val="both"/>
        <w:rPr>
          <w:color w:val="000000"/>
          <w:lang w:val="id-ID"/>
        </w:rPr>
      </w:pPr>
    </w:p>
    <w:p w:rsidR="00F473B6" w:rsidRPr="002F0BE2" w:rsidRDefault="00F473B6" w:rsidP="00F473B6">
      <w:pPr>
        <w:pStyle w:val="Default"/>
        <w:spacing w:line="480" w:lineRule="auto"/>
        <w:ind w:firstLine="633"/>
        <w:jc w:val="both"/>
      </w:pPr>
      <w:r w:rsidRPr="002F0BE2">
        <w:t>Adapun penjelasan terhadap Pasal 269 KUHP tersebut adalah:</w:t>
      </w:r>
    </w:p>
    <w:p w:rsidR="00F473B6" w:rsidRPr="002F0BE2" w:rsidRDefault="00F473B6" w:rsidP="006E69C9">
      <w:pPr>
        <w:numPr>
          <w:ilvl w:val="0"/>
          <w:numId w:val="19"/>
        </w:numPr>
        <w:spacing w:line="480" w:lineRule="auto"/>
        <w:ind w:left="360"/>
        <w:jc w:val="both"/>
        <w:rPr>
          <w:color w:val="000000"/>
          <w:lang w:val="id-ID"/>
        </w:rPr>
      </w:pPr>
      <w:r w:rsidRPr="002F0BE2">
        <w:rPr>
          <w:color w:val="000000"/>
        </w:rPr>
        <w:t xml:space="preserve">Orang yang membuat palsu atau memalsukan surat keterangan tentang kekuasaan baik, kecakapan, kemiskinan, cacat atau keadaan lain-lain dengan maksud akan menggunakan satu menyuruh menggunakan surat itu supaya </w:t>
      </w:r>
      <w:r w:rsidRPr="002F0BE2">
        <w:rPr>
          <w:color w:val="000000"/>
        </w:rPr>
        <w:lastRenderedPageBreak/>
        <w:t>dapat masuk pekerjaan, menerbitkan kemurahan hati atau perasaan suka member pertolongan</w:t>
      </w:r>
      <w:r w:rsidRPr="002F0BE2">
        <w:rPr>
          <w:color w:val="000000"/>
          <w:lang w:val="id-ID"/>
        </w:rPr>
        <w:t>.</w:t>
      </w:r>
    </w:p>
    <w:p w:rsidR="00F473B6" w:rsidRPr="002F0BE2" w:rsidRDefault="00F473B6" w:rsidP="006E69C9">
      <w:pPr>
        <w:numPr>
          <w:ilvl w:val="0"/>
          <w:numId w:val="19"/>
        </w:numPr>
        <w:spacing w:line="480" w:lineRule="auto"/>
        <w:ind w:left="360"/>
        <w:jc w:val="both"/>
        <w:rPr>
          <w:color w:val="000000"/>
          <w:lang w:val="id-ID"/>
        </w:rPr>
      </w:pPr>
      <w:r w:rsidRPr="002F0BE2">
        <w:rPr>
          <w:color w:val="000000"/>
        </w:rPr>
        <w:t>Orang yang menggunakan surat semacam itu sedang ia tahu akan kepalsuaannya.</w:t>
      </w:r>
    </w:p>
    <w:p w:rsidR="00F473B6" w:rsidRPr="002F0BE2" w:rsidRDefault="00F473B6" w:rsidP="00F473B6">
      <w:pPr>
        <w:spacing w:line="480" w:lineRule="auto"/>
        <w:ind w:firstLine="720"/>
        <w:jc w:val="both"/>
        <w:rPr>
          <w:b/>
          <w:color w:val="000000"/>
        </w:rPr>
      </w:pPr>
      <w:r w:rsidRPr="002F0BE2">
        <w:rPr>
          <w:color w:val="000000"/>
        </w:rPr>
        <w:t>Jenis surat yang menjadi objek kejahatan Pasal 269 KUHP tersebut di atas yang menurut kebiasaan dikeluarkan oleh pejabat umum yang berwenang. Misalnya surat keterangan tanda kelakuan baik yang dikeluarkan Pejabat Kepolisian setempat, surat tentang kemiskinan atau tidak mampu oleh Kepala Desa atau Lurah setempat, bahkan kadang juga dikeluarkan oleh Camat atas surat Kepala Desa atau Lurah setempat. Subjek hukum kejahatan ini dapat pejabat itu sendiri, orang lain selain pejabat yang bersangkutan</w:t>
      </w:r>
      <w:r w:rsidRPr="002F0BE2">
        <w:rPr>
          <w:color w:val="000000"/>
          <w:lang w:val="id-ID"/>
        </w:rPr>
        <w:t>.</w:t>
      </w:r>
    </w:p>
    <w:p w:rsidR="00F473B6" w:rsidRPr="002F0BE2" w:rsidRDefault="00F473B6" w:rsidP="00F473B6">
      <w:pPr>
        <w:pStyle w:val="Default"/>
        <w:spacing w:line="480" w:lineRule="auto"/>
        <w:ind w:firstLine="720"/>
        <w:jc w:val="both"/>
        <w:rPr>
          <w:bdr w:val="none" w:sz="0" w:space="0" w:color="auto" w:frame="1"/>
          <w:lang w:val="en-US"/>
        </w:rPr>
      </w:pPr>
      <w:r w:rsidRPr="002F0BE2">
        <w:rPr>
          <w:lang w:val="en-US"/>
        </w:rPr>
        <w:t>P</w:t>
      </w:r>
      <w:r w:rsidRPr="002F0BE2">
        <w:t xml:space="preserve">enggunaan Kartu Tanda Penduduk (“KTP”) palsu dapat dikenakan pidana karena pemalsuan surat sebagaimana diatur dalam </w:t>
      </w:r>
      <w:r w:rsidRPr="002F0BE2">
        <w:rPr>
          <w:lang w:val="en-US"/>
        </w:rPr>
        <w:t>P</w:t>
      </w:r>
      <w:r w:rsidRPr="002F0BE2">
        <w:rPr>
          <w:bCs/>
          <w:bdr w:val="none" w:sz="0" w:space="0" w:color="auto" w:frame="1"/>
        </w:rPr>
        <w:t>asal 263 </w:t>
      </w:r>
      <w:r w:rsidRPr="002F0BE2">
        <w:rPr>
          <w:bCs/>
          <w:bdr w:val="none" w:sz="0" w:space="0" w:color="auto" w:frame="1"/>
          <w:lang w:val="en-US"/>
        </w:rPr>
        <w:t>KUHP</w:t>
      </w:r>
      <w:r w:rsidRPr="002F0BE2">
        <w:rPr>
          <w:bdr w:val="none" w:sz="0" w:space="0" w:color="auto" w:frame="1"/>
        </w:rPr>
        <w:t xml:space="preserve">, khususnya pada ketentuan </w:t>
      </w:r>
      <w:r w:rsidRPr="002F0BE2">
        <w:rPr>
          <w:bCs/>
          <w:bdr w:val="none" w:sz="0" w:space="0" w:color="auto" w:frame="1"/>
        </w:rPr>
        <w:t>ayat (2)</w:t>
      </w:r>
      <w:r w:rsidRPr="002F0BE2">
        <w:rPr>
          <w:bdr w:val="none" w:sz="0" w:space="0" w:color="auto" w:frame="1"/>
        </w:rPr>
        <w:t>. Pasal tersebut berbunyi sebagai berikut:</w:t>
      </w:r>
    </w:p>
    <w:p w:rsidR="00F473B6" w:rsidRPr="002F0BE2" w:rsidRDefault="00F473B6" w:rsidP="00F473B6">
      <w:pPr>
        <w:pStyle w:val="NormalWeb"/>
        <w:spacing w:before="0" w:beforeAutospacing="0" w:after="0" w:afterAutospacing="0" w:line="360" w:lineRule="auto"/>
        <w:jc w:val="both"/>
        <w:textAlignment w:val="baseline"/>
        <w:rPr>
          <w:bCs/>
          <w:iCs/>
          <w:color w:val="000000"/>
          <w:bdr w:val="none" w:sz="0" w:space="0" w:color="auto" w:frame="1"/>
        </w:rPr>
      </w:pPr>
      <w:r w:rsidRPr="002F0BE2">
        <w:rPr>
          <w:bCs/>
          <w:iCs/>
          <w:color w:val="000000"/>
          <w:bdr w:val="none" w:sz="0" w:space="0" w:color="auto" w:frame="1"/>
        </w:rPr>
        <w:t>Pasal 263 KUHP:</w:t>
      </w:r>
    </w:p>
    <w:p w:rsidR="00F473B6" w:rsidRPr="002F0BE2" w:rsidRDefault="00F473B6" w:rsidP="006E69C9">
      <w:pPr>
        <w:pStyle w:val="NormalWeb"/>
        <w:numPr>
          <w:ilvl w:val="1"/>
          <w:numId w:val="20"/>
        </w:numPr>
        <w:spacing w:before="0" w:beforeAutospacing="0" w:after="0" w:afterAutospacing="0"/>
        <w:ind w:left="1155"/>
        <w:jc w:val="both"/>
        <w:textAlignment w:val="baseline"/>
        <w:rPr>
          <w:bCs/>
          <w:iCs/>
          <w:color w:val="000000"/>
          <w:bdr w:val="none" w:sz="0" w:space="0" w:color="auto" w:frame="1"/>
        </w:rPr>
      </w:pPr>
      <w:r w:rsidRPr="002F0BE2">
        <w:rPr>
          <w:iCs/>
          <w:color w:val="000000"/>
          <w:bdr w:val="none" w:sz="0" w:space="0" w:color="auto" w:frame="1"/>
        </w:rPr>
        <w:t>Barang siapa membuat surat palsu atau memalsukan surat, yang dapat menerbitkan sesuatu hak, sesuatu perjanjian (kewajiban) atau sesuatu pembebasan utang, atau yang boleh dipergunakan sebagai keterangan bagi sesuatu perbuatan, dengan maksud akan menggunakan atau menyuruh orang lain menggunakan surat-surat itu seolah-olah surat itu asli dan tidak dipalsukan, maka kalau mempergunakannya dapat mendatangkan sesuatu kerugian dihukum karena pemalsuan surat, dengan hukuman penjara </w:t>
      </w:r>
      <w:r w:rsidRPr="002F0BE2">
        <w:rPr>
          <w:bCs/>
          <w:iCs/>
          <w:color w:val="000000"/>
          <w:bdr w:val="none" w:sz="0" w:space="0" w:color="auto" w:frame="1"/>
        </w:rPr>
        <w:t>selama-lamanya enam tahun</w:t>
      </w:r>
      <w:r w:rsidRPr="002F0BE2">
        <w:rPr>
          <w:iCs/>
          <w:color w:val="000000"/>
          <w:bdr w:val="none" w:sz="0" w:space="0" w:color="auto" w:frame="1"/>
        </w:rPr>
        <w:t>.</w:t>
      </w:r>
    </w:p>
    <w:p w:rsidR="00F473B6" w:rsidRPr="002F0BE2" w:rsidRDefault="00F473B6" w:rsidP="006E69C9">
      <w:pPr>
        <w:pStyle w:val="NormalWeb"/>
        <w:numPr>
          <w:ilvl w:val="1"/>
          <w:numId w:val="20"/>
        </w:numPr>
        <w:spacing w:before="0" w:beforeAutospacing="0" w:after="0" w:afterAutospacing="0"/>
        <w:ind w:left="1155"/>
        <w:jc w:val="both"/>
        <w:textAlignment w:val="baseline"/>
        <w:rPr>
          <w:bCs/>
          <w:iCs/>
          <w:color w:val="000000"/>
          <w:bdr w:val="none" w:sz="0" w:space="0" w:color="auto" w:frame="1"/>
        </w:rPr>
      </w:pPr>
      <w:r w:rsidRPr="002F0BE2">
        <w:rPr>
          <w:iCs/>
          <w:color w:val="000000"/>
          <w:bdr w:val="none" w:sz="0" w:space="0" w:color="auto" w:frame="1"/>
        </w:rPr>
        <w:t>Dengan hukuman serupa itu juga dihukum, barangsiapa dengan sengaja menggunakan surat palsu atau yang dipalsukan itu seolah-olah surat itu asli dan tidak dipalsukan, kalau hal mempergunakan dapat mendatangkan sesuatu kerugian</w:t>
      </w:r>
    </w:p>
    <w:p w:rsidR="00F473B6" w:rsidRPr="002F0BE2" w:rsidRDefault="00F473B6" w:rsidP="00F473B6">
      <w:pPr>
        <w:pStyle w:val="NormalWeb"/>
        <w:spacing w:before="0" w:beforeAutospacing="0" w:after="0" w:afterAutospacing="0"/>
        <w:ind w:left="1155"/>
        <w:jc w:val="both"/>
        <w:textAlignment w:val="baseline"/>
        <w:rPr>
          <w:bCs/>
          <w:iCs/>
          <w:color w:val="000000"/>
          <w:bdr w:val="none" w:sz="0" w:space="0" w:color="auto" w:frame="1"/>
        </w:rPr>
      </w:pPr>
    </w:p>
    <w:p w:rsidR="00F473B6" w:rsidRPr="002F0BE2" w:rsidRDefault="00F473B6" w:rsidP="00F473B6">
      <w:pPr>
        <w:pStyle w:val="NormalWeb"/>
        <w:spacing w:before="0" w:beforeAutospacing="0" w:after="0" w:afterAutospacing="0" w:line="480" w:lineRule="auto"/>
        <w:ind w:firstLine="720"/>
        <w:jc w:val="both"/>
        <w:textAlignment w:val="baseline"/>
        <w:rPr>
          <w:color w:val="000000"/>
        </w:rPr>
      </w:pPr>
      <w:r w:rsidRPr="002F0BE2">
        <w:rPr>
          <w:bCs/>
          <w:color w:val="000000"/>
        </w:rPr>
        <w:t>R.Soesilo</w:t>
      </w:r>
      <w:r w:rsidRPr="002F0BE2">
        <w:rPr>
          <w:color w:val="000000"/>
        </w:rPr>
        <w:t xml:space="preserve"> menjelaskan bahwa penggunaan surat palsu itu harus dapat mendatangkan kerugian. Kerugian tersebut tidak hanya meliputi kerugian materiil, </w:t>
      </w:r>
      <w:r w:rsidRPr="002F0BE2">
        <w:rPr>
          <w:color w:val="000000"/>
        </w:rPr>
        <w:lastRenderedPageBreak/>
        <w:t>akan tetapi juga kerugian di lapangan kemasyarakatan, kesusilaan, kehormatan dsb. Masih menurut R. Soesilo, yang dihukum menurut pasal ini tidak saja “memalsukan” surat (ayat 1), tetapi juga “sengaja mempergunakan” surat palsu (ayat 2). “Sengaja” maksudnya, bahwa orang yang menggunakan itu harus mengetahui benar-benar bahwa surat yang ia gunakan itu palsu. Jika ia tidak tahu akan hal itu, ia tidak dihukum. Tentunya terkait dengan tahu atau tidak tahunya pemohon itu harus dibuktikan dalam pemeriksaan oleh penyidik maupun dalam persidangan.</w:t>
      </w:r>
      <w:r w:rsidRPr="002F0BE2">
        <w:rPr>
          <w:rStyle w:val="FootnoteReference"/>
          <w:color w:val="000000"/>
        </w:rPr>
        <w:footnoteReference w:id="8"/>
      </w:r>
    </w:p>
    <w:p w:rsidR="00F473B6" w:rsidRPr="002F0BE2" w:rsidRDefault="00F473B6" w:rsidP="00F473B6">
      <w:pPr>
        <w:pStyle w:val="NormalWeb"/>
        <w:spacing w:before="0" w:beforeAutospacing="0" w:after="0" w:afterAutospacing="0" w:line="456" w:lineRule="auto"/>
        <w:ind w:firstLine="720"/>
        <w:jc w:val="both"/>
        <w:textAlignment w:val="baseline"/>
        <w:rPr>
          <w:color w:val="000000"/>
          <w:lang w:val="en-ID"/>
        </w:rPr>
      </w:pPr>
      <w:r w:rsidRPr="002F0BE2">
        <w:rPr>
          <w:color w:val="000000"/>
          <w:lang w:val="en-ID"/>
        </w:rPr>
        <w:t xml:space="preserve"> Tindak pidana yang sering terjadi adalah berkaitan dengan Pasal 263 KUHP (membuat surat palsu atau memalsukan surat), dan Pasal 264 (memalsukan akta-akta otentik dan Pasal 266 KUHPidana (menyuruh memasukkan keterangan palsu ke dalam suatu akta otentik). </w:t>
      </w:r>
    </w:p>
    <w:p w:rsidR="00F473B6" w:rsidRPr="002F0BE2" w:rsidRDefault="00F473B6" w:rsidP="00F473B6">
      <w:pPr>
        <w:pStyle w:val="NormalWeb"/>
        <w:spacing w:before="0" w:beforeAutospacing="0" w:after="0" w:afterAutospacing="0" w:line="456" w:lineRule="auto"/>
        <w:ind w:firstLine="720"/>
        <w:jc w:val="both"/>
        <w:textAlignment w:val="baseline"/>
        <w:rPr>
          <w:color w:val="000000"/>
          <w:lang w:val="en-ID"/>
        </w:rPr>
      </w:pPr>
      <w:r w:rsidRPr="002F0BE2">
        <w:rPr>
          <w:color w:val="000000"/>
          <w:lang w:val="en-ID"/>
        </w:rPr>
        <w:t>Perbuatan membuat surat palsu adalah perbuatan membuat sebuah surat yang sebelumnya tidak ada/belum ada, yang sebagian atau seluruh isinya palsu. Surat palsu yang dihasilkan dari perbuatan ini disebut dengan surat palsu. Sementara perbuatan memalsukan, adalah segala wujud perbuatan apapun yang ditujukan pada sebuah surat yang sudah ada, dengan cara menghapus, mengubah atau mengganti salah satu isinya surat sehingga berbeda dengan surat semula. Surat ini disebut dengan surat yang dipalsukan.</w:t>
      </w:r>
    </w:p>
    <w:p w:rsidR="00F473B6" w:rsidRPr="002F0BE2" w:rsidRDefault="00F473B6" w:rsidP="00F473B6">
      <w:pPr>
        <w:pStyle w:val="NormalWeb"/>
        <w:spacing w:before="0" w:beforeAutospacing="0" w:after="0" w:afterAutospacing="0" w:line="480" w:lineRule="auto"/>
        <w:ind w:firstLine="720"/>
        <w:jc w:val="both"/>
        <w:textAlignment w:val="baseline"/>
        <w:rPr>
          <w:i/>
          <w:iCs/>
          <w:color w:val="000000"/>
        </w:rPr>
      </w:pPr>
      <w:r w:rsidRPr="002F0BE2">
        <w:rPr>
          <w:color w:val="000000"/>
        </w:rPr>
        <w:t xml:space="preserve">Kejahatan pemalsuan surat dibentuk dengan tujuan untuk melindungi kepentingan hukum publik perihal kepercayaan terhadap kebenaran atas isi 4 macam objek surat, ialah surat yang menimbulkan suatu hak; surat yang menerbitkan suatu perikatan; surat yang menimbulkan pembebasan utang dan </w:t>
      </w:r>
      <w:r w:rsidRPr="002F0BE2">
        <w:rPr>
          <w:color w:val="000000"/>
        </w:rPr>
        <w:lastRenderedPageBreak/>
        <w:t xml:space="preserve">surat yang dibuat untuk untuk membuktikan suatu hal/keadaan tertentu. Sementara itu perbuatan yang dilarang terhadap dua macam surat tersebut adalah perbuatan membuat surat palsu </w:t>
      </w:r>
      <w:r w:rsidRPr="002F0BE2">
        <w:rPr>
          <w:i/>
          <w:iCs/>
          <w:color w:val="000000"/>
        </w:rPr>
        <w:t>(valschelijk opmaaken)</w:t>
      </w:r>
      <w:r w:rsidRPr="002F0BE2">
        <w:rPr>
          <w:color w:val="000000"/>
        </w:rPr>
        <w:t xml:space="preserve"> dan memalsukan </w:t>
      </w:r>
      <w:r w:rsidRPr="002F0BE2">
        <w:rPr>
          <w:i/>
          <w:iCs/>
          <w:color w:val="000000"/>
        </w:rPr>
        <w:t>(vervalsen).</w:t>
      </w:r>
      <w:r w:rsidRPr="002F0BE2">
        <w:rPr>
          <w:rStyle w:val="FootnoteReference"/>
          <w:i/>
          <w:iCs/>
          <w:color w:val="000000"/>
        </w:rPr>
        <w:footnoteReference w:id="9"/>
      </w:r>
    </w:p>
    <w:p w:rsidR="00F473B6" w:rsidRPr="002F0BE2" w:rsidRDefault="00F473B6" w:rsidP="00F473B6">
      <w:pPr>
        <w:pStyle w:val="NormalWeb"/>
        <w:spacing w:before="0" w:beforeAutospacing="0" w:after="0" w:afterAutospacing="0" w:line="480" w:lineRule="auto"/>
        <w:ind w:firstLine="720"/>
        <w:jc w:val="both"/>
        <w:textAlignment w:val="baseline"/>
        <w:rPr>
          <w:color w:val="000000"/>
        </w:rPr>
      </w:pPr>
      <w:r w:rsidRPr="002F0BE2">
        <w:rPr>
          <w:color w:val="000000"/>
        </w:rPr>
        <w:t>Perbuatan membuat palsu atau memalsu surat seperti itu dipidana apabila terkandung maksud untuk :</w:t>
      </w:r>
    </w:p>
    <w:p w:rsidR="00F473B6" w:rsidRPr="002F0BE2" w:rsidRDefault="00F473B6" w:rsidP="006E69C9">
      <w:pPr>
        <w:pStyle w:val="NormalWeb"/>
        <w:numPr>
          <w:ilvl w:val="3"/>
          <w:numId w:val="22"/>
        </w:numPr>
        <w:tabs>
          <w:tab w:val="clear" w:pos="2520"/>
          <w:tab w:val="num" w:pos="360"/>
        </w:tabs>
        <w:spacing w:before="0" w:beforeAutospacing="0" w:after="0" w:afterAutospacing="0" w:line="480" w:lineRule="auto"/>
        <w:ind w:left="360"/>
        <w:jc w:val="both"/>
        <w:textAlignment w:val="baseline"/>
        <w:rPr>
          <w:color w:val="000000"/>
        </w:rPr>
      </w:pPr>
      <w:r w:rsidRPr="002F0BE2">
        <w:rPr>
          <w:color w:val="000000"/>
        </w:rPr>
        <w:t>memudahkan penjualannya</w:t>
      </w:r>
    </w:p>
    <w:p w:rsidR="00F473B6" w:rsidRPr="002F0BE2" w:rsidRDefault="00F473B6" w:rsidP="006E69C9">
      <w:pPr>
        <w:pStyle w:val="NormalWeb"/>
        <w:numPr>
          <w:ilvl w:val="3"/>
          <w:numId w:val="22"/>
        </w:numPr>
        <w:tabs>
          <w:tab w:val="clear" w:pos="2520"/>
          <w:tab w:val="num" w:pos="360"/>
        </w:tabs>
        <w:spacing w:before="0" w:beforeAutospacing="0" w:after="0" w:afterAutospacing="0" w:line="480" w:lineRule="auto"/>
        <w:ind w:left="360"/>
        <w:jc w:val="both"/>
        <w:textAlignment w:val="baseline"/>
        <w:rPr>
          <w:color w:val="000000"/>
        </w:rPr>
      </w:pPr>
      <w:r w:rsidRPr="002F0BE2">
        <w:rPr>
          <w:color w:val="000000"/>
        </w:rPr>
        <w:t xml:space="preserve">Memudahkan penggadainya </w:t>
      </w:r>
    </w:p>
    <w:p w:rsidR="00F473B6" w:rsidRPr="002F0BE2" w:rsidRDefault="00F473B6" w:rsidP="006E69C9">
      <w:pPr>
        <w:pStyle w:val="NormalWeb"/>
        <w:numPr>
          <w:ilvl w:val="3"/>
          <w:numId w:val="22"/>
        </w:numPr>
        <w:tabs>
          <w:tab w:val="clear" w:pos="2520"/>
          <w:tab w:val="num" w:pos="360"/>
        </w:tabs>
        <w:spacing w:before="0" w:beforeAutospacing="0" w:after="0" w:afterAutospacing="0" w:line="480" w:lineRule="auto"/>
        <w:ind w:left="360"/>
        <w:jc w:val="both"/>
        <w:textAlignment w:val="baseline"/>
        <w:rPr>
          <w:color w:val="000000"/>
        </w:rPr>
      </w:pPr>
      <w:r w:rsidRPr="002F0BE2">
        <w:rPr>
          <w:color w:val="000000"/>
        </w:rPr>
        <w:t>Menyesatkan pejabat tertentu dan/ atau kepolisian tentang asalnya barang.</w:t>
      </w:r>
      <w:r w:rsidRPr="002F0BE2">
        <w:rPr>
          <w:rStyle w:val="FootnoteReference"/>
          <w:color w:val="000000"/>
        </w:rPr>
        <w:footnoteReference w:id="10"/>
      </w:r>
    </w:p>
    <w:p w:rsidR="00F473B6" w:rsidRPr="002F0BE2" w:rsidRDefault="00F473B6" w:rsidP="00F473B6">
      <w:pPr>
        <w:pStyle w:val="NormalWeb"/>
        <w:spacing w:before="0" w:beforeAutospacing="0" w:after="0" w:afterAutospacing="0" w:line="480" w:lineRule="auto"/>
        <w:ind w:firstLine="720"/>
        <w:jc w:val="both"/>
        <w:textAlignment w:val="baseline"/>
        <w:rPr>
          <w:color w:val="000000"/>
          <w:lang w:val="en-ID"/>
        </w:rPr>
      </w:pPr>
      <w:r w:rsidRPr="002F0BE2">
        <w:rPr>
          <w:color w:val="000000"/>
        </w:rPr>
        <w:t xml:space="preserve">Istilah/unsur memudahkan, artinya surat itu mempunyai pengaruh terhadap kemudahan untuk penjualannya atau penggadaiannya atau dalam hal penyesatan terhadap pejabat tertentu atau kepolisian. Dengan kata lain, bahwa tanpa surat palsu atau dipalsu tersebut, penjualannya atau penggadaiannya tidak dapat </w:t>
      </w:r>
      <w:r w:rsidRPr="002F0BE2">
        <w:rPr>
          <w:color w:val="000000"/>
          <w:lang w:val="en-ID"/>
        </w:rPr>
        <w:t>dilakukan  tidak semudah bila ada surat semacam itu. Sedangkan unsur menyesatkan, artinya surat itu dapat menimbulkan kesan bagi pejabat tertentu atau kepolsian seolah-olah barang itu benar berasal dari orang yang tertulis pada surat itu, yang sesungguhnya tidak benar.</w:t>
      </w:r>
    </w:p>
    <w:p w:rsidR="00F473B6" w:rsidRPr="002F0BE2" w:rsidRDefault="00F473B6" w:rsidP="00F473B6">
      <w:pPr>
        <w:pStyle w:val="NormalWeb"/>
        <w:spacing w:before="0" w:beforeAutospacing="0" w:after="0" w:afterAutospacing="0" w:line="480" w:lineRule="auto"/>
        <w:ind w:firstLine="720"/>
        <w:jc w:val="both"/>
        <w:textAlignment w:val="baseline"/>
        <w:rPr>
          <w:color w:val="000000"/>
          <w:lang w:val="en-ID"/>
        </w:rPr>
      </w:pPr>
      <w:r w:rsidRPr="002F0BE2">
        <w:rPr>
          <w:color w:val="000000"/>
          <w:lang w:val="en-ID"/>
        </w:rPr>
        <w:t xml:space="preserve">Salah satu contoh bentuk surat yang dikeluarkan oleh pejabat adalah sertipikat tanah. Sertipikat tanah adalah surat tanda bukti hak (Pasal 19 ayat (2) huruf c UUPA) untuk hak atas tanah, hak pengelolaan, tanah wakaf, hak milik atas satuan rumah susun (rusun) dan hak tanggungan yang masing-masing sudah didaftar dalam buku tanah yang bersangkutan.  Dalam pasal 30 ayat (1) </w:t>
      </w:r>
      <w:r w:rsidRPr="002F0BE2">
        <w:rPr>
          <w:color w:val="000000"/>
          <w:lang w:val="en-ID"/>
        </w:rPr>
        <w:lastRenderedPageBreak/>
        <w:t xml:space="preserve">disebutkan pula bahwa sertipikat tanah diterbitkan untuk kepentingan pemegang hak yang bersangkutan, sesuai dengan data fisik dan data yuridis yang telah didaftar dalam buku tanah. Sertipikat tanah hanya boleh diserahkan kepada pihak yang namanya tercantum dalam buku tanah atau kepada pihak yang mendapatkan kuasa. </w:t>
      </w:r>
    </w:p>
    <w:p w:rsidR="00F473B6" w:rsidRPr="002F0BE2" w:rsidRDefault="00F473B6" w:rsidP="00F473B6">
      <w:pPr>
        <w:pStyle w:val="NormalWeb"/>
        <w:spacing w:before="0" w:beforeAutospacing="0" w:after="0" w:afterAutospacing="0" w:line="480" w:lineRule="auto"/>
        <w:ind w:firstLine="720"/>
        <w:jc w:val="both"/>
        <w:textAlignment w:val="baseline"/>
        <w:rPr>
          <w:color w:val="000000"/>
          <w:lang w:val="en-ID"/>
        </w:rPr>
      </w:pPr>
      <w:r w:rsidRPr="002F0BE2">
        <w:rPr>
          <w:color w:val="000000"/>
          <w:lang w:val="en-ID"/>
        </w:rPr>
        <w:t>Dari pengertian di atas dapat disimpulkan bahwa perbedaannya adalah buku tanah merupakan dokumen yang memuat data yuridis dan data fisik tanah yang sudah ada haknya. Sedangkan sertipikat tanah merupakan surat tanda bukti hak atas bidang tanah yang sudah dibukukan dan terdapat pada dalam daftar buku tanah tersebut.</w:t>
      </w:r>
    </w:p>
    <w:p w:rsidR="00F473B6" w:rsidRPr="002F0BE2" w:rsidRDefault="00F473B6" w:rsidP="00F473B6">
      <w:pPr>
        <w:pStyle w:val="NormalWeb"/>
        <w:spacing w:before="0" w:beforeAutospacing="0" w:after="0" w:afterAutospacing="0" w:line="480" w:lineRule="auto"/>
        <w:ind w:firstLine="720"/>
        <w:jc w:val="both"/>
        <w:textAlignment w:val="baseline"/>
        <w:rPr>
          <w:color w:val="000000"/>
          <w:lang w:val="en-ID"/>
        </w:rPr>
      </w:pPr>
      <w:r w:rsidRPr="002F0BE2">
        <w:rPr>
          <w:color w:val="000000"/>
          <w:lang w:val="en-ID"/>
        </w:rPr>
        <w:t xml:space="preserve">Dengan keluarnya UU No 5 Tahun 1960 maka dicabut berlakunya buku II sepanjang mengenai bumi, air serta kekayaan alam yang terkandung di dalamnya kecuali ketentuan-ketentuan mengenai hipotek yang masih berlaku pada mulai berlakunya UUPA tersebut. Oleh karenanya berbicara mengenai hak milik atas tanah, maka ketentuan buku II KUHPerdata tidak berlaku melainkan yang mengaturnya adalah Undang-undang Pokok Agraria (UU No 5 tahun 1960). </w:t>
      </w:r>
    </w:p>
    <w:p w:rsidR="00F473B6" w:rsidRPr="002F0BE2" w:rsidRDefault="00F473B6" w:rsidP="00F473B6">
      <w:pPr>
        <w:pStyle w:val="NormalWeb"/>
        <w:spacing w:before="0" w:beforeAutospacing="0" w:after="0" w:afterAutospacing="0" w:line="480" w:lineRule="auto"/>
        <w:ind w:firstLine="720"/>
        <w:jc w:val="both"/>
        <w:textAlignment w:val="baseline"/>
        <w:rPr>
          <w:color w:val="000000"/>
        </w:rPr>
      </w:pPr>
      <w:r w:rsidRPr="002F0BE2">
        <w:rPr>
          <w:color w:val="000000"/>
          <w:lang w:val="en-ID"/>
        </w:rPr>
        <w:t>Pemalsuan sertipikat hak milik tanah dapat ditinjau dalam Peraturan Pemerintah nomor 24 tahun 1997 tentang Pendaftaran Tanah, Permen Agraria/Kepala BPN nomor 3 tahun 1997 dan standar prosedur pelayanan sesuai peraturan kepala BPN nomor 1/2010. Dalam praktiknya, pemalsuan sertipikat tanah dilakukan dalam bentuk manipulasi tanda tangan pejabat yang berwenang maupun dokumen (sertipikat ganda) dalam mengajukan sertipikat tanah, yang konsekuensi hukumnya bisa dipidanakan</w:t>
      </w:r>
    </w:p>
    <w:p w:rsidR="00F473B6" w:rsidRPr="002F0BE2" w:rsidRDefault="00F473B6" w:rsidP="00F473B6">
      <w:pPr>
        <w:pStyle w:val="NormalWeb"/>
        <w:spacing w:before="0" w:beforeAutospacing="0" w:after="0" w:afterAutospacing="0" w:line="480" w:lineRule="auto"/>
        <w:ind w:firstLine="720"/>
        <w:jc w:val="both"/>
        <w:textAlignment w:val="baseline"/>
        <w:rPr>
          <w:color w:val="000000"/>
        </w:rPr>
      </w:pPr>
      <w:r w:rsidRPr="002F0BE2">
        <w:rPr>
          <w:color w:val="000000"/>
        </w:rPr>
        <w:lastRenderedPageBreak/>
        <w:t xml:space="preserve">Sanksi pidana bagi pelaku tindak pidana pemalsuan surat tanah sesungguhnya telah diatur secara </w:t>
      </w:r>
      <w:r w:rsidRPr="002F0BE2">
        <w:rPr>
          <w:i/>
          <w:iCs/>
          <w:color w:val="000000"/>
        </w:rPr>
        <w:t xml:space="preserve">lex specialist </w:t>
      </w:r>
      <w:r w:rsidRPr="002F0BE2">
        <w:rPr>
          <w:color w:val="000000"/>
        </w:rPr>
        <w:t xml:space="preserve">pada Pasal 263 KUHP </w:t>
      </w:r>
    </w:p>
    <w:p w:rsidR="00F473B6" w:rsidRPr="002F0BE2" w:rsidRDefault="00F473B6" w:rsidP="006E69C9">
      <w:pPr>
        <w:pStyle w:val="NormalWeb"/>
        <w:numPr>
          <w:ilvl w:val="3"/>
          <w:numId w:val="1"/>
        </w:numPr>
        <w:spacing w:before="0" w:beforeAutospacing="0" w:after="0" w:afterAutospacing="0"/>
        <w:ind w:left="1080"/>
        <w:jc w:val="both"/>
        <w:rPr>
          <w:color w:val="000000"/>
        </w:rPr>
      </w:pPr>
      <w:r w:rsidRPr="002F0BE2">
        <w:rPr>
          <w:color w:val="000000"/>
        </w:rPr>
        <w:t>Barangsiapa membuat surat palsu atau memalsukan surat, yang dapat menerbitkan sesuatu hak, sesuatu perjanjian (kewajiban) atau sesuatu pembebasan utang, atau yang boleh dipergunakan sebagai keterangan bagi sesuatu perbuatan, dengan maksud akan menggunakan atau menyuruh orang lain menggunakan surat-surat itu seolah-olah surat itu asli dan tidak dipalsukan, maka kalau mempergunakannya dapat mendatangkan sesuatu kerugian dihukum karena pemalsuan surat, dengan hukuman penjara selama-lamanya enam tahun.</w:t>
      </w:r>
    </w:p>
    <w:p w:rsidR="00F473B6" w:rsidRPr="002F0BE2" w:rsidRDefault="00F473B6" w:rsidP="006E69C9">
      <w:pPr>
        <w:pStyle w:val="NormalWeb"/>
        <w:numPr>
          <w:ilvl w:val="3"/>
          <w:numId w:val="1"/>
        </w:numPr>
        <w:spacing w:before="0" w:beforeAutospacing="0" w:after="0" w:afterAutospacing="0"/>
        <w:ind w:left="1080"/>
        <w:jc w:val="both"/>
        <w:rPr>
          <w:color w:val="000000"/>
        </w:rPr>
      </w:pPr>
      <w:r w:rsidRPr="002F0BE2">
        <w:rPr>
          <w:color w:val="000000"/>
        </w:rPr>
        <w:t>Dengan hukuman serupa itu juga dihukum, barangsiapa dengan sengaja menggunakan surat palsu atau yang dipalsukan itu seolah-olah surat itu asli dan tidak dipalsukan, kalau hal mempergunakan dapat mendatangkan sesuatu kerugian. (K.U.H.P. 35, 52, 64-2, 276, 277, 416, 417, 486).</w:t>
      </w:r>
    </w:p>
    <w:p w:rsidR="00F473B6" w:rsidRPr="002F0BE2" w:rsidRDefault="00F473B6" w:rsidP="00F473B6">
      <w:pPr>
        <w:tabs>
          <w:tab w:val="left" w:pos="2115"/>
        </w:tabs>
        <w:ind w:firstLine="720"/>
        <w:jc w:val="both"/>
      </w:pPr>
    </w:p>
    <w:p w:rsidR="00F473B6" w:rsidRPr="002F0BE2" w:rsidRDefault="00F473B6" w:rsidP="00F473B6">
      <w:pPr>
        <w:tabs>
          <w:tab w:val="left" w:pos="2115"/>
        </w:tabs>
        <w:spacing w:line="480" w:lineRule="auto"/>
        <w:ind w:firstLine="720"/>
        <w:jc w:val="both"/>
      </w:pPr>
      <w:r w:rsidRPr="002F0BE2">
        <w:t>Membuat surat palsu dapat berupa hal-hal berikut :</w:t>
      </w:r>
    </w:p>
    <w:p w:rsidR="00F473B6" w:rsidRPr="002F0BE2" w:rsidRDefault="00F473B6" w:rsidP="006E69C9">
      <w:pPr>
        <w:numPr>
          <w:ilvl w:val="1"/>
          <w:numId w:val="2"/>
        </w:numPr>
        <w:tabs>
          <w:tab w:val="left" w:pos="993"/>
        </w:tabs>
        <w:ind w:left="993" w:hanging="284"/>
        <w:jc w:val="both"/>
      </w:pPr>
      <w:r w:rsidRPr="002F0BE2">
        <w:t xml:space="preserve">Membuat surat palsu yang sebagian atau seluruh isi surat tidak sesuai atau bertentangan dengan kebenaran. Membuat surat palsu yang demikian disebut pemalsuan intelektual </w:t>
      </w:r>
      <w:r w:rsidRPr="002F0BE2">
        <w:rPr>
          <w:i/>
          <w:iCs/>
        </w:rPr>
        <w:t>(intelectuele valschelijk).</w:t>
      </w:r>
    </w:p>
    <w:p w:rsidR="00F473B6" w:rsidRPr="002F0BE2" w:rsidRDefault="00F473B6" w:rsidP="006E69C9">
      <w:pPr>
        <w:numPr>
          <w:ilvl w:val="1"/>
          <w:numId w:val="2"/>
        </w:numPr>
        <w:tabs>
          <w:tab w:val="left" w:pos="993"/>
        </w:tabs>
        <w:ind w:left="993" w:hanging="284"/>
        <w:jc w:val="both"/>
      </w:pPr>
      <w:r w:rsidRPr="002F0BE2">
        <w:t xml:space="preserve">Membuat surat palsu yang seolah-olah surat itu berasal dari orang lain selain si pembuat surat. Membuat surat palsu yang demikian ini disebut dengan pemalsuan materiil </w:t>
      </w:r>
      <w:r w:rsidRPr="002F0BE2">
        <w:rPr>
          <w:i/>
          <w:iCs/>
        </w:rPr>
        <w:t>(materiele valschelijk)</w:t>
      </w:r>
      <w:r w:rsidRPr="002F0BE2">
        <w:t>. Palsunya surat atau tidak benarnya surat terletak pada asalnya atau si pembuat surat.</w:t>
      </w:r>
      <w:r w:rsidRPr="002F0BE2">
        <w:rPr>
          <w:rStyle w:val="FootnoteReference"/>
        </w:rPr>
        <w:footnoteReference w:id="11"/>
      </w:r>
    </w:p>
    <w:p w:rsidR="00F473B6" w:rsidRPr="002F0BE2" w:rsidRDefault="00F473B6" w:rsidP="00F473B6">
      <w:pPr>
        <w:tabs>
          <w:tab w:val="left" w:pos="993"/>
        </w:tabs>
        <w:ind w:left="993"/>
        <w:jc w:val="both"/>
      </w:pPr>
    </w:p>
    <w:p w:rsidR="00F473B6" w:rsidRPr="002F0BE2" w:rsidRDefault="00F473B6" w:rsidP="00F473B6">
      <w:pPr>
        <w:spacing w:line="480" w:lineRule="auto"/>
        <w:ind w:firstLine="709"/>
        <w:jc w:val="both"/>
      </w:pPr>
      <w:r w:rsidRPr="002F0BE2">
        <w:t xml:space="preserve">Surat disebut surat palsu apabila isi dan asalnya dan sebuah tanda tangannya yang tidak benar. Hal ini dapat terjadi dalam hal misalnya : </w:t>
      </w:r>
    </w:p>
    <w:p w:rsidR="00F473B6" w:rsidRPr="002F0BE2" w:rsidRDefault="00F473B6" w:rsidP="006E69C9">
      <w:pPr>
        <w:numPr>
          <w:ilvl w:val="0"/>
          <w:numId w:val="6"/>
        </w:numPr>
        <w:tabs>
          <w:tab w:val="left" w:pos="1134"/>
        </w:tabs>
        <w:ind w:left="1134" w:hanging="425"/>
        <w:jc w:val="both"/>
      </w:pPr>
      <w:r w:rsidRPr="002F0BE2">
        <w:t>Membuat dengan meniru tanda tangan seseorang yang tidak ada orangnya, seperti orang yang telah meninggal dunia atau secara fiktif (dikarang-karang);</w:t>
      </w:r>
    </w:p>
    <w:p w:rsidR="00F473B6" w:rsidRPr="002F0BE2" w:rsidRDefault="00F473B6" w:rsidP="006E69C9">
      <w:pPr>
        <w:numPr>
          <w:ilvl w:val="0"/>
          <w:numId w:val="6"/>
        </w:numPr>
        <w:tabs>
          <w:tab w:val="left" w:pos="1134"/>
        </w:tabs>
        <w:ind w:left="1134" w:hanging="425"/>
        <w:jc w:val="both"/>
      </w:pPr>
      <w:r w:rsidRPr="002F0BE2">
        <w:t>Membuat dengan meniru tanda tangan orang lain baik dengan persetujuannya ataupun tidak.</w:t>
      </w:r>
      <w:r w:rsidRPr="002F0BE2">
        <w:rPr>
          <w:rStyle w:val="FootnoteReference"/>
        </w:rPr>
        <w:footnoteReference w:id="12"/>
      </w:r>
    </w:p>
    <w:p w:rsidR="00F473B6" w:rsidRPr="002F0BE2" w:rsidRDefault="00F473B6" w:rsidP="00F473B6">
      <w:pPr>
        <w:ind w:left="720"/>
        <w:jc w:val="both"/>
      </w:pPr>
    </w:p>
    <w:p w:rsidR="00F473B6" w:rsidRPr="002F0BE2" w:rsidRDefault="00F473B6" w:rsidP="00F473B6">
      <w:pPr>
        <w:spacing w:line="480" w:lineRule="auto"/>
        <w:ind w:firstLine="720"/>
        <w:jc w:val="both"/>
      </w:pPr>
      <w:r w:rsidRPr="002F0BE2">
        <w:t>Tanda tangan yang dimaksud disini termasuk tanda tangan dengan menggunakan cap/stempel tanda tangan.</w:t>
      </w:r>
      <w:r w:rsidRPr="002F0BE2">
        <w:rPr>
          <w:rStyle w:val="FootnoteReference"/>
        </w:rPr>
        <w:footnoteReference w:id="13"/>
      </w:r>
      <w:r w:rsidRPr="002F0BE2">
        <w:t xml:space="preserve"> Hal ini ternyata dari suatu </w:t>
      </w:r>
      <w:r w:rsidRPr="002F0BE2">
        <w:rPr>
          <w:i/>
          <w:iCs/>
        </w:rPr>
        <w:t xml:space="preserve">arrest </w:t>
      </w:r>
      <w:r w:rsidRPr="002F0BE2">
        <w:rPr>
          <w:i/>
          <w:iCs/>
        </w:rPr>
        <w:lastRenderedPageBreak/>
        <w:t>HR</w:t>
      </w:r>
      <w:r w:rsidRPr="002F0BE2">
        <w:t xml:space="preserve">(12-2-1920) yang menyatakan bahwa disamakan dengan menandatangani suatu surat ialah membubuhkan stempel tanda tangannya.  Perbuatan memalsukan </w:t>
      </w:r>
      <w:r w:rsidRPr="002F0BE2">
        <w:rPr>
          <w:i/>
          <w:iCs/>
        </w:rPr>
        <w:t>(vervalsen)</w:t>
      </w:r>
      <w:r w:rsidRPr="002F0BE2">
        <w:t xml:space="preserve"> surat adalah perbuatan mengubah dengan cara bagaimanapun oleh orang yang tidak berhak atas sebuah surat yang berakibat sebagian atau seluruh isinya menjadi lain/berbeda dengan isi surat semula. Tidak penting apakah dengan perubahan itu lalu isinya menjadi benar ataukah tidak atau bertentangan dengan kebenaran ataukah tidak, bila perbuatan mengubah itu dilakukan oleh orang yang tidak berhak, pemalsuan surat telah terjadi. Orang yang tidak berhak itu adalah orang selain si pembuat surat.</w:t>
      </w:r>
      <w:r w:rsidRPr="002F0BE2">
        <w:rPr>
          <w:rStyle w:val="FootnoteReference"/>
        </w:rPr>
        <w:footnoteReference w:id="14"/>
      </w:r>
    </w:p>
    <w:p w:rsidR="00F473B6" w:rsidRPr="002F0BE2" w:rsidRDefault="00F473B6" w:rsidP="00F473B6">
      <w:pPr>
        <w:spacing w:line="516" w:lineRule="auto"/>
        <w:ind w:firstLine="720"/>
        <w:jc w:val="both"/>
      </w:pPr>
      <w:r w:rsidRPr="002F0BE2">
        <w:t>Memalsukan surat dapat terjadi selain terhadap sebagaian atau seluruh isi surat. Misalnya si pembuat dan yang bertanda tangan dalam surat bernama A, diubah tanda tangannya menjadi tanda tangan orang lain yang bernama B.  Perbedaan prinsip antara perbuatan membuat surat palsu dan memalsu surat, adalah bahwa membuat surat palsu/membuat palsu surat sebelum perbuatan dilakukan belum ada surat, kemudian di buat suatu surat yang isinya sebagaian atau seluruhnya adalah bertentangan dengan kebenaran atau palsu. Seluruh tulisan dalam tulisan itu di hasilkan membuat surat palsu. Surat yang demikian di sebut dengan surat palsu atau surat tidak asli.</w:t>
      </w:r>
    </w:p>
    <w:p w:rsidR="00F473B6" w:rsidRPr="002F0BE2" w:rsidRDefault="00F473B6" w:rsidP="00F473B6">
      <w:pPr>
        <w:spacing w:line="516" w:lineRule="auto"/>
        <w:ind w:firstLine="720"/>
        <w:jc w:val="both"/>
        <w:rPr>
          <w:b/>
          <w:color w:val="000000"/>
        </w:rPr>
      </w:pPr>
      <w:r w:rsidRPr="002F0BE2">
        <w:t xml:space="preserve">Berbeda dengan perbuatan memalsu surat, bahwa sebelum perbuatan ini dilakukan sudah ada sebuah surat disebut surat asli,  kemudian pada surat yang asli ini  terhadap isinya (termasuk tanda tangan dan nama pembuat asli) dilakukan </w:t>
      </w:r>
      <w:r w:rsidRPr="002F0BE2">
        <w:lastRenderedPageBreak/>
        <w:t>perbuatan memalsu yang akibatnya surat yang semula benar menjadi bertentangan dengan kebenaran atau palsu</w:t>
      </w:r>
    </w:p>
    <w:p w:rsidR="00F473B6" w:rsidRPr="002F0BE2" w:rsidRDefault="00F473B6" w:rsidP="006E69C9">
      <w:pPr>
        <w:numPr>
          <w:ilvl w:val="2"/>
          <w:numId w:val="4"/>
        </w:numPr>
        <w:spacing w:line="480" w:lineRule="auto"/>
        <w:ind w:left="360"/>
        <w:jc w:val="both"/>
        <w:rPr>
          <w:b/>
          <w:color w:val="000000"/>
        </w:rPr>
      </w:pPr>
      <w:r w:rsidRPr="002F0BE2">
        <w:rPr>
          <w:b/>
          <w:color w:val="000000"/>
        </w:rPr>
        <w:t xml:space="preserve">Pembuatan Akta Otentik Oleh Atau Dihadapan Notaris Sebagai Pejabat Umum Yang Dikategorikan Sebagai Tindak Pidana Pemalsuan Surat </w:t>
      </w:r>
    </w:p>
    <w:p w:rsidR="00F473B6" w:rsidRPr="002F0BE2" w:rsidRDefault="00F473B6" w:rsidP="00F473B6">
      <w:pPr>
        <w:pStyle w:val="Default"/>
        <w:spacing w:line="480" w:lineRule="auto"/>
        <w:ind w:firstLine="709"/>
        <w:jc w:val="both"/>
        <w:rPr>
          <w:lang w:val="en-US"/>
        </w:rPr>
      </w:pPr>
      <w:r w:rsidRPr="002F0BE2">
        <w:t>Notaris adalah pejabat umum yang berwenang untuk membuat akta otentik sejauh pembuatan akta otentik tertentu tidak dikhususkan bagi pejabat umum lainnya. Pembuatan akta otentik tertentu ada yang diharuskan oleh peraturan perundang-undangan dalam rangka menciptakan kepastian, ketertiban, dan perlindungan hukum. Selain akta otentik yang dibuat oleh atau di hadapan Notaris, bukan saja karena diharuskan oleh peraturanperundang-undangan, tetapi juga karena dikehendaki oleh pihak yang berkepentingan untuk memastikan hak dan kewajiban para pihak yang berkepentingan demi kepastian, ketertiban, dan perlindungan hukum bagi pihak yang berkepentingan sekaligus bagi masyarakat secara keseluruhan</w:t>
      </w:r>
      <w:r w:rsidRPr="002F0BE2">
        <w:rPr>
          <w:lang w:val="en-US"/>
        </w:rPr>
        <w:t>.</w:t>
      </w:r>
      <w:r w:rsidRPr="002F0BE2">
        <w:rPr>
          <w:rStyle w:val="FootnoteReference"/>
          <w:lang w:val="en-US"/>
        </w:rPr>
        <w:footnoteReference w:id="15"/>
      </w:r>
    </w:p>
    <w:p w:rsidR="00F473B6" w:rsidRPr="002F0BE2" w:rsidRDefault="00F473B6" w:rsidP="00F473B6">
      <w:pPr>
        <w:pStyle w:val="Default"/>
        <w:spacing w:line="480" w:lineRule="auto"/>
        <w:ind w:firstLine="709"/>
        <w:jc w:val="both"/>
        <w:rPr>
          <w:lang w:val="en-US"/>
        </w:rPr>
      </w:pPr>
      <w:r w:rsidRPr="002F0BE2">
        <w:t>Salah satu pembaharuan di dalam UUJN yaitu mengenai sanksi terhadap Notaris dalam menjalankan tugas jabatannya jika melanggar pasal-pasal tertentu dalam UUJN dan Pengawasan terhadap Notaris yang dilakukan oleh suatu Majelis Pengawas yang terdiri dari unsur Notaris, Pemerintah, dan Akademisi</w:t>
      </w:r>
      <w:r w:rsidRPr="002F0BE2">
        <w:rPr>
          <w:lang w:val="en-US"/>
        </w:rPr>
        <w:t>.</w:t>
      </w:r>
    </w:p>
    <w:p w:rsidR="00F473B6" w:rsidRPr="002F0BE2" w:rsidRDefault="00F473B6" w:rsidP="00F473B6">
      <w:pPr>
        <w:pStyle w:val="Default"/>
        <w:spacing w:line="480" w:lineRule="auto"/>
        <w:ind w:firstLine="709"/>
        <w:jc w:val="both"/>
        <w:rPr>
          <w:lang w:val="en-US"/>
        </w:rPr>
      </w:pPr>
      <w:r w:rsidRPr="002F0BE2">
        <w:t>Sanksi merupakan bagian penutup yang penting di dalam hukum.</w:t>
      </w:r>
      <w:r w:rsidRPr="002F0BE2">
        <w:rPr>
          <w:rStyle w:val="FootnoteReference"/>
        </w:rPr>
        <w:footnoteReference w:id="16"/>
      </w:r>
      <w:r w:rsidRPr="002F0BE2">
        <w:t xml:space="preserve">Adanya sanksi-sanksi tersebut dimaksudkan agar Notaris dapat bertindak benar sesuai dengan UUJN sehingga produk Notaris berupa akta Otentik yang dapat </w:t>
      </w:r>
      <w:r w:rsidRPr="002F0BE2">
        <w:lastRenderedPageBreak/>
        <w:t>memberikan perlindungan dan kepastian hukum kepada para pihak yang membutuhkannya</w:t>
      </w:r>
      <w:r w:rsidRPr="002F0BE2">
        <w:rPr>
          <w:lang w:val="en-US"/>
        </w:rPr>
        <w:t>.</w:t>
      </w:r>
    </w:p>
    <w:p w:rsidR="00F473B6" w:rsidRPr="002F0BE2" w:rsidRDefault="00F473B6" w:rsidP="00F473B6">
      <w:pPr>
        <w:pStyle w:val="Default"/>
        <w:spacing w:line="480" w:lineRule="auto"/>
        <w:ind w:firstLine="709"/>
        <w:jc w:val="both"/>
        <w:rPr>
          <w:lang w:val="en-US"/>
        </w:rPr>
      </w:pPr>
      <w:r w:rsidRPr="002F0BE2">
        <w:t>Praktik</w:t>
      </w:r>
      <w:r w:rsidRPr="002F0BE2">
        <w:rPr>
          <w:lang w:val="en-US"/>
        </w:rPr>
        <w:t xml:space="preserve">nya </w:t>
      </w:r>
      <w:r w:rsidRPr="002F0BE2">
        <w:t>ditemukan kenyataan bahwa suatu pelanggaran yang dilakukan Notaris sebenarnya dapat dijatuhi sanksi administrasi atau perdata atau kode etik jabatan Notaris, tapi kemudian ditarik atau dikualifikasikan sebagai suatu tindak pidana yang dilakukan oleh Notaris. Jika ada akta Notaris dipermasalahkan oleh para pihak atau pihak lainnya, maka sering pula Notaris ditarik sebagai pihak yang turut serta melakukan atau membantu melakukan suatu tindak pidana, yaitu membuat atau memberikan keterangan palsu ke dalam akta Notaris. Hal ini menimbulkan kerancuan, apakah mungkin Notaris secara sengaja (</w:t>
      </w:r>
      <w:r w:rsidRPr="002F0BE2">
        <w:rPr>
          <w:i/>
          <w:iCs/>
        </w:rPr>
        <w:t>dolus</w:t>
      </w:r>
      <w:r w:rsidRPr="002F0BE2">
        <w:t>) bersama-sama para penghadap/pihak untuk membuat akta yang diniatkan sejak awal untuk melakukan suatu tindak pidana</w:t>
      </w:r>
      <w:r w:rsidRPr="002F0BE2">
        <w:rPr>
          <w:lang w:val="en-US"/>
        </w:rPr>
        <w:t>.</w:t>
      </w:r>
      <w:r w:rsidRPr="002F0BE2">
        <w:rPr>
          <w:rStyle w:val="FootnoteReference"/>
          <w:lang w:val="en-US"/>
        </w:rPr>
        <w:footnoteReference w:id="17"/>
      </w:r>
    </w:p>
    <w:p w:rsidR="00F473B6" w:rsidRPr="002F0BE2" w:rsidRDefault="00F473B6" w:rsidP="00F473B6">
      <w:pPr>
        <w:pStyle w:val="Default"/>
        <w:spacing w:line="480" w:lineRule="auto"/>
        <w:ind w:firstLine="709"/>
        <w:jc w:val="both"/>
      </w:pPr>
      <w:r w:rsidRPr="002F0BE2">
        <w:t>Fenomena banyaknya Notaris yang tersangkut masalah hukum akhir-akhir ini, seperti adanya pemanggilan oleh pihak kepolisian menyangkut akta yang dibuat menunjukkan masih belum jelasnya kedudukan pertanggungjawaban jabatan Notaris. Hal tersebut akan semakin menimbulkan kekhawatiran Notaris dalam menjalankan tugasnya karena sewaktu-waktu dapat digugat oleh para pihak, bahkan ada kemungkinan mendapatkan tuntutan secara pidana. Sebenarnya kekhawatiran tersebut tidak perlu terjadi asalkan Notaris telah menjalankan tugas dan kewenangannya sesuai dengan ketentuan hukum yang berlaku.</w:t>
      </w:r>
      <w:r w:rsidRPr="002F0BE2">
        <w:rPr>
          <w:rStyle w:val="FootnoteReference"/>
        </w:rPr>
        <w:footnoteReference w:id="18"/>
      </w:r>
    </w:p>
    <w:p w:rsidR="00F473B6" w:rsidRPr="002F0BE2" w:rsidRDefault="00F473B6" w:rsidP="00F473B6">
      <w:pPr>
        <w:pStyle w:val="Default"/>
        <w:spacing w:line="480" w:lineRule="auto"/>
        <w:ind w:firstLine="709"/>
        <w:jc w:val="both"/>
        <w:rPr>
          <w:lang w:val="en-US"/>
        </w:rPr>
      </w:pPr>
      <w:r w:rsidRPr="002F0BE2">
        <w:t xml:space="preserve">Mengenai ketentuan pidana tidak diatur di dalam UUJN. UUJN hanya mengatur sanksi atas pelanggaran yang dilakukan oleh Notaris terhadap UUJN, </w:t>
      </w:r>
      <w:r w:rsidRPr="002F0BE2">
        <w:lastRenderedPageBreak/>
        <w:t>sanksi tersebut dapat berupa sanksi perdata (Pasal 84 UUJN) maupun sanksi administratif (Pasal 85 UUJN). Sedangkan pertanggungjawaban pidana bagi Notaris diatur dalam KUHP apabila Notaris melakukan tindak pidana pemalsuan surat</w:t>
      </w:r>
      <w:r w:rsidRPr="002F0BE2">
        <w:rPr>
          <w:lang w:val="en-US"/>
        </w:rPr>
        <w:t>.</w:t>
      </w:r>
    </w:p>
    <w:p w:rsidR="00F473B6" w:rsidRPr="002F0BE2" w:rsidRDefault="00F473B6" w:rsidP="00F473B6">
      <w:pPr>
        <w:pStyle w:val="Default"/>
        <w:spacing w:line="480" w:lineRule="auto"/>
        <w:ind w:firstLine="709"/>
        <w:jc w:val="both"/>
        <w:rPr>
          <w:lang w:val="en-US"/>
        </w:rPr>
      </w:pPr>
      <w:r w:rsidRPr="002F0BE2">
        <w:t>Rumusan Kitab Undang-Undang Hukum Pidana (KUHP) mengenai tindak pidana yang erat kaitannya dengan jabatan Notaris dalam pembuatan akta otentik adalah tindak pidana pemalsuan surat pada umumnya (Pasal 263 ayat 1), pemalsuan surat yang diperberat (Pasal 264 ayat 1) dan menyuruh memasukkan keterangan palsu ke dalam akta otentik (Pasal 266 ayat 1).</w:t>
      </w:r>
    </w:p>
    <w:p w:rsidR="00F473B6" w:rsidRPr="002F0BE2" w:rsidRDefault="00F473B6" w:rsidP="00F473B6">
      <w:pPr>
        <w:pStyle w:val="Default"/>
        <w:spacing w:line="480" w:lineRule="auto"/>
        <w:ind w:firstLine="709"/>
        <w:jc w:val="both"/>
        <w:rPr>
          <w:lang w:val="en-US"/>
        </w:rPr>
      </w:pPr>
      <w:r w:rsidRPr="002F0BE2">
        <w:t>Pembuatan akta otentik oleh Notaris yang dikategorikan sebagai tindak pidana pemalsuan surat berarti perbuatan yang memenuhi unsur-unsur dalam rumusan Pasal 263 ayat 1, Pasal 264 ayat 1 dan Pasal 266 ayat 1 KUHP</w:t>
      </w:r>
      <w:r w:rsidRPr="002F0BE2">
        <w:rPr>
          <w:lang w:val="en-US"/>
        </w:rPr>
        <w:t>.</w:t>
      </w:r>
    </w:p>
    <w:p w:rsidR="00F473B6" w:rsidRPr="002F0BE2" w:rsidRDefault="00F473B6" w:rsidP="00F473B6">
      <w:pPr>
        <w:pStyle w:val="Default"/>
        <w:spacing w:line="480" w:lineRule="auto"/>
        <w:ind w:firstLine="709"/>
        <w:jc w:val="both"/>
      </w:pPr>
      <w:r w:rsidRPr="002F0BE2">
        <w:t>Pasal 263 ayat 1 KUHP berbunyi: Barang siapa membuat surat palsu atau memalsukan surat yang dapat menimbulkan sesuatu hak, perikatan atau pembebasan hutang, atau yang diperuntukkan sebagai bukti dari pada sesuatu hal dengan maksud untuk memakai atau menyuruh orang lain memakai surat tersebut seolah-olah isinya benar dan tidak dipalsu, dipidanajika pemakaian tersebut dapat menimbulkan kerugian, karena pemalsuan surat, dengan pidana penjara paling lama 6 tahun.</w:t>
      </w:r>
    </w:p>
    <w:p w:rsidR="00F473B6" w:rsidRPr="002F0BE2" w:rsidRDefault="00F473B6" w:rsidP="00F473B6">
      <w:pPr>
        <w:pStyle w:val="Default"/>
        <w:spacing w:line="480" w:lineRule="auto"/>
        <w:ind w:firstLine="709"/>
        <w:jc w:val="both"/>
      </w:pPr>
      <w:r w:rsidRPr="002F0BE2">
        <w:t xml:space="preserve">Dalam Akta Notaris ada yang disebut dengan akta relass dan akta </w:t>
      </w:r>
      <w:r w:rsidRPr="002F0BE2">
        <w:rPr>
          <w:i/>
        </w:rPr>
        <w:t>partij</w:t>
      </w:r>
      <w:r w:rsidRPr="002F0BE2">
        <w:t xml:space="preserve">. Akta </w:t>
      </w:r>
      <w:r w:rsidRPr="002F0BE2">
        <w:rPr>
          <w:lang w:val="en-US"/>
        </w:rPr>
        <w:t>r</w:t>
      </w:r>
      <w:r w:rsidRPr="002F0BE2">
        <w:t xml:space="preserve">elass adalah akta yang dibuat oleh Notaris yang menguraikan secara otentik sesuatu tindakan yang dilakukan atau suatu keadaan yang dilihat atau disaksikan oleh pembuat akta itu, yakni Notaris sendiri, di dalam menjalankan jabatannya </w:t>
      </w:r>
      <w:r w:rsidRPr="002F0BE2">
        <w:lastRenderedPageBreak/>
        <w:t>sebagai Notaris.</w:t>
      </w:r>
      <w:r w:rsidRPr="002F0BE2">
        <w:rPr>
          <w:rStyle w:val="FootnoteReference"/>
        </w:rPr>
        <w:footnoteReference w:id="19"/>
      </w:r>
      <w:r w:rsidRPr="002F0BE2">
        <w:t xml:space="preserve"> Jadi akta relass adalah keterangan pejabat berdasarkan apa yang dilihat atau disaksikan sendiri oleh Notaris. Sehingga jika ada kepalsuan atau bertentangan dengan sebenarnya dalam Akta Relass maka dapat dikatakan Notaris membuat surat palsu.</w:t>
      </w:r>
    </w:p>
    <w:p w:rsidR="00F473B6" w:rsidRPr="002F0BE2" w:rsidRDefault="00F473B6" w:rsidP="00F473B6">
      <w:pPr>
        <w:pStyle w:val="Default"/>
        <w:spacing w:line="480" w:lineRule="auto"/>
        <w:ind w:firstLine="709"/>
        <w:jc w:val="both"/>
        <w:rPr>
          <w:lang w:val="en-US"/>
        </w:rPr>
      </w:pPr>
      <w:r w:rsidRPr="002F0BE2">
        <w:t xml:space="preserve">Akta </w:t>
      </w:r>
      <w:r w:rsidRPr="002F0BE2">
        <w:rPr>
          <w:i/>
        </w:rPr>
        <w:t>partij</w:t>
      </w:r>
      <w:r w:rsidRPr="002F0BE2">
        <w:t xml:space="preserve"> adalah akta yang dibuat di hadapan Notaris atas permintaan para pihak, Notaris berkewajiban untuk mendengarkan pernyataan atau keterangan para pihak yang dinyatakan atau diterangkan sendiri oleh para pihak di hadapan Notaris, pernyataan atau keterangan para pihak tersebut oleh Notarisdituangkan ke dalam akta Notaris</w:t>
      </w:r>
      <w:r w:rsidRPr="002F0BE2">
        <w:rPr>
          <w:lang w:val="en-US"/>
        </w:rPr>
        <w:t xml:space="preserve"> s</w:t>
      </w:r>
      <w:r w:rsidRPr="002F0BE2">
        <w:t xml:space="preserve">ehingga yang pasti secara otentik pada akta </w:t>
      </w:r>
      <w:r w:rsidRPr="002F0BE2">
        <w:rPr>
          <w:i/>
        </w:rPr>
        <w:t>partij</w:t>
      </w:r>
      <w:r w:rsidRPr="002F0BE2">
        <w:t xml:space="preserve"> ialah</w:t>
      </w:r>
      <w:r w:rsidRPr="002F0BE2">
        <w:rPr>
          <w:lang w:val="en-US"/>
        </w:rPr>
        <w:t xml:space="preserve"> :</w:t>
      </w:r>
    </w:p>
    <w:p w:rsidR="00F473B6" w:rsidRPr="002F0BE2" w:rsidRDefault="00F473B6" w:rsidP="006E69C9">
      <w:pPr>
        <w:pStyle w:val="Default"/>
        <w:numPr>
          <w:ilvl w:val="2"/>
          <w:numId w:val="3"/>
        </w:numPr>
        <w:tabs>
          <w:tab w:val="clear" w:pos="2160"/>
          <w:tab w:val="num" w:pos="360"/>
        </w:tabs>
        <w:spacing w:line="456" w:lineRule="auto"/>
        <w:ind w:left="360"/>
        <w:jc w:val="both"/>
      </w:pPr>
      <w:r w:rsidRPr="002F0BE2">
        <w:rPr>
          <w:lang w:val="en-US"/>
        </w:rPr>
        <w:t>T</w:t>
      </w:r>
      <w:r w:rsidRPr="002F0BE2">
        <w:t xml:space="preserve">anggal dari akta itu; </w:t>
      </w:r>
    </w:p>
    <w:p w:rsidR="00F473B6" w:rsidRPr="002F0BE2" w:rsidRDefault="00F473B6" w:rsidP="006E69C9">
      <w:pPr>
        <w:pStyle w:val="Default"/>
        <w:numPr>
          <w:ilvl w:val="2"/>
          <w:numId w:val="3"/>
        </w:numPr>
        <w:tabs>
          <w:tab w:val="clear" w:pos="2160"/>
          <w:tab w:val="num" w:pos="360"/>
        </w:tabs>
        <w:spacing w:line="456" w:lineRule="auto"/>
        <w:ind w:left="360"/>
        <w:jc w:val="both"/>
      </w:pPr>
      <w:r w:rsidRPr="002F0BE2">
        <w:rPr>
          <w:lang w:val="en-US"/>
        </w:rPr>
        <w:t>T</w:t>
      </w:r>
      <w:r w:rsidRPr="002F0BE2">
        <w:t xml:space="preserve">anda tangan yang ada dalam akta itu; </w:t>
      </w:r>
    </w:p>
    <w:p w:rsidR="00F473B6" w:rsidRPr="002F0BE2" w:rsidRDefault="00F473B6" w:rsidP="006E69C9">
      <w:pPr>
        <w:pStyle w:val="Default"/>
        <w:numPr>
          <w:ilvl w:val="2"/>
          <w:numId w:val="3"/>
        </w:numPr>
        <w:tabs>
          <w:tab w:val="clear" w:pos="2160"/>
          <w:tab w:val="num" w:pos="360"/>
        </w:tabs>
        <w:spacing w:line="456" w:lineRule="auto"/>
        <w:ind w:left="360"/>
        <w:jc w:val="both"/>
      </w:pPr>
      <w:r w:rsidRPr="002F0BE2">
        <w:rPr>
          <w:lang w:val="en-US"/>
        </w:rPr>
        <w:t>I</w:t>
      </w:r>
      <w:r w:rsidRPr="002F0BE2">
        <w:t>dentitas dari orang-orang yang hadir (</w:t>
      </w:r>
      <w:r w:rsidRPr="002F0BE2">
        <w:rPr>
          <w:i/>
          <w:iCs/>
        </w:rPr>
        <w:t>comparanten</w:t>
      </w:r>
      <w:r w:rsidRPr="002F0BE2">
        <w:t xml:space="preserve">); </w:t>
      </w:r>
    </w:p>
    <w:p w:rsidR="00F473B6" w:rsidRPr="002F0BE2" w:rsidRDefault="00F473B6" w:rsidP="006E69C9">
      <w:pPr>
        <w:pStyle w:val="Default"/>
        <w:numPr>
          <w:ilvl w:val="2"/>
          <w:numId w:val="3"/>
        </w:numPr>
        <w:tabs>
          <w:tab w:val="clear" w:pos="2160"/>
          <w:tab w:val="num" w:pos="360"/>
        </w:tabs>
        <w:spacing w:line="456" w:lineRule="auto"/>
        <w:ind w:left="360"/>
        <w:jc w:val="both"/>
      </w:pPr>
      <w:r w:rsidRPr="002F0BE2">
        <w:rPr>
          <w:lang w:val="en-US"/>
        </w:rPr>
        <w:t>B</w:t>
      </w:r>
      <w:r w:rsidRPr="002F0BE2">
        <w:t>ahwa apa yang tercantum dalam akta itu sesuai dengan apa yang diterangkan oleh para penghadap kepada Notaris untuk dicantumkan dalam akta itu, sedangkan kebenaran dari keterangan-keterangan itu sendiri hanya pasti antara pihak-pihak yang bersangkutan sendiri.</w:t>
      </w:r>
    </w:p>
    <w:p w:rsidR="00F473B6" w:rsidRPr="002F0BE2" w:rsidRDefault="00F473B6" w:rsidP="00F473B6">
      <w:pPr>
        <w:pStyle w:val="Default"/>
        <w:spacing w:line="456" w:lineRule="auto"/>
        <w:ind w:firstLine="709"/>
        <w:jc w:val="both"/>
        <w:rPr>
          <w:lang w:val="en-US"/>
        </w:rPr>
      </w:pPr>
      <w:r w:rsidRPr="002F0BE2">
        <w:rPr>
          <w:lang w:val="en-US"/>
        </w:rPr>
        <w:t>M</w:t>
      </w:r>
      <w:r w:rsidRPr="002F0BE2">
        <w:t xml:space="preserve">embuat palsu dalam akta </w:t>
      </w:r>
      <w:r w:rsidRPr="002F0BE2">
        <w:rPr>
          <w:i/>
        </w:rPr>
        <w:t>partij</w:t>
      </w:r>
      <w:r w:rsidRPr="002F0BE2">
        <w:t xml:space="preserve"> berarti apabila empat hal yang harus pasti secara otentik tersebut di atas tidak benar atau bertentangan dengan yang sebenarnya. Perbuatan memalsu (</w:t>
      </w:r>
      <w:r w:rsidRPr="002F0BE2">
        <w:rPr>
          <w:i/>
          <w:iCs/>
        </w:rPr>
        <w:t>vervalsen</w:t>
      </w:r>
      <w:r w:rsidRPr="002F0BE2">
        <w:t xml:space="preserve">) surat adalah berupa perbuatan mengubah dengan cara bagaimanapun oleh orang yang tidak berhak atas sebuah surat yang berakibat sebagian atau seluruh isinya menjadi lain/berbeda dengan isi surat semula. Tidak penting apakah dengan perubahan itu lalu isinya menjadi </w:t>
      </w:r>
      <w:r w:rsidRPr="002F0BE2">
        <w:lastRenderedPageBreak/>
        <w:t>benar ataukah tidak atau bertentangan dengan kebenaran ataukah tidak, bila perbuatan mengubah itu dilakukan oleh orang yang tidak berhak, memalsu surat telah terjadi. Orang yang tidak berhak itu adalah orang selain si pembuat surat.</w:t>
      </w:r>
      <w:r w:rsidRPr="002F0BE2">
        <w:rPr>
          <w:rStyle w:val="FootnoteReference"/>
        </w:rPr>
        <w:footnoteReference w:id="20"/>
      </w:r>
      <w:r w:rsidRPr="002F0BE2">
        <w:t>Sama halnya dengan membuat surat palsu, memalsu surat dapat terjadi selain terhadap sebagian atau seluruh isi surat, dapat juga pada tanda tangan si pembuat surat</w:t>
      </w:r>
      <w:r w:rsidRPr="002F0BE2">
        <w:rPr>
          <w:lang w:val="en-US"/>
        </w:rPr>
        <w:t>.</w:t>
      </w:r>
    </w:p>
    <w:p w:rsidR="00F473B6" w:rsidRPr="002F0BE2" w:rsidRDefault="00F473B6" w:rsidP="00F473B6">
      <w:pPr>
        <w:pStyle w:val="Default"/>
        <w:spacing w:line="456" w:lineRule="auto"/>
        <w:ind w:firstLine="709"/>
        <w:jc w:val="both"/>
        <w:rPr>
          <w:lang w:val="en-US"/>
        </w:rPr>
      </w:pPr>
      <w:r w:rsidRPr="002F0BE2">
        <w:t>Dalam Undang-undang Jabatan Notaris dijelaskan bahwa pada dasarnya isi akta Notaris tidak boleh diubah atau ditambah, baik berupa penulisan tindih, penyisipan, pencoretan, atau penghapusan dan menggantinya dengan yang lain. Tetapi ada pengecualian, dalam akta Notaris dapat dilakukan perubahan berupa penambahan, penggantian, atau pencoretan dalam akta yang hanya sah apabila perubahan tersebut diparaf atau diberi tanda pengesahan lain oleh penghadap, saksi, dan Notaris</w:t>
      </w:r>
      <w:r w:rsidRPr="002F0BE2">
        <w:rPr>
          <w:lang w:val="en-US"/>
        </w:rPr>
        <w:t>.</w:t>
      </w:r>
      <w:r w:rsidRPr="002F0BE2">
        <w:rPr>
          <w:rStyle w:val="FootnoteReference"/>
          <w:lang w:val="en-US"/>
        </w:rPr>
        <w:footnoteReference w:id="21"/>
      </w:r>
    </w:p>
    <w:p w:rsidR="00F473B6" w:rsidRPr="002F0BE2" w:rsidRDefault="00F473B6" w:rsidP="00F473B6">
      <w:pPr>
        <w:pStyle w:val="Default"/>
        <w:spacing w:line="456" w:lineRule="auto"/>
        <w:ind w:firstLine="709"/>
        <w:jc w:val="both"/>
        <w:rPr>
          <w:lang w:val="en-US"/>
        </w:rPr>
      </w:pPr>
      <w:r w:rsidRPr="002F0BE2">
        <w:t>Dalam Akta Notaris, Notaris juga berwenang membetulkan kesalahan tulis dan/atau kesalahan ketik yang terdapat pada Minuta Akta yang telah ditandatangani dengan membuat berita acara dan memberikan catatan tentang hal tersebut pada MinutaAkta asli dengan menyebutkan tanggal dan nomor akta berita acara pembetulan. Salinan akta berita acara tersebut wajib disampaikan kepada para pihak</w:t>
      </w:r>
      <w:r w:rsidRPr="002F0BE2">
        <w:rPr>
          <w:lang w:val="en-US"/>
        </w:rPr>
        <w:t>.</w:t>
      </w:r>
    </w:p>
    <w:p w:rsidR="00F473B6" w:rsidRPr="002F0BE2" w:rsidRDefault="00F473B6" w:rsidP="00F473B6">
      <w:pPr>
        <w:pStyle w:val="Default"/>
        <w:spacing w:line="456" w:lineRule="auto"/>
        <w:ind w:firstLine="709"/>
        <w:jc w:val="both"/>
        <w:rPr>
          <w:lang w:val="en-US"/>
        </w:rPr>
      </w:pPr>
      <w:r w:rsidRPr="002F0BE2">
        <w:t>Notaris yang melakukan perubahan terhadap Akta Notaris dengan cara yang ditentukan dalam UUJN bukan termasuk dalam perbuatan memalsukan surat. Sebaliknya jika perubahan tersebut tidak sesuai dengan cara yang ditentukan dalam UUJN, maka termasuk dalam perbuatan memalsukan surat</w:t>
      </w:r>
      <w:r w:rsidRPr="002F0BE2">
        <w:rPr>
          <w:lang w:val="en-US"/>
        </w:rPr>
        <w:t>.</w:t>
      </w:r>
    </w:p>
    <w:p w:rsidR="00F473B6" w:rsidRPr="002F0BE2" w:rsidRDefault="00F473B6" w:rsidP="00F473B6">
      <w:pPr>
        <w:pStyle w:val="Default"/>
        <w:spacing w:line="480" w:lineRule="auto"/>
        <w:ind w:firstLine="709"/>
        <w:jc w:val="both"/>
        <w:rPr>
          <w:lang w:val="en-US"/>
        </w:rPr>
      </w:pPr>
      <w:r w:rsidRPr="002F0BE2">
        <w:lastRenderedPageBreak/>
        <w:t>Pada umumnya sebuah surat tidak melahirkan secara langsung adanya suatu hak, melainkan hak itu timbul dari adanya perikatan hukum (perjanjian) yang tertuang dalam surat itu, tetapi ada surat-surat tertentu yang disebut surat formil yang langsung melahirkan suatu hak tertentu, misalnya cek, bilyet giro, wesel, surat izin mengemudi, ijazah dan lain sebagainya</w:t>
      </w:r>
      <w:r w:rsidRPr="002F0BE2">
        <w:rPr>
          <w:lang w:val="en-US"/>
        </w:rPr>
        <w:t xml:space="preserve">. </w:t>
      </w:r>
      <w:r w:rsidRPr="002F0BE2">
        <w:t>Surat yang berisi suatu perikatan pada dasarnya adalah berupa surat yang karena perjanjian itu melahirkan hak. Misalnya surat jual beli melahirkan hak si penjual untuk menerima uang pembayaran harga benda, dan pembeli mempunyai hak untuk memperoleh atau menerima benda yang dibelinya</w:t>
      </w:r>
      <w:r w:rsidRPr="002F0BE2">
        <w:rPr>
          <w:lang w:val="en-US"/>
        </w:rPr>
        <w:t>.</w:t>
      </w:r>
    </w:p>
    <w:p w:rsidR="00F473B6" w:rsidRPr="002F0BE2" w:rsidRDefault="00F473B6" w:rsidP="00F473B6">
      <w:pPr>
        <w:pStyle w:val="Default"/>
        <w:spacing w:line="480" w:lineRule="auto"/>
        <w:ind w:firstLine="709"/>
        <w:jc w:val="both"/>
      </w:pPr>
      <w:r w:rsidRPr="002F0BE2">
        <w:t>Begitu juga dengan surat yang berisi pembebasan hutang. Lahirnya pembebasan hutang pada dasarnya disebabkan karena dan dalam hubungannya dengan suatu perikatan. Misalnya suatu kuitansi yang berisi penyerahan sejumlah uang tertentu dalam hal dan dalam hubungannya dengan misalnya jual beli, hutang piutang dan lain sebagainya.</w:t>
      </w:r>
    </w:p>
    <w:p w:rsidR="00F473B6" w:rsidRPr="002F0BE2" w:rsidRDefault="00F473B6" w:rsidP="00F473B6">
      <w:pPr>
        <w:pStyle w:val="Default"/>
        <w:spacing w:line="480" w:lineRule="auto"/>
        <w:ind w:firstLine="709"/>
        <w:jc w:val="both"/>
        <w:rPr>
          <w:b/>
          <w:lang w:val="en-US"/>
        </w:rPr>
      </w:pPr>
      <w:r w:rsidRPr="002F0BE2">
        <w:rPr>
          <w:lang w:val="en-US"/>
        </w:rPr>
        <w:t>P</w:t>
      </w:r>
      <w:r w:rsidRPr="002F0BE2">
        <w:t>asal 1870 KUHPerdata yang menyatakan bahwa akta otentik bagi para pihaknya beserta ahli warisnya atau orang yang mendapatkan hak dari pada mereka merupakan bukti sempurna tentang apa yang dimuat di dalamnya. Surat-surat yang termasuk dalam akta otentik dan mempunyai kekuatan pembuktian sempurna akan sesuatu hal adalah surat-surat yang dibuat oleh atau dihadapan pejabat yang berwenang dan dalam bentuk yang ditentukan undang-undang. Surat yang memiliki kekuatan pembuktian sempurna seperti ini diantaranya adalah akta otentik yang dibuat oleh atau dihadapan Notaris.</w:t>
      </w:r>
    </w:p>
    <w:p w:rsidR="00F473B6" w:rsidRPr="002F0BE2" w:rsidRDefault="00F473B6" w:rsidP="00F473B6">
      <w:pPr>
        <w:pStyle w:val="Default"/>
        <w:spacing w:line="480" w:lineRule="auto"/>
        <w:ind w:firstLine="709"/>
        <w:jc w:val="both"/>
      </w:pPr>
      <w:r w:rsidRPr="002F0BE2">
        <w:lastRenderedPageBreak/>
        <w:t xml:space="preserve">Ketentuan pidana yang diatur dalam Pasal 264 ayat 1 KUHP merupakan </w:t>
      </w:r>
      <w:r w:rsidRPr="002F0BE2">
        <w:rPr>
          <w:i/>
          <w:iCs/>
        </w:rPr>
        <w:t xml:space="preserve">lex specialis </w:t>
      </w:r>
      <w:r w:rsidRPr="002F0BE2">
        <w:t>dari ketentuan pidana yang diatur dalam Pasal 263 ayat 1 KUHP dan tindak pidana pemalsuan surat yang dimaksudkan dalam Pasal 264 ayat 1 KUHP merupakan tindak pidana pemalsuan surat dengan kualifikasi</w:t>
      </w:r>
      <w:r w:rsidRPr="002F0BE2">
        <w:rPr>
          <w:lang w:val="en-US"/>
        </w:rPr>
        <w:t>.</w:t>
      </w:r>
      <w:r w:rsidRPr="002F0BE2">
        <w:rPr>
          <w:rStyle w:val="FootnoteReference"/>
          <w:lang w:val="en-US"/>
        </w:rPr>
        <w:footnoteReference w:id="22"/>
      </w:r>
      <w:r w:rsidRPr="002F0BE2">
        <w:t>Kata-kata “pemalsuan surat” di dalam rumusan ketentuan pidana Pasal 264 ayat 1 KUHP mempunyai arti yang sama dengan kata-kata “pemalsuan surat” di dalam rumusan ketentuan pidana dalam Pasal 263 ayat 1 KUHP.15 Jadi pemalsuan surat dalam rumusan Pasal 264 ayat 1 KUHP harus memenuhi unsur-unsur Pasal 263 ayat 1 KUHP.</w:t>
      </w:r>
    </w:p>
    <w:p w:rsidR="00F473B6" w:rsidRPr="002F0BE2" w:rsidRDefault="00F473B6" w:rsidP="00F473B6">
      <w:pPr>
        <w:pStyle w:val="Default"/>
        <w:spacing w:line="480" w:lineRule="auto"/>
        <w:ind w:firstLine="709"/>
        <w:jc w:val="both"/>
        <w:rPr>
          <w:lang w:val="en-US"/>
        </w:rPr>
      </w:pPr>
      <w:r w:rsidRPr="002F0BE2">
        <w:t>Selanjutnya ketentuan pidana dalam KUHP yang berhubungan dengan pembuatan akta otentik oleh atau dihadapan Notaris adalah Pasal 266 ayat 1 KUHP yang merumuskan sebagai berikut: Barangsiapa menyuruh memasukkan keterangan palsu ke dalam suatu akta otentik mengenai sesuatu hal yang kebenarannya harus dinyatakan oleh akta itu, dengan maksud untuk memakai atau menyuruh orang lain memakai akta itu seolah-olah keterangannya sesuai dengan kebenaran, dipidana, jika pemakaian itu dapat menimbulkan kerugian, dengan pidana penjara paling lama 7 tahun</w:t>
      </w:r>
      <w:r w:rsidRPr="002F0BE2">
        <w:rPr>
          <w:lang w:val="en-US"/>
        </w:rPr>
        <w:t>.</w:t>
      </w:r>
    </w:p>
    <w:p w:rsidR="00F473B6" w:rsidRPr="002F0BE2" w:rsidRDefault="00F473B6" w:rsidP="00F473B6">
      <w:pPr>
        <w:pStyle w:val="Default"/>
        <w:spacing w:line="480" w:lineRule="auto"/>
        <w:ind w:firstLine="709"/>
        <w:jc w:val="both"/>
      </w:pPr>
      <w:r w:rsidRPr="002F0BE2">
        <w:t>Dalam rumusan tersebut di atas, tidak dicantumkan siapa orang yang disuruh untuk memasukkan keterangan palsu tersebut, tetapi dapat diketahui dari unsur/kalimat “ke dalam akta otentik” dalam rumusan Pasal 266 ayat 1 tersebut. Bahwa orang tersebut adalah si pembuat akta otentik, dalam pembahasan ini adalah Notaris</w:t>
      </w:r>
      <w:r w:rsidRPr="002F0BE2">
        <w:rPr>
          <w:lang w:val="en-US"/>
        </w:rPr>
        <w:t xml:space="preserve">. </w:t>
      </w:r>
      <w:r w:rsidRPr="002F0BE2">
        <w:t xml:space="preserve">Notaris sebagai Pejabat Umum dalam pembuatan suatu akta </w:t>
      </w:r>
      <w:r w:rsidRPr="002F0BE2">
        <w:lastRenderedPageBreak/>
        <w:t>otentik adalah memenuhi permintaan para pihak. Para pihak yang meminta inilah yang dimaksud orang yang menyuruh memasukkan keterangan palsu.</w:t>
      </w:r>
    </w:p>
    <w:p w:rsidR="00F473B6" w:rsidRPr="002F0BE2" w:rsidRDefault="00F473B6" w:rsidP="00F473B6">
      <w:pPr>
        <w:pStyle w:val="Default"/>
        <w:spacing w:line="480" w:lineRule="auto"/>
        <w:ind w:firstLine="709"/>
        <w:jc w:val="both"/>
      </w:pPr>
      <w:r w:rsidRPr="002F0BE2">
        <w:t xml:space="preserve">Perbuatan menyuruh memasukkan mengandung unsur-unsur: </w:t>
      </w:r>
    </w:p>
    <w:p w:rsidR="00F473B6" w:rsidRPr="002F0BE2" w:rsidRDefault="00F473B6" w:rsidP="006E69C9">
      <w:pPr>
        <w:numPr>
          <w:ilvl w:val="0"/>
          <w:numId w:val="7"/>
        </w:numPr>
        <w:spacing w:line="480" w:lineRule="auto"/>
        <w:ind w:left="360"/>
        <w:jc w:val="both"/>
      </w:pPr>
      <w:r w:rsidRPr="002F0BE2">
        <w:t xml:space="preserve">Inisiatif atau kehendak untuk membuat akta, akta mana memuat tentang apa  (obyek yakni: mengenai sesuatu hal) yang disuruh masukkan ke dalamnya adalah berasal dari orang yang menyuruh memasukkan, bukan dari pejabat pembuat akta otentik; </w:t>
      </w:r>
    </w:p>
    <w:p w:rsidR="00F473B6" w:rsidRPr="002F0BE2" w:rsidRDefault="00F473B6" w:rsidP="006E69C9">
      <w:pPr>
        <w:numPr>
          <w:ilvl w:val="0"/>
          <w:numId w:val="7"/>
        </w:numPr>
        <w:spacing w:line="480" w:lineRule="auto"/>
        <w:ind w:left="360"/>
        <w:jc w:val="both"/>
      </w:pPr>
      <w:r w:rsidRPr="002F0BE2">
        <w:t xml:space="preserve">Dalam hubungannya dengan asalnya inisiatif dari orang yang meminta dibuatkannya akta otentik, maka dalam perkataan/unsur menyuruh memasukkan berarti orang itu dalam kenyataannya ia memberikan keterangan-keterangan tentang sesuatu hal, hal mana adalah bertentangan dengan kebenaran atau palsu. </w:t>
      </w:r>
    </w:p>
    <w:p w:rsidR="00F473B6" w:rsidRPr="002F0BE2" w:rsidRDefault="00F473B6" w:rsidP="006E69C9">
      <w:pPr>
        <w:numPr>
          <w:ilvl w:val="0"/>
          <w:numId w:val="7"/>
        </w:numPr>
        <w:spacing w:line="480" w:lineRule="auto"/>
        <w:ind w:left="360"/>
        <w:jc w:val="both"/>
      </w:pPr>
      <w:r w:rsidRPr="002F0BE2">
        <w:t xml:space="preserve">Pejabat pembuat akta otentik tidak mengetahui bahwa keterangan yang disampaikan oleh orang yang menyuruh memasukkan keterangan kepadanya itu adalah keterangan yang tidak benar. </w:t>
      </w:r>
    </w:p>
    <w:p w:rsidR="00F473B6" w:rsidRPr="002F0BE2" w:rsidRDefault="00F473B6" w:rsidP="006E69C9">
      <w:pPr>
        <w:numPr>
          <w:ilvl w:val="0"/>
          <w:numId w:val="7"/>
        </w:numPr>
        <w:spacing w:line="480" w:lineRule="auto"/>
        <w:ind w:left="360"/>
        <w:jc w:val="both"/>
      </w:pPr>
      <w:r w:rsidRPr="002F0BE2">
        <w:t>Oleh karena pejabat pembuat akta otentik tidak mengetahui perihal tidak benarnya keterangan tentang sesuatu hal itu, maka ia tidak dapat dipertanggungjawabkan, terhadap perbuatannya yang melahirkan akta otentik yang isinya palsu itu, dan karenanya ia tidak dapat dipidana.</w:t>
      </w:r>
      <w:r w:rsidRPr="002F0BE2">
        <w:rPr>
          <w:rStyle w:val="FootnoteReference"/>
        </w:rPr>
        <w:footnoteReference w:id="23"/>
      </w:r>
    </w:p>
    <w:p w:rsidR="00F473B6" w:rsidRPr="002F0BE2" w:rsidRDefault="00F473B6" w:rsidP="00F473B6">
      <w:pPr>
        <w:pStyle w:val="Default"/>
        <w:spacing w:line="480" w:lineRule="auto"/>
        <w:ind w:firstLine="709"/>
        <w:jc w:val="both"/>
      </w:pPr>
      <w:r w:rsidRPr="002F0BE2">
        <w:t xml:space="preserve">Untuk selesainya perbuatan menyuruh memasukkan dalam arti selesainya kejahatan itu secara sempurna, tidak cukup dengan selesainya perbuatan memberikan keterangan tentang sesuatu hal/kejadian, melainkan harus sudah </w:t>
      </w:r>
      <w:r w:rsidRPr="002F0BE2">
        <w:lastRenderedPageBreak/>
        <w:t>ternyata tentang hal/kejadian itu telah nyata-nyata dimuatnya dalam akta otentik yang dimaksudkan</w:t>
      </w:r>
      <w:r w:rsidRPr="002F0BE2">
        <w:rPr>
          <w:lang w:val="en-US"/>
        </w:rPr>
        <w:t xml:space="preserve">. </w:t>
      </w:r>
      <w:r w:rsidRPr="002F0BE2">
        <w:t>Apabila setelah memberikan keterangan perihal sesuatu kejadian yang diminta masukkan ke dalam akta otentik pada pejabat pembuatnya, sedang akta itu sendiri belum dibuatnya atau keterangan tentang perihal kejadian itu belum dimasukkan kedalam akta, kejahatan itu belum terjadi secara sempurna, melainkan baru terjadi percobaan tindak pidana menyuruh memberikan keterangan palsu ke dalam akta otentik saja.</w:t>
      </w:r>
    </w:p>
    <w:p w:rsidR="00F473B6" w:rsidRPr="002F0BE2" w:rsidRDefault="00F473B6" w:rsidP="00F473B6">
      <w:pPr>
        <w:pStyle w:val="Default"/>
        <w:spacing w:line="480" w:lineRule="auto"/>
        <w:ind w:firstLine="709"/>
        <w:jc w:val="both"/>
        <w:rPr>
          <w:b/>
          <w:lang w:val="en-US"/>
        </w:rPr>
      </w:pPr>
      <w:r w:rsidRPr="002F0BE2">
        <w:t>Obyek kejahatan ini adalah keterangan palsu, artinya suatu keterangan yang bertentangan dengan kebenaran, keterangan mana mengenai sesuatu hal/kejadian. Tidak semua hal/kejadian berlaku disini, melainkan kejadian yang harus dibuktikan oleh akta otentik itu. Unsur sesuatu hal dari Pasal 266 ayat 1 KUHP ini sama pengertiannya dengan sesuatu hal dari pasal 263 ayat 1 KUHP. Di sini ada dua paham yang berbeda, yaitu:</w:t>
      </w:r>
    </w:p>
    <w:p w:rsidR="00F473B6" w:rsidRPr="002F0BE2" w:rsidRDefault="00F473B6" w:rsidP="006E69C9">
      <w:pPr>
        <w:pStyle w:val="Default"/>
        <w:numPr>
          <w:ilvl w:val="0"/>
          <w:numId w:val="8"/>
        </w:numPr>
        <w:spacing w:line="480" w:lineRule="auto"/>
        <w:ind w:left="360"/>
        <w:jc w:val="both"/>
      </w:pPr>
      <w:r w:rsidRPr="002F0BE2">
        <w:rPr>
          <w:lang w:val="en-US"/>
        </w:rPr>
        <w:t>S</w:t>
      </w:r>
      <w:r w:rsidRPr="002F0BE2">
        <w:t xml:space="preserve">esuatu hal adalah isi pokok dari akta otentik tersebut, misalnya akta jual beli isi pokoknya adalah jual beli. </w:t>
      </w:r>
    </w:p>
    <w:p w:rsidR="00F473B6" w:rsidRPr="002F0BE2" w:rsidRDefault="00F473B6" w:rsidP="006E69C9">
      <w:pPr>
        <w:pStyle w:val="Default"/>
        <w:numPr>
          <w:ilvl w:val="0"/>
          <w:numId w:val="8"/>
        </w:numPr>
        <w:spacing w:line="480" w:lineRule="auto"/>
        <w:ind w:left="360"/>
        <w:jc w:val="both"/>
      </w:pPr>
      <w:r w:rsidRPr="002F0BE2">
        <w:rPr>
          <w:lang w:val="en-US"/>
        </w:rPr>
        <w:t>S</w:t>
      </w:r>
      <w:r w:rsidRPr="002F0BE2">
        <w:t>esuatu hal di sini, di samping isi pokoknya juga hal lain yang harus dibuktikan oleh akta otentik tersebut. Misalnya akta jual beli juga membuktikan tentang besarnya harga jual beli.</w:t>
      </w:r>
    </w:p>
    <w:p w:rsidR="00F473B6" w:rsidRPr="002F0BE2" w:rsidRDefault="00F473B6" w:rsidP="00F473B6">
      <w:pPr>
        <w:pStyle w:val="Default"/>
        <w:spacing w:line="480" w:lineRule="auto"/>
        <w:ind w:firstLine="709"/>
        <w:jc w:val="both"/>
      </w:pPr>
      <w:r w:rsidRPr="002F0BE2">
        <w:t xml:space="preserve">Unsur subyektif dalam ketentuan Pasal 266 ayat 1 KUHP adalah “dengan maksud untuk memakai akta yang memuat kejadian palsu yang demikian itu seolah- olah keterangan dalam akta itu sesuai dengan kebenaran”. Mengenai unsur subyektif ini pada dasarnya sama dengan unsur subyektif dalam Pasal 263 ayat 1 </w:t>
      </w:r>
      <w:r w:rsidRPr="002F0BE2">
        <w:lastRenderedPageBreak/>
        <w:t>KUHP.Demikian juga mengenai unsur “jika pemakaian itu menimbulkan kerugian”, sama dengan Pasal 263 ayat 1 KUHP.</w:t>
      </w:r>
    </w:p>
    <w:p w:rsidR="00F473B6" w:rsidRPr="002F0BE2" w:rsidRDefault="00F473B6" w:rsidP="00F473B6">
      <w:pPr>
        <w:pStyle w:val="Default"/>
        <w:spacing w:line="480" w:lineRule="auto"/>
        <w:ind w:firstLine="709"/>
        <w:jc w:val="both"/>
      </w:pPr>
      <w:r w:rsidRPr="002F0BE2">
        <w:rPr>
          <w:lang w:val="en-US"/>
        </w:rPr>
        <w:t>K</w:t>
      </w:r>
      <w:r w:rsidRPr="002F0BE2">
        <w:t>etentuan Pasal 266 ayat 1 KUHP ini, orang yang menyuruh memasukkan keterangan palsu ke dalam Akta Notaris adalah para pihak yang menghadap Notaris. Notaris tidak dapat dikenakan Pasal ini karena Notaris adalah pembuat Akta Notaris tersebut, bukan sebagai orang yang menyuruh. Notaris dapat dikenakan Pasal ini, jika Notaris mengetahui bahwa keterangan itu palsu dan Notaris turut serta memasukkan keterangan palsu tersebut ke dalam akta otentik.Hal ini sesuai dengan ketentuan Pasal 55 KUHP yang berbunyi sebagai berikut: Dipidana sebagai pembuatan (</w:t>
      </w:r>
      <w:r w:rsidRPr="002F0BE2">
        <w:rPr>
          <w:i/>
          <w:iCs/>
        </w:rPr>
        <w:t>dader</w:t>
      </w:r>
      <w:r w:rsidRPr="002F0BE2">
        <w:t xml:space="preserve">) suatu perbuatan pidana: </w:t>
      </w:r>
    </w:p>
    <w:p w:rsidR="00F473B6" w:rsidRPr="002F0BE2" w:rsidRDefault="00F473B6" w:rsidP="00F473B6">
      <w:pPr>
        <w:pStyle w:val="Default"/>
        <w:tabs>
          <w:tab w:val="left" w:pos="851"/>
        </w:tabs>
        <w:spacing w:line="480" w:lineRule="auto"/>
        <w:ind w:left="851" w:hanging="851"/>
        <w:jc w:val="both"/>
      </w:pPr>
      <w:r w:rsidRPr="002F0BE2">
        <w:t xml:space="preserve">Ke-1. </w:t>
      </w:r>
      <w:r w:rsidRPr="002F0BE2">
        <w:tab/>
        <w:t>Mereka yang melakukan, yang menyuruh lakukan dan yang turut serta melakukan perbuatan;</w:t>
      </w:r>
    </w:p>
    <w:p w:rsidR="00F473B6" w:rsidRPr="002F0BE2" w:rsidRDefault="00F473B6" w:rsidP="00F473B6">
      <w:pPr>
        <w:pStyle w:val="Default"/>
        <w:tabs>
          <w:tab w:val="left" w:pos="851"/>
        </w:tabs>
        <w:spacing w:line="480" w:lineRule="auto"/>
        <w:ind w:left="851" w:hanging="851"/>
        <w:jc w:val="both"/>
      </w:pPr>
      <w:r w:rsidRPr="002F0BE2">
        <w:t>Ke-2. Mereka yang dengan memberi atau menjanjikan sesuatu, dengan menyalahgunakan kekuasaan atau martabat, dengan kekerasan, ancaman atau penyesatan atau memberikan sarana atau keterangan, sengaja menganjurkan orang lain supaya melakukan perbuatan.</w:t>
      </w:r>
    </w:p>
    <w:p w:rsidR="00F473B6" w:rsidRPr="002F0BE2" w:rsidRDefault="00F473B6" w:rsidP="006E69C9">
      <w:pPr>
        <w:numPr>
          <w:ilvl w:val="2"/>
          <w:numId w:val="4"/>
        </w:numPr>
        <w:spacing w:line="480" w:lineRule="auto"/>
        <w:ind w:left="360"/>
        <w:jc w:val="both"/>
        <w:rPr>
          <w:b/>
          <w:color w:val="000000"/>
        </w:rPr>
      </w:pPr>
      <w:r w:rsidRPr="002F0BE2">
        <w:rPr>
          <w:b/>
        </w:rPr>
        <w:t>Pertanggung Jawaban Notaris Akibat Tindak Pidana Pemalsuan Surat Dalam Pembuatan Akta Otentik</w:t>
      </w:r>
    </w:p>
    <w:p w:rsidR="00F473B6" w:rsidRPr="002F0BE2" w:rsidRDefault="00F473B6" w:rsidP="00F473B6">
      <w:pPr>
        <w:autoSpaceDE w:val="0"/>
        <w:autoSpaceDN w:val="0"/>
        <w:adjustRightInd w:val="0"/>
        <w:spacing w:line="456" w:lineRule="auto"/>
        <w:ind w:firstLine="720"/>
        <w:jc w:val="both"/>
        <w:rPr>
          <w:color w:val="000000"/>
        </w:rPr>
      </w:pPr>
      <w:r w:rsidRPr="002F0BE2">
        <w:rPr>
          <w:color w:val="000000"/>
        </w:rPr>
        <w:t xml:space="preserve">Konsep pertanggungjawaban pidana sesungguhnya tidak hanya menyangkut soal hukum semata-mata melaikan juga menyangkut soal nilai-nilai moral atau kesusilaan umum yang dianut oleh suatu masyarakat atau kelompok-kelompok dalam masyarakat, hal ini dilakukan agar pertanggungjawaban pidana </w:t>
      </w:r>
      <w:r w:rsidRPr="002F0BE2">
        <w:rPr>
          <w:color w:val="000000"/>
        </w:rPr>
        <w:lastRenderedPageBreak/>
        <w:t>itu dicapi dengan memenuhi keadilan.</w:t>
      </w:r>
      <w:r w:rsidRPr="002F0BE2">
        <w:rPr>
          <w:rStyle w:val="FootnoteReference"/>
          <w:color w:val="000000"/>
        </w:rPr>
        <w:footnoteReference w:id="24"/>
      </w:r>
      <w:r w:rsidRPr="002F0BE2">
        <w:rPr>
          <w:color w:val="000000"/>
        </w:rPr>
        <w:t xml:space="preserve"> Pertanggungjawaban pidana adalah suatu bentuk untuk menentukan apakah seorang tersangka atau terdakwa dipertanggungjawabkan atas suatu tindak pidana yang telah terjadi. Dengan kata lain pertanggungjawaban pidana adalah suatu bentuk yang menentukan apakah seseornag tersebuut dibebasakn atau dipidana.</w:t>
      </w:r>
      <w:r w:rsidRPr="002F0BE2">
        <w:rPr>
          <w:rStyle w:val="FootnoteReference"/>
          <w:color w:val="000000"/>
        </w:rPr>
        <w:footnoteReference w:id="25"/>
      </w:r>
    </w:p>
    <w:p w:rsidR="00F473B6" w:rsidRPr="002F0BE2" w:rsidRDefault="00F473B6" w:rsidP="00F473B6">
      <w:pPr>
        <w:autoSpaceDE w:val="0"/>
        <w:autoSpaceDN w:val="0"/>
        <w:adjustRightInd w:val="0"/>
        <w:spacing w:line="456" w:lineRule="auto"/>
        <w:ind w:firstLine="720"/>
        <w:jc w:val="both"/>
        <w:rPr>
          <w:color w:val="000000"/>
        </w:rPr>
      </w:pPr>
      <w:r w:rsidRPr="002F0BE2">
        <w:rPr>
          <w:color w:val="000000"/>
        </w:rPr>
        <w:t>Beban pertanggungjawaban dibebankan kepada pelaku pelanggaran tindak pidana berkaitan dengan dasar untuk menjatuhkan sanksi pidana. Seseorang akan memiliki sifat pertanggungjawaban pidana apabila suatu hal atau perbuatan yang dilakukan olehnya bersifat melawan hukum, namun seseorang dapat hilang sifat pertanggungjawabannya apabila didalam dirinya ditemukan suatu unsur yang menyebabkan hilangnya kemampuan bertanggungjawab seseorang.</w:t>
      </w:r>
      <w:r w:rsidRPr="002F0BE2">
        <w:rPr>
          <w:rStyle w:val="FootnoteReference"/>
          <w:color w:val="000000"/>
        </w:rPr>
        <w:footnoteReference w:id="26"/>
      </w:r>
    </w:p>
    <w:p w:rsidR="00F473B6" w:rsidRPr="002F0BE2" w:rsidRDefault="00F473B6" w:rsidP="00F473B6">
      <w:pPr>
        <w:autoSpaceDE w:val="0"/>
        <w:autoSpaceDN w:val="0"/>
        <w:adjustRightInd w:val="0"/>
        <w:spacing w:line="480" w:lineRule="auto"/>
        <w:ind w:firstLine="720"/>
        <w:jc w:val="both"/>
        <w:rPr>
          <w:color w:val="000000"/>
          <w:lang w:eastAsia="id-ID"/>
        </w:rPr>
      </w:pPr>
      <w:r w:rsidRPr="002F0BE2">
        <w:rPr>
          <w:color w:val="000000"/>
        </w:rPr>
        <w:t>Menurut Chairul Huda bahwa dasar adanya tindak pidana adalah asas legalitas, sedangkan dapat dipidananya pembuat adalah atas dasar kesalahan, hal ini berarti bahwa seseorang akan mempunyai pertanggung jawaban pidana bila ia telah melakukan perbuatan yang salah dan bertentangan dengan hukum. Pada hakikatnya pertanggungjawaban pidana adalah suatu bentuk mekanisme yang diciptakan untuk berekasi atas pelanggaran suatu perbuatan tertentu yang telah disepakati.</w:t>
      </w:r>
      <w:r w:rsidRPr="002F0BE2">
        <w:rPr>
          <w:rStyle w:val="FootnoteReference"/>
          <w:color w:val="000000"/>
        </w:rPr>
        <w:footnoteReference w:id="27"/>
      </w:r>
    </w:p>
    <w:p w:rsidR="00F473B6" w:rsidRPr="002F0BE2" w:rsidRDefault="00F473B6" w:rsidP="00F473B6">
      <w:pPr>
        <w:autoSpaceDE w:val="0"/>
        <w:autoSpaceDN w:val="0"/>
        <w:adjustRightInd w:val="0"/>
        <w:spacing w:line="480" w:lineRule="auto"/>
        <w:ind w:firstLine="720"/>
        <w:jc w:val="both"/>
        <w:rPr>
          <w:color w:val="000000"/>
        </w:rPr>
      </w:pPr>
      <w:r w:rsidRPr="002F0BE2">
        <w:rPr>
          <w:color w:val="000000"/>
          <w:lang w:eastAsia="id-ID"/>
        </w:rPr>
        <w:t xml:space="preserve">Adanya pertanggungjawaban pidana diperlukan syarat bahwa pembuat mampu bertanggung jawab. Tidaklah mungkin seseorang dapat </w:t>
      </w:r>
      <w:r w:rsidRPr="002F0BE2">
        <w:rPr>
          <w:color w:val="000000"/>
          <w:lang w:eastAsia="id-ID"/>
        </w:rPr>
        <w:lastRenderedPageBreak/>
        <w:t>dipertanggungjawabkan apabila ia tidak mampu bertanggung jawab.</w:t>
      </w:r>
      <w:r w:rsidRPr="002F0BE2">
        <w:rPr>
          <w:rStyle w:val="FootnoteReference"/>
          <w:color w:val="000000"/>
          <w:lang w:eastAsia="id-ID"/>
        </w:rPr>
        <w:footnoteReference w:id="28"/>
      </w:r>
      <w:r w:rsidRPr="002F0BE2">
        <w:rPr>
          <w:color w:val="000000"/>
          <w:lang w:eastAsia="id-ID"/>
        </w:rPr>
        <w:t xml:space="preserve"> Perusakan gedung dan fasilitas Rutan </w:t>
      </w:r>
      <w:r w:rsidRPr="002F0BE2">
        <w:rPr>
          <w:color w:val="000000"/>
        </w:rPr>
        <w:t xml:space="preserve">apabila ditinjau dari aspek hukum pidana positif Indonesia, maka perbuatan tersebut dapat dikategorikan sebagai suatu tindak pidana. </w:t>
      </w:r>
      <w:r w:rsidRPr="002F0BE2">
        <w:rPr>
          <w:rStyle w:val="FootnoteReference"/>
          <w:color w:val="000000"/>
        </w:rPr>
        <w:footnoteReference w:id="29"/>
      </w:r>
    </w:p>
    <w:p w:rsidR="00F473B6" w:rsidRPr="002F0BE2" w:rsidRDefault="00F473B6" w:rsidP="00F473B6">
      <w:pPr>
        <w:autoSpaceDE w:val="0"/>
        <w:autoSpaceDN w:val="0"/>
        <w:adjustRightInd w:val="0"/>
        <w:spacing w:line="480" w:lineRule="auto"/>
        <w:ind w:firstLine="720"/>
        <w:jc w:val="both"/>
        <w:rPr>
          <w:color w:val="000000"/>
        </w:rPr>
      </w:pPr>
      <w:r w:rsidRPr="002F0BE2">
        <w:rPr>
          <w:color w:val="000000"/>
        </w:rPr>
        <w:t>Hukum pidana positif Indonesia selain mengatur mengenai kepentingan antar individu juga dengan negara selaku institusi yang memiliki fungsi untuk melindungi setiap warga negaranya, dalam hal ini seseorang yang telah menjadi korban dari suatu tindak pidana.</w:t>
      </w:r>
      <w:r w:rsidRPr="002F0BE2">
        <w:rPr>
          <w:rStyle w:val="FootnoteReference"/>
          <w:color w:val="000000"/>
        </w:rPr>
        <w:footnoteReference w:id="30"/>
      </w:r>
      <w:r w:rsidRPr="002F0BE2">
        <w:rPr>
          <w:color w:val="000000"/>
        </w:rPr>
        <w:t xml:space="preserve"> Pada dasarnya untuk menentukan seseorang telah melakukan suatu tindak pidana atau tidak, maka harus memenuhi unsur-unsur tindak pidana, yaitu:</w:t>
      </w:r>
    </w:p>
    <w:p w:rsidR="00F473B6" w:rsidRPr="002F0BE2" w:rsidRDefault="00F473B6" w:rsidP="006E69C9">
      <w:pPr>
        <w:numPr>
          <w:ilvl w:val="1"/>
          <w:numId w:val="25"/>
        </w:numPr>
        <w:tabs>
          <w:tab w:val="left" w:pos="426"/>
        </w:tabs>
        <w:spacing w:line="480" w:lineRule="auto"/>
        <w:ind w:left="426" w:hanging="426"/>
        <w:rPr>
          <w:color w:val="000000"/>
        </w:rPr>
      </w:pPr>
      <w:r w:rsidRPr="002F0BE2">
        <w:rPr>
          <w:color w:val="000000"/>
        </w:rPr>
        <w:t>Adanya suatu perbuatan</w:t>
      </w:r>
    </w:p>
    <w:p w:rsidR="00F473B6" w:rsidRPr="002F0BE2" w:rsidRDefault="00F473B6" w:rsidP="006E69C9">
      <w:pPr>
        <w:numPr>
          <w:ilvl w:val="1"/>
          <w:numId w:val="25"/>
        </w:numPr>
        <w:tabs>
          <w:tab w:val="left" w:pos="426"/>
        </w:tabs>
        <w:spacing w:line="480" w:lineRule="auto"/>
        <w:ind w:left="426" w:hanging="426"/>
        <w:rPr>
          <w:color w:val="000000"/>
        </w:rPr>
      </w:pPr>
      <w:r w:rsidRPr="002F0BE2">
        <w:rPr>
          <w:color w:val="000000"/>
        </w:rPr>
        <w:t>Perbuatan tersebut dilarang oleh undang-undang</w:t>
      </w:r>
    </w:p>
    <w:p w:rsidR="00F473B6" w:rsidRPr="002F0BE2" w:rsidRDefault="00F473B6" w:rsidP="006E69C9">
      <w:pPr>
        <w:numPr>
          <w:ilvl w:val="1"/>
          <w:numId w:val="25"/>
        </w:numPr>
        <w:tabs>
          <w:tab w:val="left" w:pos="426"/>
        </w:tabs>
        <w:spacing w:line="480" w:lineRule="auto"/>
        <w:ind w:left="426" w:hanging="426"/>
        <w:rPr>
          <w:color w:val="000000"/>
        </w:rPr>
      </w:pPr>
      <w:r w:rsidRPr="002F0BE2">
        <w:rPr>
          <w:color w:val="000000"/>
        </w:rPr>
        <w:t>Perbuatan tersebut diancam dengan pidana</w:t>
      </w:r>
    </w:p>
    <w:p w:rsidR="00F473B6" w:rsidRPr="002F0BE2" w:rsidRDefault="00F473B6" w:rsidP="006E69C9">
      <w:pPr>
        <w:numPr>
          <w:ilvl w:val="1"/>
          <w:numId w:val="25"/>
        </w:numPr>
        <w:tabs>
          <w:tab w:val="left" w:pos="426"/>
        </w:tabs>
        <w:spacing w:line="480" w:lineRule="auto"/>
        <w:ind w:left="426" w:hanging="426"/>
        <w:rPr>
          <w:color w:val="000000"/>
        </w:rPr>
      </w:pPr>
      <w:r w:rsidRPr="002F0BE2">
        <w:rPr>
          <w:color w:val="000000"/>
        </w:rPr>
        <w:t>Perbuatan tersebut dapat dipertanggung jawabkan oleh pelaku.</w:t>
      </w:r>
      <w:r w:rsidRPr="002F0BE2">
        <w:rPr>
          <w:rStyle w:val="FootnoteReference"/>
          <w:color w:val="000000"/>
        </w:rPr>
        <w:footnoteReference w:id="31"/>
      </w:r>
    </w:p>
    <w:p w:rsidR="00F473B6" w:rsidRPr="002F0BE2" w:rsidRDefault="00F473B6" w:rsidP="00F473B6">
      <w:pPr>
        <w:spacing w:line="480" w:lineRule="auto"/>
        <w:ind w:firstLine="720"/>
        <w:jc w:val="both"/>
        <w:rPr>
          <w:color w:val="000000"/>
        </w:rPr>
      </w:pPr>
      <w:r w:rsidRPr="002F0BE2">
        <w:rPr>
          <w:color w:val="000000"/>
        </w:rPr>
        <w:t>Setiap orang yang melakukan tindak pidana  tidak selalu dapat dipidana, tergantung apakah orang atau terdakwa tersebut dalam melakukan tindak pidananya mempunyai kesalahan atau tidak. Sebab untuk menjatuhkan pidana terhadap seseorang yang melakukan suatu tindak pidana tidak cukup hanya dengan dilakukanya suatu tindak pidana, tetapi juga harus ada unsur kesalahan di dalamnya.</w:t>
      </w:r>
      <w:r w:rsidRPr="002F0BE2">
        <w:rPr>
          <w:rStyle w:val="FootnoteReference"/>
          <w:color w:val="000000"/>
        </w:rPr>
        <w:footnoteReference w:id="32"/>
      </w:r>
    </w:p>
    <w:p w:rsidR="00F473B6" w:rsidRPr="002F0BE2" w:rsidRDefault="00F473B6" w:rsidP="00F473B6">
      <w:pPr>
        <w:spacing w:line="516" w:lineRule="auto"/>
        <w:ind w:firstLine="720"/>
        <w:jc w:val="both"/>
        <w:rPr>
          <w:color w:val="000000"/>
        </w:rPr>
      </w:pPr>
      <w:r w:rsidRPr="002F0BE2">
        <w:rPr>
          <w:color w:val="000000"/>
        </w:rPr>
        <w:lastRenderedPageBreak/>
        <w:t>Mengenai pengertian kesalahan atau pertanggungjawaban pidana terlepas dari perbuatan pidana, karena dalam hal perbuatan pidana yang menjadi objeknya adalah perbuatannya sedangkan dalam hal pertanggungjawaban pidana yang menjadi objeknya adalah orang yang melakukan perbuatan pidana tersebut.</w:t>
      </w:r>
      <w:r w:rsidRPr="002F0BE2">
        <w:rPr>
          <w:rStyle w:val="FootnoteReference"/>
          <w:color w:val="000000"/>
        </w:rPr>
        <w:footnoteReference w:id="33"/>
      </w:r>
    </w:p>
    <w:p w:rsidR="00F473B6" w:rsidRPr="002F0BE2" w:rsidRDefault="00F473B6" w:rsidP="00F473B6">
      <w:pPr>
        <w:spacing w:line="516" w:lineRule="auto"/>
        <w:ind w:firstLine="720"/>
        <w:jc w:val="both"/>
        <w:rPr>
          <w:color w:val="000000"/>
        </w:rPr>
      </w:pPr>
      <w:r w:rsidRPr="002F0BE2">
        <w:rPr>
          <w:color w:val="000000"/>
        </w:rPr>
        <w:t xml:space="preserve">Dasar dari perbuatan pidana adalah asas legalitas (Pasal 1 ayat (1) KUHP) yang menyatakan bahwa tiada suatu perbuatan yang dapat dipidana kecuali atas peraturan perundang-undangan yang telah ada sebelumnya”, sedangkan dasar daripada dipidananya pelaku adalah asas tiada pidana tanpa kesalahan </w:t>
      </w:r>
      <w:r w:rsidRPr="002F0BE2">
        <w:rPr>
          <w:i/>
          <w:iCs/>
          <w:color w:val="000000"/>
        </w:rPr>
        <w:t>(geen straf zonder shculd)</w:t>
      </w:r>
      <w:r w:rsidRPr="002F0BE2">
        <w:rPr>
          <w:color w:val="000000"/>
        </w:rPr>
        <w:t xml:space="preserve">. </w:t>
      </w:r>
      <w:r w:rsidRPr="002F0BE2">
        <w:rPr>
          <w:rStyle w:val="FootnoteReference"/>
          <w:color w:val="000000"/>
        </w:rPr>
        <w:footnoteReference w:id="34"/>
      </w:r>
    </w:p>
    <w:p w:rsidR="00F473B6" w:rsidRPr="002F0BE2" w:rsidRDefault="00F473B6" w:rsidP="00F473B6">
      <w:pPr>
        <w:spacing w:line="480" w:lineRule="auto"/>
        <w:ind w:firstLine="720"/>
        <w:jc w:val="both"/>
        <w:rPr>
          <w:color w:val="000000"/>
        </w:rPr>
      </w:pPr>
      <w:r w:rsidRPr="002F0BE2">
        <w:rPr>
          <w:color w:val="000000"/>
        </w:rPr>
        <w:t>Menjatuhkan pidana terhadap seseorang dalam hal ini pelaku tindak perusakan gedung dan fasilitas Rutan, Moeljatno berpendapat bahwa terlebih dahulu harus dipastikan bahwa pelaku telah melakukan perbuatan pidana yang bersifat melawan hukum baik formil maupun materiil baru kemudian perbuatan pidana yang dilakukan pelaku tersebut dapat dihubungkan dengan unsur-unsur kesalahan, sehingga untuk adanya kesalahan yang mengakibatkan dipidananya terdakwa haruslah:</w:t>
      </w:r>
    </w:p>
    <w:p w:rsidR="00F473B6" w:rsidRPr="002F0BE2" w:rsidRDefault="00F473B6" w:rsidP="006E69C9">
      <w:pPr>
        <w:numPr>
          <w:ilvl w:val="1"/>
          <w:numId w:val="24"/>
        </w:numPr>
        <w:tabs>
          <w:tab w:val="left" w:pos="426"/>
          <w:tab w:val="left" w:pos="7920"/>
        </w:tabs>
        <w:spacing w:line="516" w:lineRule="auto"/>
        <w:ind w:left="426" w:hanging="426"/>
        <w:rPr>
          <w:color w:val="000000"/>
        </w:rPr>
      </w:pPr>
      <w:r w:rsidRPr="002F0BE2">
        <w:rPr>
          <w:color w:val="000000"/>
        </w:rPr>
        <w:t>Melakukan perbuatan pidana;</w:t>
      </w:r>
    </w:p>
    <w:p w:rsidR="00F473B6" w:rsidRPr="002F0BE2" w:rsidRDefault="00F473B6" w:rsidP="006E69C9">
      <w:pPr>
        <w:numPr>
          <w:ilvl w:val="1"/>
          <w:numId w:val="24"/>
        </w:numPr>
        <w:tabs>
          <w:tab w:val="left" w:pos="426"/>
          <w:tab w:val="left" w:pos="1980"/>
          <w:tab w:val="left" w:pos="2160"/>
          <w:tab w:val="left" w:pos="2340"/>
          <w:tab w:val="left" w:pos="4320"/>
          <w:tab w:val="left" w:pos="7920"/>
        </w:tabs>
        <w:spacing w:line="516" w:lineRule="auto"/>
        <w:ind w:left="426" w:hanging="426"/>
        <w:rPr>
          <w:color w:val="000000"/>
        </w:rPr>
      </w:pPr>
      <w:r w:rsidRPr="002F0BE2">
        <w:rPr>
          <w:color w:val="000000"/>
        </w:rPr>
        <w:t>Mampu bertanggung jawab;</w:t>
      </w:r>
    </w:p>
    <w:p w:rsidR="00F473B6" w:rsidRPr="002F0BE2" w:rsidRDefault="00F473B6" w:rsidP="006E69C9">
      <w:pPr>
        <w:numPr>
          <w:ilvl w:val="1"/>
          <w:numId w:val="24"/>
        </w:numPr>
        <w:tabs>
          <w:tab w:val="left" w:pos="426"/>
          <w:tab w:val="left" w:pos="7920"/>
        </w:tabs>
        <w:spacing w:line="516" w:lineRule="auto"/>
        <w:ind w:left="426" w:hanging="426"/>
        <w:rPr>
          <w:color w:val="000000"/>
        </w:rPr>
      </w:pPr>
      <w:r w:rsidRPr="002F0BE2">
        <w:rPr>
          <w:color w:val="000000"/>
        </w:rPr>
        <w:t>Dengan kesengajaan (</w:t>
      </w:r>
      <w:r w:rsidRPr="002F0BE2">
        <w:rPr>
          <w:i/>
          <w:color w:val="000000"/>
        </w:rPr>
        <w:t>dolus/opzet) atau kealpaan (culpa).</w:t>
      </w:r>
    </w:p>
    <w:p w:rsidR="00F473B6" w:rsidRPr="002F0BE2" w:rsidRDefault="00F473B6" w:rsidP="006E69C9">
      <w:pPr>
        <w:numPr>
          <w:ilvl w:val="1"/>
          <w:numId w:val="24"/>
        </w:numPr>
        <w:tabs>
          <w:tab w:val="left" w:pos="426"/>
          <w:tab w:val="left" w:pos="7920"/>
        </w:tabs>
        <w:spacing w:line="480" w:lineRule="auto"/>
        <w:ind w:left="426" w:hanging="426"/>
        <w:rPr>
          <w:color w:val="000000"/>
        </w:rPr>
      </w:pPr>
      <w:r w:rsidRPr="002F0BE2">
        <w:rPr>
          <w:color w:val="000000"/>
        </w:rPr>
        <w:t>Tidak danya alasan pemaaf.</w:t>
      </w:r>
      <w:r w:rsidRPr="002F0BE2">
        <w:rPr>
          <w:rStyle w:val="FootnoteReference"/>
          <w:color w:val="000000"/>
        </w:rPr>
        <w:footnoteReference w:id="35"/>
      </w:r>
    </w:p>
    <w:p w:rsidR="00F473B6" w:rsidRPr="002F0BE2" w:rsidRDefault="00F473B6" w:rsidP="00F473B6">
      <w:pPr>
        <w:spacing w:line="456" w:lineRule="auto"/>
        <w:ind w:firstLine="720"/>
        <w:jc w:val="both"/>
        <w:rPr>
          <w:color w:val="000000"/>
        </w:rPr>
      </w:pPr>
      <w:r w:rsidRPr="002F0BE2">
        <w:rPr>
          <w:color w:val="000000"/>
        </w:rPr>
        <w:lastRenderedPageBreak/>
        <w:t>Menentukan ada atau tidaknya kesalahan pada pelaku tindak pidana, pertama-tama harus ditentukan apakah terdakwa mempunyai kemampuan untuk bertanggung jawab atau tidak atas tindak pidana yang dilakukannya. Kemampuan beratanggung jawab terdakwa berkenaan dengan keadaan jiwa/bathin terdakwa yang sehat ketika melakukan tindak pidana, pelaku dianggap mampu bertanggung jawab atas perbuatannya harus memenuhi beberapa syarat, yaitu:</w:t>
      </w:r>
    </w:p>
    <w:p w:rsidR="00F473B6" w:rsidRPr="002F0BE2" w:rsidRDefault="00F473B6" w:rsidP="006E69C9">
      <w:pPr>
        <w:numPr>
          <w:ilvl w:val="0"/>
          <w:numId w:val="27"/>
        </w:numPr>
        <w:tabs>
          <w:tab w:val="left" w:pos="426"/>
        </w:tabs>
        <w:spacing w:line="456" w:lineRule="auto"/>
        <w:ind w:left="426" w:hanging="426"/>
        <w:jc w:val="both"/>
        <w:rPr>
          <w:color w:val="000000"/>
        </w:rPr>
      </w:pPr>
      <w:r w:rsidRPr="002F0BE2">
        <w:rPr>
          <w:color w:val="000000"/>
        </w:rPr>
        <w:t xml:space="preserve">Kemampuan untuk membeda-bedakan antara perbuatan yang baik dan yang buruk; yang sesuai hukum dan yang melawan hukum; </w:t>
      </w:r>
    </w:p>
    <w:p w:rsidR="00F473B6" w:rsidRPr="002F0BE2" w:rsidRDefault="00F473B6" w:rsidP="006E69C9">
      <w:pPr>
        <w:numPr>
          <w:ilvl w:val="0"/>
          <w:numId w:val="27"/>
        </w:numPr>
        <w:tabs>
          <w:tab w:val="left" w:pos="426"/>
        </w:tabs>
        <w:spacing w:line="456" w:lineRule="auto"/>
        <w:ind w:left="426" w:hanging="426"/>
        <w:jc w:val="both"/>
        <w:rPr>
          <w:color w:val="000000"/>
        </w:rPr>
      </w:pPr>
      <w:r w:rsidRPr="002F0BE2">
        <w:rPr>
          <w:color w:val="000000"/>
        </w:rPr>
        <w:t>Kemampuan untuk menentukan kehendaknya menurut keinsyafan tentang baik dan buruknya perbuatan tadi.</w:t>
      </w:r>
      <w:r w:rsidRPr="002F0BE2">
        <w:rPr>
          <w:rStyle w:val="FootnoteReference"/>
          <w:color w:val="000000"/>
        </w:rPr>
        <w:footnoteReference w:id="36"/>
      </w:r>
    </w:p>
    <w:p w:rsidR="00F473B6" w:rsidRPr="002F0BE2" w:rsidRDefault="00F473B6" w:rsidP="00F473B6">
      <w:pPr>
        <w:spacing w:line="456" w:lineRule="auto"/>
        <w:ind w:firstLine="720"/>
        <w:jc w:val="both"/>
        <w:rPr>
          <w:color w:val="000000"/>
        </w:rPr>
      </w:pPr>
      <w:r w:rsidRPr="002F0BE2">
        <w:rPr>
          <w:iCs/>
          <w:color w:val="000000"/>
        </w:rPr>
        <w:t>Faktor akal</w:t>
      </w:r>
      <w:r w:rsidRPr="002F0BE2">
        <w:rPr>
          <w:i/>
          <w:color w:val="000000"/>
        </w:rPr>
        <w:t>(intelektual factor)</w:t>
      </w:r>
      <w:r w:rsidRPr="002F0BE2">
        <w:rPr>
          <w:color w:val="000000"/>
        </w:rPr>
        <w:t xml:space="preserve"> yaitu dapat membeda-bedakan antara perbuatan yang diperbolehkan dan yang tidak. F</w:t>
      </w:r>
      <w:r w:rsidRPr="002F0BE2">
        <w:rPr>
          <w:iCs/>
          <w:color w:val="000000"/>
        </w:rPr>
        <w:t xml:space="preserve">aktor perasaan </w:t>
      </w:r>
      <w:r w:rsidRPr="002F0BE2">
        <w:rPr>
          <w:color w:val="000000"/>
        </w:rPr>
        <w:t xml:space="preserve">atau </w:t>
      </w:r>
      <w:r w:rsidRPr="002F0BE2">
        <w:rPr>
          <w:iCs/>
          <w:color w:val="000000"/>
        </w:rPr>
        <w:t>kehendak</w:t>
      </w:r>
      <w:r w:rsidRPr="002F0BE2">
        <w:rPr>
          <w:i/>
          <w:color w:val="000000"/>
        </w:rPr>
        <w:t xml:space="preserve">(volitional factor) </w:t>
      </w:r>
      <w:r w:rsidRPr="002F0BE2">
        <w:rPr>
          <w:color w:val="000000"/>
        </w:rPr>
        <w:t>yaitu dapat menyesuaikan tingkah lakunya dengan keinsyafan atas mana yang diperbolehkan dan mana yang tidak. Sesuai dengan yang tercantum dalam Pasal 44 ayat (1) KUHP yaitu:</w:t>
      </w:r>
    </w:p>
    <w:p w:rsidR="00F473B6" w:rsidRPr="002F0BE2" w:rsidRDefault="00F473B6" w:rsidP="006E69C9">
      <w:pPr>
        <w:numPr>
          <w:ilvl w:val="2"/>
          <w:numId w:val="23"/>
        </w:numPr>
        <w:tabs>
          <w:tab w:val="left" w:pos="1134"/>
          <w:tab w:val="left" w:pos="6480"/>
          <w:tab w:val="left" w:pos="7920"/>
        </w:tabs>
        <w:ind w:left="1134" w:hanging="426"/>
        <w:jc w:val="both"/>
        <w:rPr>
          <w:color w:val="000000"/>
        </w:rPr>
      </w:pPr>
      <w:r w:rsidRPr="002F0BE2">
        <w:rPr>
          <w:color w:val="000000"/>
        </w:rPr>
        <w:t>Barangsiapa melakukan perbuatan yang tidak dapat dipertanggungjawabkan kepadanya karena jiwanya cacat dalam pertumbuhan atau terganggu karena penyakit, tidak dipidana.</w:t>
      </w:r>
    </w:p>
    <w:p w:rsidR="00F473B6" w:rsidRPr="002F0BE2" w:rsidRDefault="00F473B6" w:rsidP="006E69C9">
      <w:pPr>
        <w:numPr>
          <w:ilvl w:val="2"/>
          <w:numId w:val="23"/>
        </w:numPr>
        <w:tabs>
          <w:tab w:val="left" w:pos="1134"/>
          <w:tab w:val="left" w:pos="7920"/>
        </w:tabs>
        <w:ind w:left="1134" w:hanging="426"/>
        <w:jc w:val="both"/>
        <w:rPr>
          <w:color w:val="000000"/>
        </w:rPr>
      </w:pPr>
      <w:r w:rsidRPr="002F0BE2">
        <w:rPr>
          <w:color w:val="000000"/>
        </w:rPr>
        <w:t>Jika ternyata perbuatan itu tidak dapat dipertanggung jawabkan kepada pelakunya karena pertumbuhan jiwanya yang cacat atau terganggu karena penyakit, maka hakim dapat memerintahkan supaya orang itu dimasukan ke rumah sakit jiwa, paling lama satu tahun sebagai waktu percobaan.</w:t>
      </w:r>
    </w:p>
    <w:p w:rsidR="00F473B6" w:rsidRPr="002F0BE2" w:rsidRDefault="00F473B6" w:rsidP="00F473B6">
      <w:pPr>
        <w:tabs>
          <w:tab w:val="left" w:pos="1134"/>
          <w:tab w:val="left" w:pos="7920"/>
        </w:tabs>
        <w:ind w:left="1134"/>
        <w:jc w:val="both"/>
        <w:rPr>
          <w:color w:val="000000"/>
        </w:rPr>
      </w:pPr>
    </w:p>
    <w:p w:rsidR="00F473B6" w:rsidRPr="002F0BE2" w:rsidRDefault="00F473B6" w:rsidP="00F473B6">
      <w:pPr>
        <w:spacing w:line="456" w:lineRule="auto"/>
        <w:ind w:firstLine="720"/>
        <w:jc w:val="both"/>
        <w:rPr>
          <w:color w:val="000000"/>
        </w:rPr>
      </w:pPr>
      <w:r w:rsidRPr="002F0BE2">
        <w:rPr>
          <w:color w:val="000000"/>
        </w:rPr>
        <w:t xml:space="preserve">Mengenai </w:t>
      </w:r>
      <w:r w:rsidRPr="002F0BE2">
        <w:rPr>
          <w:iCs/>
          <w:color w:val="000000"/>
        </w:rPr>
        <w:t>ketidakmampuan bertanggung jawab</w:t>
      </w:r>
      <w:r w:rsidRPr="002F0BE2">
        <w:rPr>
          <w:color w:val="000000"/>
        </w:rPr>
        <w:t>sebagai hal yang dapat menghapuskan pidana dapat ditempuh melalui tiga cara, yaitu:</w:t>
      </w:r>
    </w:p>
    <w:p w:rsidR="00F473B6" w:rsidRPr="002F0BE2" w:rsidRDefault="00F473B6" w:rsidP="006E69C9">
      <w:pPr>
        <w:numPr>
          <w:ilvl w:val="0"/>
          <w:numId w:val="26"/>
        </w:numPr>
        <w:ind w:left="1134"/>
        <w:jc w:val="both"/>
        <w:rPr>
          <w:color w:val="000000"/>
        </w:rPr>
      </w:pPr>
      <w:r w:rsidRPr="002F0BE2">
        <w:rPr>
          <w:color w:val="000000"/>
        </w:rPr>
        <w:t>Ditentukan sebab-sebab yang menghapuskan pemidanaan.</w:t>
      </w:r>
    </w:p>
    <w:p w:rsidR="00F473B6" w:rsidRPr="002F0BE2" w:rsidRDefault="00F473B6" w:rsidP="00F473B6">
      <w:pPr>
        <w:ind w:left="1134"/>
        <w:jc w:val="both"/>
        <w:rPr>
          <w:color w:val="000000"/>
        </w:rPr>
      </w:pPr>
      <w:r w:rsidRPr="002F0BE2">
        <w:rPr>
          <w:color w:val="000000"/>
        </w:rPr>
        <w:t xml:space="preserve">Menurut sistem ini, jika tabib </w:t>
      </w:r>
      <w:r w:rsidRPr="002F0BE2">
        <w:rPr>
          <w:i/>
          <w:color w:val="000000"/>
        </w:rPr>
        <w:t>(psychiater)</w:t>
      </w:r>
      <w:r w:rsidRPr="002F0BE2">
        <w:rPr>
          <w:color w:val="000000"/>
        </w:rPr>
        <w:t xml:space="preserve"> telah menyatakan bahwa terdakwa adalah gila </w:t>
      </w:r>
      <w:r w:rsidRPr="002F0BE2">
        <w:rPr>
          <w:i/>
          <w:color w:val="000000"/>
        </w:rPr>
        <w:t>(insane)</w:t>
      </w:r>
      <w:r w:rsidRPr="002F0BE2">
        <w:rPr>
          <w:color w:val="000000"/>
        </w:rPr>
        <w:t xml:space="preserve"> atau tak sehat pikirannya (</w:t>
      </w:r>
      <w:r w:rsidRPr="002F0BE2">
        <w:rPr>
          <w:i/>
          <w:color w:val="000000"/>
        </w:rPr>
        <w:t xml:space="preserve">unsound </w:t>
      </w:r>
      <w:r w:rsidRPr="002F0BE2">
        <w:rPr>
          <w:i/>
          <w:color w:val="000000"/>
        </w:rPr>
        <w:lastRenderedPageBreak/>
        <w:t>mind),</w:t>
      </w:r>
      <w:r w:rsidRPr="002F0BE2">
        <w:rPr>
          <w:color w:val="000000"/>
        </w:rPr>
        <w:t xml:space="preserve"> maka hakim tidak boleh menyatakan salah dan menjatuhkan pidana. Sistem ini dinamakan dengan sistem deskriptif (menyatakan). </w:t>
      </w:r>
    </w:p>
    <w:p w:rsidR="00F473B6" w:rsidRPr="002F0BE2" w:rsidRDefault="00F473B6" w:rsidP="006E69C9">
      <w:pPr>
        <w:numPr>
          <w:ilvl w:val="0"/>
          <w:numId w:val="26"/>
        </w:numPr>
        <w:ind w:left="1134"/>
        <w:jc w:val="both"/>
        <w:rPr>
          <w:color w:val="000000"/>
        </w:rPr>
      </w:pPr>
      <w:r w:rsidRPr="002F0BE2">
        <w:rPr>
          <w:color w:val="000000"/>
        </w:rPr>
        <w:t>Menyebutkan akibatnya saja; penyakitnya sendiri tidak ditentukan.</w:t>
      </w:r>
    </w:p>
    <w:p w:rsidR="00F473B6" w:rsidRPr="002F0BE2" w:rsidRDefault="00F473B6" w:rsidP="00F473B6">
      <w:pPr>
        <w:ind w:left="1134"/>
        <w:jc w:val="both"/>
        <w:rPr>
          <w:color w:val="000000"/>
        </w:rPr>
      </w:pPr>
      <w:r w:rsidRPr="002F0BE2">
        <w:rPr>
          <w:color w:val="000000"/>
        </w:rPr>
        <w:t>Di sini yang penting ialah, apakah dia mampu menginsyafi makna perbuatannya atau menginsyafi bahwa dia melakukan sesuatu yang tidak baik atau bertentangan dengan hukum. Perumusan ini luas sekali sehingga mungkin ada bahayanya. Sistem ini dinamakan normatif (mempernilai). Di sini hakimlah yang menentukan.</w:t>
      </w:r>
    </w:p>
    <w:p w:rsidR="00F473B6" w:rsidRPr="002F0BE2" w:rsidRDefault="00F473B6" w:rsidP="006E69C9">
      <w:pPr>
        <w:numPr>
          <w:ilvl w:val="0"/>
          <w:numId w:val="26"/>
        </w:numPr>
        <w:ind w:left="1134"/>
        <w:jc w:val="both"/>
        <w:rPr>
          <w:color w:val="000000"/>
        </w:rPr>
      </w:pPr>
      <w:r w:rsidRPr="002F0BE2">
        <w:rPr>
          <w:color w:val="000000"/>
        </w:rPr>
        <w:t>Gabungan dari 1 dan 2, yaitu menentukan sebab-sebab penyakit, dan jika penyakit itu harus sedemikian rupa akibatnya hingga dianggap tidak dapat dipertanggung jawabkan padanya (deskriptif normatif).</w:t>
      </w:r>
      <w:r w:rsidRPr="002F0BE2">
        <w:rPr>
          <w:rStyle w:val="FootnoteReference"/>
          <w:color w:val="000000"/>
        </w:rPr>
        <w:footnoteReference w:id="37"/>
      </w:r>
    </w:p>
    <w:p w:rsidR="00F473B6" w:rsidRPr="002F0BE2" w:rsidRDefault="00F473B6" w:rsidP="00F473B6">
      <w:pPr>
        <w:ind w:left="720"/>
        <w:jc w:val="both"/>
        <w:rPr>
          <w:color w:val="000000"/>
        </w:rPr>
      </w:pPr>
    </w:p>
    <w:p w:rsidR="00F473B6" w:rsidRPr="002F0BE2" w:rsidRDefault="00F473B6" w:rsidP="00F473B6">
      <w:pPr>
        <w:spacing w:line="480" w:lineRule="auto"/>
        <w:ind w:firstLine="720"/>
        <w:jc w:val="both"/>
        <w:rPr>
          <w:color w:val="000000"/>
        </w:rPr>
      </w:pPr>
      <w:r w:rsidRPr="002F0BE2">
        <w:rPr>
          <w:color w:val="000000"/>
        </w:rPr>
        <w:t>Menentukan mampu bertanggung jawab atau tidaknya pelaku dalam melakukan perbuatan pidana diperlukan adanya kerjasama antara dokter/psikiater dan hakim, karena sudah menjadi tugas dan wewenang dokter/psikiater dalam menentukan ada atau tidaknya sebab-sebab ketidakmampuan bertanggung jawab, sedangkan hakim yang menilai apakah karena sebab-sebab tersebut terdakwa mampu bertanggung jawab atau tidak.</w:t>
      </w:r>
      <w:r w:rsidRPr="002F0BE2">
        <w:rPr>
          <w:rStyle w:val="FootnoteReference"/>
          <w:color w:val="000000"/>
        </w:rPr>
        <w:footnoteReference w:id="38"/>
      </w:r>
    </w:p>
    <w:p w:rsidR="00F473B6" w:rsidRPr="002F0BE2" w:rsidRDefault="00F473B6" w:rsidP="00F473B6">
      <w:pPr>
        <w:spacing w:line="480" w:lineRule="auto"/>
        <w:ind w:firstLine="720"/>
        <w:jc w:val="both"/>
        <w:rPr>
          <w:color w:val="000000"/>
        </w:rPr>
      </w:pPr>
      <w:r w:rsidRPr="002F0BE2">
        <w:rPr>
          <w:color w:val="000000"/>
        </w:rPr>
        <w:t>Unsur kesalahan merupakan unsur utama dalam pertanggungjawaban pidana. Dalam pengertian perbuatan tindak pidana tidak termasuk hal pertanggungjawaban pidana. Perbuatan pidana hanya menunjuk kepada apakah perbuatan tersebut melawan hukum atau dilarang oleh hukum, mengenai apakah seseorang yang melakukan tindak pidana tersebut kemudian dipidana tergantung kepada apakah seseorang yang melakukan perbuatan pidana tersebut memiliki unsur kesalahan atau tidak.</w:t>
      </w:r>
      <w:r w:rsidRPr="002F0BE2">
        <w:rPr>
          <w:rStyle w:val="FootnoteReference"/>
          <w:color w:val="000000"/>
        </w:rPr>
        <w:footnoteReference w:id="39"/>
      </w:r>
    </w:p>
    <w:p w:rsidR="00F473B6" w:rsidRPr="002F0BE2" w:rsidRDefault="00F473B6" w:rsidP="00F473B6">
      <w:pPr>
        <w:spacing w:line="480" w:lineRule="auto"/>
        <w:ind w:firstLine="720"/>
        <w:jc w:val="both"/>
        <w:rPr>
          <w:color w:val="000000"/>
        </w:rPr>
      </w:pPr>
      <w:r w:rsidRPr="002F0BE2">
        <w:rPr>
          <w:color w:val="000000"/>
        </w:rPr>
        <w:t xml:space="preserve">Pertanggungjawaban pidana dala comman law system selalu dikaitkan dengan </w:t>
      </w:r>
      <w:r w:rsidRPr="002F0BE2">
        <w:rPr>
          <w:i/>
          <w:iCs/>
          <w:color w:val="000000"/>
        </w:rPr>
        <w:t xml:space="preserve">mens rea </w:t>
      </w:r>
      <w:r w:rsidRPr="002F0BE2">
        <w:rPr>
          <w:color w:val="000000"/>
        </w:rPr>
        <w:t xml:space="preserve">dam </w:t>
      </w:r>
      <w:r w:rsidRPr="002F0BE2">
        <w:rPr>
          <w:i/>
          <w:iCs/>
          <w:color w:val="000000"/>
        </w:rPr>
        <w:t>pemidanaan (punishment</w:t>
      </w:r>
      <w:r w:rsidRPr="002F0BE2">
        <w:rPr>
          <w:color w:val="000000"/>
        </w:rPr>
        <w:t xml:space="preserve">). Pertanggungjawaban pidana memiliki hubungan dengan kemasyrakatan yaitu hubungan pertanggungjawaban </w:t>
      </w:r>
      <w:r w:rsidRPr="002F0BE2">
        <w:rPr>
          <w:color w:val="000000"/>
        </w:rPr>
        <w:lastRenderedPageBreak/>
        <w:t>dengan masyarakat sebagi fungus, fungsi disni pertanggungjawaban memiliki daya penjatuhan pidana sehingga pertanggubgjawaban disini memiliki fungsi control sisosial sehingga didalam masyarakat tidak terjadi tindak pidana.</w:t>
      </w:r>
      <w:r w:rsidRPr="002F0BE2">
        <w:rPr>
          <w:rStyle w:val="FootnoteReference"/>
          <w:color w:val="000000"/>
        </w:rPr>
        <w:footnoteReference w:id="40"/>
      </w:r>
    </w:p>
    <w:p w:rsidR="00F473B6" w:rsidRPr="002F0BE2" w:rsidRDefault="00F473B6" w:rsidP="00F473B6">
      <w:pPr>
        <w:pStyle w:val="BodyTextIndent2"/>
        <w:spacing w:line="456" w:lineRule="auto"/>
        <w:ind w:left="0" w:firstLine="720"/>
        <w:rPr>
          <w:color w:val="000000"/>
        </w:rPr>
      </w:pPr>
      <w:r w:rsidRPr="002F0BE2">
        <w:rPr>
          <w:color w:val="000000"/>
        </w:rPr>
        <w:t xml:space="preserve">Selain hal itu pertanggungjawaban pidana dalam common law system berhubungan dengan </w:t>
      </w:r>
      <w:r w:rsidRPr="002F0BE2">
        <w:rPr>
          <w:i/>
          <w:color w:val="000000"/>
        </w:rPr>
        <w:t>mens rea</w:t>
      </w:r>
      <w:r w:rsidRPr="002F0BE2">
        <w:rPr>
          <w:color w:val="000000"/>
        </w:rPr>
        <w:t>, bahwa pertanggungjawban pidana dilandasi oleh keadaan suatu mental yaitu sebagi suatu pikiran yang salah (</w:t>
      </w:r>
      <w:r w:rsidRPr="002F0BE2">
        <w:rPr>
          <w:i/>
          <w:iCs/>
          <w:color w:val="000000"/>
        </w:rPr>
        <w:t>a guilty mind</w:t>
      </w:r>
      <w:r w:rsidRPr="002F0BE2">
        <w:rPr>
          <w:color w:val="000000"/>
        </w:rPr>
        <w:t xml:space="preserve">). </w:t>
      </w:r>
      <w:r w:rsidRPr="002F0BE2">
        <w:rPr>
          <w:i/>
          <w:iCs/>
          <w:color w:val="000000"/>
        </w:rPr>
        <w:t xml:space="preserve">Guilty mind </w:t>
      </w:r>
      <w:r w:rsidRPr="002F0BE2">
        <w:rPr>
          <w:color w:val="000000"/>
        </w:rPr>
        <w:t xml:space="preserve">mengandung arti sebagai suatu kesalahan yang subjektif , yaitu seseorang dinyatakan bersalah karena pada diri pembuat dinilai memiliki pikiran yang salah, sehingga orang tersebut harus bertanggungjawab. Adanya pertanggungjawabn pidana dibebankan kepada pembuat maka pembuat pidana harus dipidana. Tidak adanya pikiran yang salah </w:t>
      </w:r>
      <w:r w:rsidRPr="002F0BE2">
        <w:rPr>
          <w:i/>
          <w:iCs/>
          <w:color w:val="000000"/>
        </w:rPr>
        <w:t xml:space="preserve">(no guilty mind) </w:t>
      </w:r>
      <w:r w:rsidRPr="002F0BE2">
        <w:rPr>
          <w:color w:val="000000"/>
        </w:rPr>
        <w:t>berarti tidak ada pertanggungjawaban pidana dan berakibat tidak dipidanya pembuat.</w:t>
      </w:r>
      <w:r w:rsidRPr="002F0BE2">
        <w:rPr>
          <w:rStyle w:val="FootnoteReference"/>
          <w:color w:val="000000"/>
        </w:rPr>
        <w:footnoteReference w:id="41"/>
      </w:r>
    </w:p>
    <w:p w:rsidR="00F473B6" w:rsidRPr="002F0BE2" w:rsidRDefault="00F473B6" w:rsidP="00F473B6">
      <w:pPr>
        <w:pStyle w:val="BodyTextIndent2"/>
        <w:spacing w:line="456" w:lineRule="auto"/>
        <w:ind w:left="0" w:firstLine="720"/>
        <w:rPr>
          <w:color w:val="000000"/>
          <w:lang w:eastAsia="id-ID"/>
        </w:rPr>
      </w:pPr>
      <w:r w:rsidRPr="002F0BE2">
        <w:rPr>
          <w:color w:val="000000"/>
        </w:rPr>
        <w:t xml:space="preserve">Kesalahan sebagai bagian </w:t>
      </w:r>
      <w:r w:rsidRPr="002F0BE2">
        <w:rPr>
          <w:i/>
          <w:color w:val="000000"/>
        </w:rPr>
        <w:t>mens rea</w:t>
      </w:r>
      <w:r w:rsidRPr="002F0BE2">
        <w:rPr>
          <w:color w:val="000000"/>
        </w:rPr>
        <w:t xml:space="preserve"> juga diartikan sebagai kesalahan karena melanggar aturan, atau melanggar tata peraturan perundang-undangan. Setiap orang yang melakukan pelanggaran terhadap undang-undang maka orang tersebut wajib bertanggungjawab atas apa yang telah dilakukan. Kesalahan sebagai unsur pertanggungjawaban dalam pandangan ini menjadikan suatu jaminan bagi seseorang dan menjadikan kontrol terhadap kebebasan seseorang terhadap orang lain. Adanya jaminan ini menjadikan seseorang akan terlindung dari perbuatan orang lain yang melakukan pelanggaran hukum, dan sebagi suatu </w:t>
      </w:r>
      <w:r w:rsidRPr="002F0BE2">
        <w:rPr>
          <w:color w:val="000000"/>
        </w:rPr>
        <w:lastRenderedPageBreak/>
        <w:t>control karena setiap orang yang melakukan pelanggaran hukum pidana dibebani pertanggungjawaban pidana.</w:t>
      </w:r>
      <w:r w:rsidRPr="002F0BE2">
        <w:rPr>
          <w:rStyle w:val="FootnoteReference"/>
          <w:color w:val="000000"/>
          <w:lang w:eastAsia="id-ID"/>
        </w:rPr>
        <w:footnoteReference w:id="42"/>
      </w:r>
    </w:p>
    <w:p w:rsidR="00F473B6" w:rsidRPr="002F0BE2" w:rsidRDefault="00F473B6" w:rsidP="00F473B6">
      <w:pPr>
        <w:pStyle w:val="BodyTextIndent2"/>
        <w:spacing w:line="456" w:lineRule="auto"/>
        <w:ind w:left="0" w:firstLine="720"/>
      </w:pPr>
      <w:r w:rsidRPr="002F0BE2">
        <w:t>Notaris sebagai pejabat umum (</w:t>
      </w:r>
      <w:r w:rsidRPr="002F0BE2">
        <w:rPr>
          <w:i/>
          <w:iCs/>
        </w:rPr>
        <w:t>openbaar ambtenaar</w:t>
      </w:r>
      <w:r w:rsidRPr="002F0BE2">
        <w:t xml:space="preserve">) yang berwenang membuat akta otentik dapat dibebani tanggung jawab atas pelaksanaan tugas jabatannya dalam membuat akta tersebut. Salah satu tanggung jawab Notaris adalah tanggung jawab secara pidana atas akta yang dibuatnya. Pertanggungjawaban pidana bagi Notaris diatur dalam KUHP apabila Notaris melakukan tindak pidana pemalsuan </w:t>
      </w:r>
    </w:p>
    <w:p w:rsidR="00F473B6" w:rsidRPr="002F0BE2" w:rsidRDefault="00F473B6" w:rsidP="00F473B6">
      <w:pPr>
        <w:spacing w:line="480" w:lineRule="auto"/>
        <w:jc w:val="both"/>
      </w:pPr>
      <w:r w:rsidRPr="002F0BE2">
        <w:t>surat.</w:t>
      </w:r>
    </w:p>
    <w:p w:rsidR="00F473B6" w:rsidRPr="002F0BE2" w:rsidRDefault="00F473B6" w:rsidP="00F473B6">
      <w:pPr>
        <w:spacing w:line="480" w:lineRule="auto"/>
        <w:ind w:firstLine="709"/>
        <w:jc w:val="both"/>
      </w:pPr>
      <w:r w:rsidRPr="002F0BE2">
        <w:t>Dalam hal tindak pidana menyuruh memasukkan keterangan palsu ke dalam akta otentik yang melibatkan Notaris, berarti Notaris harus mempunyai kesadaran bahwa Notaris bekerja sama dengan pihak yang menyuruh memasukkan keterangan palsu ke dalam akta otentik. Apabila unsur-unsur kesalahan terpenuhi maka Notaris yang melakukan tindak pidana pemalsuan dapat dipertanggungjawabkan secara pidana. Demikian juga sebaliknya, jika unsur-unsur kesalahan tidak terpenuhi maka Notaris yang melakukan tindak pidana pemalsuan tidak dapat dipertanggungjawabkan secara pidana.</w:t>
      </w:r>
    </w:p>
    <w:p w:rsidR="00F473B6" w:rsidRPr="002F0BE2" w:rsidRDefault="00F473B6" w:rsidP="00F473B6">
      <w:pPr>
        <w:spacing w:line="480" w:lineRule="auto"/>
        <w:ind w:firstLine="709"/>
        <w:jc w:val="both"/>
      </w:pPr>
      <w:r w:rsidRPr="002F0BE2">
        <w:t xml:space="preserve">Tanggung jawab Notaris terhadap akta otentik yang dibuat dan berindikasi pada perbuatan perdata atau pidana terjadi apabila terdapat kesalahan baik disengaja maupun karena kelalaiannya mengakibatkan orang lain (akibat dibuatnya akta) menderita kerugian, yang berarti Notaris telah melakukan perbuatan melanggar hukum dan dapat menjadi alasan bagi pihak yang menderita </w:t>
      </w:r>
      <w:r w:rsidRPr="002F0BE2">
        <w:lastRenderedPageBreak/>
        <w:t>kerugian untuk menuntut penggantian biaya, ganti rugi dan bunga kepada Notaris terhadap akta autentik yang memuat keterangan palsu.</w:t>
      </w:r>
    </w:p>
    <w:p w:rsidR="00F473B6" w:rsidRPr="002F0BE2" w:rsidRDefault="00F473B6" w:rsidP="00F473B6">
      <w:pPr>
        <w:spacing w:line="480" w:lineRule="auto"/>
        <w:ind w:firstLine="709"/>
        <w:jc w:val="both"/>
      </w:pPr>
      <w:r w:rsidRPr="002F0BE2">
        <w:t>Tanggung jawab Notaris secara pidana atas akta yang dibuatnya tidak diatur dalam Undang – Undang Jabatan Notaris namun tanggung jawab notaris secara pidana dikenakan apabila Notaris melakukan perbuatan pidana. Notaris bersangkutan tidak dapat dimintai pertanggung jawabannya, karena Notaris hanya mencatat apa yang disampaikan oleh para pihak untuk dituangkan kedalam akta. Keterangan palsu yang disampaikan oleh para pihak adalah menjadi tanggung jawab para pihak. Dengan kata lain yang dapat dipertanggungjawabkan kepada Notaris ialah apabila penipuan atau tipu muslihat itu bersumber dari Notaris sendiri.</w:t>
      </w:r>
      <w:r w:rsidRPr="002F0BE2">
        <w:rPr>
          <w:rStyle w:val="FootnoteReference"/>
        </w:rPr>
        <w:footnoteReference w:id="43"/>
      </w:r>
    </w:p>
    <w:p w:rsidR="00F473B6" w:rsidRPr="002F0BE2" w:rsidRDefault="00F473B6" w:rsidP="00F473B6">
      <w:pPr>
        <w:spacing w:line="480" w:lineRule="auto"/>
        <w:ind w:firstLine="709"/>
        <w:jc w:val="both"/>
      </w:pPr>
      <w:r w:rsidRPr="002F0BE2">
        <w:rPr>
          <w:color w:val="000000"/>
        </w:rPr>
        <w:t>Contoh kasus</w:t>
      </w:r>
      <w:r w:rsidRPr="002F0BE2">
        <w:t xml:space="preserve"> putusan Pengadilan Negeri Semarang Nomor: 676/Pid.B/2023/PN.Smg. Terdakwa dihadapkan Penuntut Umum kepersidangan karena didakwa dengan Surat Dakwaan Subsidairitas yaitu Primair melanggar pasal 264 ayat (1) Kitab Undang-Undang Hukum Pidana jo. pasal 55 ayat (1) ke-1 Kitab Undang – Undang Hukum Pidana, Subsidiair melanggar pasal 264 ayat (2) Kitab Undang – Undang Hukum Pidana jo. pasal 55 ayat (1) ke-1 Kitab Undang-Undang Hukum Pidana. Adapun Dakwaan Primair melanggar pasal 264 ayat (1) Kitab Undang – Undang Hukum Pidana jo. pasal 55 ayat (1) ke-1 Kitab Undang-Undang Hukum Pidana yang unsur - unsurnya adalah: Barang siapa; Membuat akta otentik palsu atau memalsukan akta otentik; Yang dapat menimbulkan sesuatu hak, perikatan atau pembebasan hutang, atau diperuntukkan sebagai bukti </w:t>
      </w:r>
      <w:r w:rsidRPr="002F0BE2">
        <w:lastRenderedPageBreak/>
        <w:t>daripada sesuatu hal. Dengan maksud untuk memakai atau menuruh orang lain memakai akta otentik tersebut seolah-olah isinya benar dan tidak dipalsu yang dapat menimbulkan kerugian dan sebagai orang yang melakukan, menyuruh melakukan atau turut serta melakukan.</w:t>
      </w:r>
    </w:p>
    <w:p w:rsidR="00F473B6" w:rsidRPr="002F0BE2" w:rsidRDefault="00F473B6" w:rsidP="00F473B6">
      <w:pPr>
        <w:spacing w:line="480" w:lineRule="auto"/>
        <w:ind w:firstLine="709"/>
        <w:jc w:val="both"/>
        <w:rPr>
          <w:color w:val="000000"/>
        </w:rPr>
      </w:pPr>
      <w:r w:rsidRPr="002F0BE2">
        <w:rPr>
          <w:color w:val="000000"/>
        </w:rPr>
        <w:t xml:space="preserve">Semua unsur-unsur pasal Surat Dakwaan Primair Penuntut Umum telah cukup terpenuhi dan terbukti, dan selama pemeriksaan dipersidangan tidak ditemukan adanya alasan pembenar dan pemaaf yang dapat menghapuskan kesalahan Terdakwa, maka Terdakwa haruslah dipersalahkan atas dakwaan tersebut dan dijatuhi pidana yang setimpal dengan perbuatannya. </w:t>
      </w:r>
    </w:p>
    <w:p w:rsidR="00F473B6" w:rsidRPr="002F0BE2" w:rsidRDefault="00F473B6" w:rsidP="00F473B6">
      <w:pPr>
        <w:spacing w:line="480" w:lineRule="auto"/>
        <w:ind w:firstLine="709"/>
        <w:jc w:val="both"/>
        <w:rPr>
          <w:color w:val="000000"/>
        </w:rPr>
      </w:pPr>
      <w:r w:rsidRPr="002F0BE2">
        <w:rPr>
          <w:color w:val="000000"/>
        </w:rPr>
        <w:t>Tindakan yang dilakukan oleh Notaris Sugiharto, SH. Sp.N tidak mencerminkan ketentuan Pasal 16 ayat (1) Undang-Undang Nomor. 2 Tahun 2014 Tentang Perubahan Atas Undang-Undang Nomor. 30 Tahun 2004 Tentang Jabatan Notaris yang menyebutkan bahwa dalam menjalankan jabatannya, Notaris wajib bertindak amanah, jujur, saksama, mandiri, tidak berpihak, dan menjaga kepentingan pihak yang terkait dalam perbuatan hukum. Pada persidangan juga terungkap bahwa tindakan yang dilakukan Notaris Sugiharto, SH. Sp.N memenuhi unsur tindak pidana pasal 264 ayat (1) Kitab Undang-Undang Hukum Pidana jo. pasal 55 ayat (1) ke-1 Kitab Undang-Undang Hukum Pidana.</w:t>
      </w:r>
    </w:p>
    <w:p w:rsidR="00F473B6" w:rsidRPr="002F0BE2" w:rsidRDefault="00F473B6" w:rsidP="00F473B6">
      <w:pPr>
        <w:spacing w:line="480" w:lineRule="auto"/>
        <w:ind w:firstLine="709"/>
        <w:jc w:val="both"/>
      </w:pPr>
      <w:r w:rsidRPr="002F0BE2">
        <w:t xml:space="preserve">Notaris dalam kasus putusan Pengadilan Negeri Semarang Nomor: 676/Pid.B/2023/PN.Smg, maka harus bertanggungjawab secara pidana karena dalam persidangan terbukti melakukan perbuatan pidana. Dikarenakan Terdakwa dijatuhi pidana, maka sesuai pasal 222 ayat 1 jo pasal 197 ayat (1) huruf i Kitab Undang-Undang Hukum Acara Pidana, kepada Terdakwa akan dibebani untuk </w:t>
      </w:r>
      <w:r w:rsidRPr="002F0BE2">
        <w:lastRenderedPageBreak/>
        <w:t>membayar biaya perkara ini. Majelis hakim menyatakan Terdakwa Sugiharto, SH. Sp.N. bin Djasmin terbukti secara sah dan meyakinkan bersalah melakukan tindak pidana “Pemalsuan Akta Otentik Secara Bersama-Sama” dan Menjatuhkan pidana terhadap Terdakwa Sugiharto, SH. Sp.N. bin Djasmin dengan pidana penjara selama 8 (delapan) bulan dengan ketentuan pidana tersebut tidak usah dijalani, kecuali sebelum masa percobaan 1(satu) tahun dan 6 (enam) bulan terpidana melakukan suatu tindak pidana.</w:t>
      </w:r>
    </w:p>
    <w:p w:rsidR="001625C8" w:rsidRPr="00F473B6" w:rsidRDefault="001625C8" w:rsidP="00F473B6">
      <w:bookmarkStart w:id="7" w:name="_GoBack"/>
      <w:bookmarkEnd w:id="7"/>
    </w:p>
    <w:sectPr w:rsidR="001625C8" w:rsidRPr="00F473B6" w:rsidSect="003A3CA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6A2" w:rsidRDefault="00D706A2" w:rsidP="00ED7EDB">
      <w:r>
        <w:separator/>
      </w:r>
    </w:p>
  </w:endnote>
  <w:endnote w:type="continuationSeparator" w:id="1">
    <w:p w:rsidR="00D706A2" w:rsidRDefault="00D706A2" w:rsidP="00ED7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0EF" w:rsidRDefault="007840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AE" w:rsidRDefault="00D706A2">
    <w:pPr>
      <w:pStyle w:val="Footer"/>
      <w:jc w:val="center"/>
    </w:pPr>
  </w:p>
  <w:p w:rsidR="00AA1EAE" w:rsidRDefault="00D706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0EF" w:rsidRDefault="007840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6A2" w:rsidRDefault="00D706A2" w:rsidP="00ED7EDB">
      <w:r>
        <w:separator/>
      </w:r>
    </w:p>
  </w:footnote>
  <w:footnote w:type="continuationSeparator" w:id="1">
    <w:p w:rsidR="00D706A2" w:rsidRDefault="00D706A2" w:rsidP="00ED7EDB">
      <w:r>
        <w:continuationSeparator/>
      </w:r>
    </w:p>
  </w:footnote>
  <w:footnote w:id="2">
    <w:p w:rsidR="00F473B6" w:rsidRPr="001F352E" w:rsidRDefault="00F473B6" w:rsidP="00F473B6">
      <w:pPr>
        <w:pStyle w:val="FootnoteText"/>
        <w:ind w:firstLine="720"/>
        <w:jc w:val="both"/>
      </w:pPr>
      <w:r w:rsidRPr="001F352E">
        <w:rPr>
          <w:rStyle w:val="FootnoteReference"/>
        </w:rPr>
        <w:footnoteRef/>
      </w:r>
      <w:r w:rsidRPr="001F352E">
        <w:rPr>
          <w:i/>
          <w:iCs/>
        </w:rPr>
        <w:t>Ibid</w:t>
      </w:r>
      <w:r w:rsidRPr="001F352E">
        <w:t>. h.3</w:t>
      </w:r>
    </w:p>
  </w:footnote>
  <w:footnote w:id="3">
    <w:p w:rsidR="00F473B6" w:rsidRPr="001F352E" w:rsidRDefault="00F473B6" w:rsidP="00F473B6">
      <w:pPr>
        <w:pStyle w:val="FootnoteText"/>
        <w:ind w:firstLine="709"/>
        <w:jc w:val="both"/>
      </w:pPr>
      <w:r w:rsidRPr="001F352E">
        <w:rPr>
          <w:rStyle w:val="FootnoteReference"/>
        </w:rPr>
        <w:footnoteRef/>
      </w:r>
      <w:r w:rsidRPr="001F352E">
        <w:t xml:space="preserve"> PAF. Lamintang., </w:t>
      </w:r>
      <w:r w:rsidRPr="001F352E">
        <w:rPr>
          <w:bCs/>
          <w:i/>
          <w:iCs/>
        </w:rPr>
        <w:t xml:space="preserve">Kejahatan-Kejahatan Membahayakan Kepercayaan Umum Terhadap Surat-Surat, Alat Pembayaran, Alat-Alat Bukti dan Peradilan, </w:t>
      </w:r>
      <w:r w:rsidRPr="001F352E">
        <w:t>CV. Mandar Madju, Bandung, 2011</w:t>
      </w:r>
      <w:r w:rsidRPr="001F352E">
        <w:rPr>
          <w:lang w:val="id-ID"/>
        </w:rPr>
        <w:t>, h.67</w:t>
      </w:r>
    </w:p>
  </w:footnote>
  <w:footnote w:id="4">
    <w:p w:rsidR="00F473B6" w:rsidRPr="001F352E" w:rsidRDefault="00F473B6" w:rsidP="00F473B6">
      <w:pPr>
        <w:pStyle w:val="FootnoteText"/>
        <w:ind w:firstLine="709"/>
      </w:pPr>
      <w:r w:rsidRPr="001F352E">
        <w:rPr>
          <w:rStyle w:val="FootnoteReference"/>
        </w:rPr>
        <w:footnoteRef/>
      </w:r>
      <w:r w:rsidRPr="001F352E">
        <w:rPr>
          <w:lang w:val="en-ID"/>
        </w:rPr>
        <w:t xml:space="preserve">Adami Chazawi dan Ardi Ferdian, </w:t>
      </w:r>
      <w:r w:rsidRPr="001F352E">
        <w:rPr>
          <w:i/>
          <w:iCs/>
          <w:lang w:val="en-ID"/>
        </w:rPr>
        <w:t xml:space="preserve">Op. Cit. </w:t>
      </w:r>
      <w:r w:rsidRPr="001F352E">
        <w:rPr>
          <w:lang w:val="en-ID"/>
        </w:rPr>
        <w:t>, h. 138</w:t>
      </w:r>
    </w:p>
  </w:footnote>
  <w:footnote w:id="5">
    <w:p w:rsidR="00F473B6" w:rsidRPr="001F352E" w:rsidRDefault="00F473B6" w:rsidP="00F473B6">
      <w:pPr>
        <w:pStyle w:val="FootnoteText"/>
        <w:ind w:firstLine="709"/>
      </w:pPr>
      <w:r w:rsidRPr="001F352E">
        <w:rPr>
          <w:rStyle w:val="FootnoteReference"/>
        </w:rPr>
        <w:footnoteRef/>
      </w:r>
      <w:r w:rsidRPr="001F352E">
        <w:rPr>
          <w:i/>
          <w:iCs/>
        </w:rPr>
        <w:t>Ibid</w:t>
      </w:r>
      <w:r w:rsidRPr="001F352E">
        <w:t>, h.139.</w:t>
      </w:r>
    </w:p>
  </w:footnote>
  <w:footnote w:id="6">
    <w:p w:rsidR="00F473B6" w:rsidRPr="001F352E" w:rsidRDefault="00F473B6" w:rsidP="00F473B6">
      <w:pPr>
        <w:pStyle w:val="FootnoteText"/>
        <w:ind w:firstLine="709"/>
      </w:pPr>
      <w:r w:rsidRPr="001F352E">
        <w:rPr>
          <w:rStyle w:val="FootnoteReference"/>
        </w:rPr>
        <w:footnoteRef/>
      </w:r>
      <w:r w:rsidRPr="001F352E">
        <w:rPr>
          <w:i/>
          <w:iCs/>
        </w:rPr>
        <w:t>Ibid</w:t>
      </w:r>
      <w:r w:rsidRPr="001F352E">
        <w:t>, h.140.</w:t>
      </w:r>
    </w:p>
  </w:footnote>
  <w:footnote w:id="7">
    <w:p w:rsidR="00F473B6" w:rsidRPr="001F352E" w:rsidRDefault="00F473B6" w:rsidP="00F473B6">
      <w:pPr>
        <w:pStyle w:val="FootnoteText"/>
        <w:ind w:firstLine="720"/>
        <w:jc w:val="both"/>
      </w:pPr>
      <w:r w:rsidRPr="001F352E">
        <w:rPr>
          <w:rStyle w:val="FootnoteReference"/>
        </w:rPr>
        <w:footnoteRef/>
      </w:r>
      <w:r w:rsidRPr="001F352E">
        <w:rPr>
          <w:i/>
          <w:iCs/>
        </w:rPr>
        <w:t>Ibid</w:t>
      </w:r>
      <w:r w:rsidRPr="001F352E">
        <w:t>. h.11</w:t>
      </w:r>
    </w:p>
  </w:footnote>
  <w:footnote w:id="8">
    <w:p w:rsidR="00F473B6" w:rsidRPr="001F352E" w:rsidRDefault="00F473B6" w:rsidP="00F473B6">
      <w:pPr>
        <w:pStyle w:val="FootnoteText"/>
        <w:ind w:firstLine="709"/>
        <w:jc w:val="both"/>
      </w:pPr>
      <w:r w:rsidRPr="001F352E">
        <w:rPr>
          <w:rStyle w:val="FootnoteReference"/>
        </w:rPr>
        <w:footnoteRef/>
      </w:r>
      <w:r w:rsidRPr="001F352E">
        <w:t xml:space="preserve"> R.Soesilo, </w:t>
      </w:r>
      <w:r w:rsidRPr="001F352E">
        <w:rPr>
          <w:i/>
        </w:rPr>
        <w:t>Op.Cit¸</w:t>
      </w:r>
      <w:r w:rsidRPr="001F352E">
        <w:t xml:space="preserve"> h.69.</w:t>
      </w:r>
    </w:p>
  </w:footnote>
  <w:footnote w:id="9">
    <w:p w:rsidR="00F473B6" w:rsidRPr="001F352E" w:rsidRDefault="00F473B6" w:rsidP="00F473B6">
      <w:pPr>
        <w:pStyle w:val="Default"/>
        <w:ind w:firstLine="709"/>
        <w:jc w:val="both"/>
        <w:rPr>
          <w:sz w:val="20"/>
          <w:szCs w:val="20"/>
        </w:rPr>
      </w:pPr>
      <w:bookmarkStart w:id="0" w:name="_Hlk128984272"/>
      <w:r w:rsidRPr="001F352E">
        <w:rPr>
          <w:rStyle w:val="FootnoteReference"/>
          <w:sz w:val="20"/>
          <w:szCs w:val="20"/>
        </w:rPr>
        <w:footnoteRef/>
      </w:r>
      <w:bookmarkStart w:id="1" w:name="_Hlk177318924"/>
      <w:r w:rsidRPr="001F352E">
        <w:rPr>
          <w:sz w:val="20"/>
          <w:szCs w:val="20"/>
          <w:lang w:val="en-ID"/>
        </w:rPr>
        <w:t xml:space="preserve">Edel Joshua Siagian, “Kajian Hukum Tindak Pidana Pemalsuan Sertifikat Hak Milik Tanah”, </w:t>
      </w:r>
      <w:r w:rsidRPr="001F352E">
        <w:rPr>
          <w:i/>
          <w:iCs/>
          <w:sz w:val="20"/>
          <w:szCs w:val="20"/>
          <w:lang w:val="en-ID"/>
        </w:rPr>
        <w:t xml:space="preserve">Jurnal </w:t>
      </w:r>
      <w:r w:rsidRPr="001F352E">
        <w:rPr>
          <w:i/>
          <w:iCs/>
          <w:sz w:val="20"/>
          <w:szCs w:val="20"/>
        </w:rPr>
        <w:t xml:space="preserve">Lex Crimen </w:t>
      </w:r>
      <w:r w:rsidRPr="001F352E">
        <w:rPr>
          <w:sz w:val="20"/>
          <w:szCs w:val="20"/>
        </w:rPr>
        <w:t>Vol. X/No. 6/Mei/2021</w:t>
      </w:r>
      <w:bookmarkEnd w:id="0"/>
      <w:bookmarkEnd w:id="1"/>
      <w:r w:rsidRPr="001F352E">
        <w:rPr>
          <w:sz w:val="20"/>
          <w:szCs w:val="20"/>
        </w:rPr>
        <w:t>, h.85</w:t>
      </w:r>
    </w:p>
  </w:footnote>
  <w:footnote w:id="10">
    <w:p w:rsidR="00F473B6" w:rsidRPr="001F352E" w:rsidRDefault="00F473B6" w:rsidP="00F473B6">
      <w:pPr>
        <w:pStyle w:val="FootnoteText"/>
        <w:ind w:firstLine="709"/>
      </w:pPr>
      <w:r w:rsidRPr="001F352E">
        <w:rPr>
          <w:rStyle w:val="FootnoteReference"/>
        </w:rPr>
        <w:footnoteRef/>
      </w:r>
      <w:r w:rsidRPr="001F352E">
        <w:rPr>
          <w:i/>
          <w:iCs/>
        </w:rPr>
        <w:t>Ibid</w:t>
      </w:r>
      <w:r w:rsidRPr="001F352E">
        <w:t>, h.86</w:t>
      </w:r>
    </w:p>
  </w:footnote>
  <w:footnote w:id="11">
    <w:p w:rsidR="00F473B6" w:rsidRPr="001F352E" w:rsidRDefault="00F473B6" w:rsidP="00F473B6">
      <w:pPr>
        <w:pStyle w:val="FootnoteText"/>
        <w:ind w:firstLine="720"/>
        <w:jc w:val="both"/>
      </w:pPr>
      <w:r w:rsidRPr="001F352E">
        <w:rPr>
          <w:rStyle w:val="FootnoteReference"/>
        </w:rPr>
        <w:footnoteRef/>
      </w:r>
      <w:r w:rsidRPr="001F352E">
        <w:t xml:space="preserve">R. Wirjono Prodjodikoro, </w:t>
      </w:r>
      <w:r w:rsidRPr="001F352E">
        <w:rPr>
          <w:i/>
        </w:rPr>
        <w:t xml:space="preserve">Tindak-Tindak Pidana Tertentu Dalam KUH.Pidana Indonesia, </w:t>
      </w:r>
      <w:r w:rsidRPr="001F352E">
        <w:t>Eresco,Bandung, 2012, h. 71</w:t>
      </w:r>
    </w:p>
  </w:footnote>
  <w:footnote w:id="12">
    <w:p w:rsidR="00F473B6" w:rsidRPr="001F352E" w:rsidRDefault="00F473B6" w:rsidP="00F473B6">
      <w:pPr>
        <w:pStyle w:val="FootnoteText"/>
        <w:ind w:firstLine="720"/>
        <w:jc w:val="both"/>
      </w:pPr>
      <w:r w:rsidRPr="001F352E">
        <w:rPr>
          <w:rStyle w:val="FootnoteReference"/>
        </w:rPr>
        <w:footnoteRef/>
      </w:r>
      <w:r w:rsidRPr="001F352E">
        <w:rPr>
          <w:i/>
        </w:rPr>
        <w:t>Ibid</w:t>
      </w:r>
      <w:r w:rsidRPr="001F352E">
        <w:t>, h. 73</w:t>
      </w:r>
    </w:p>
  </w:footnote>
  <w:footnote w:id="13">
    <w:p w:rsidR="00F473B6" w:rsidRPr="001F352E" w:rsidRDefault="00F473B6" w:rsidP="00F473B6">
      <w:pPr>
        <w:pStyle w:val="FootnoteText"/>
        <w:ind w:firstLine="720"/>
        <w:jc w:val="both"/>
      </w:pPr>
      <w:r w:rsidRPr="001F352E">
        <w:rPr>
          <w:rStyle w:val="FootnoteReference"/>
        </w:rPr>
        <w:footnoteRef/>
      </w:r>
      <w:r w:rsidRPr="001F352E">
        <w:t xml:space="preserve"> Adam Chazawi,</w:t>
      </w:r>
      <w:r w:rsidRPr="001F352E">
        <w:rPr>
          <w:bCs/>
          <w:i/>
          <w:iCs/>
        </w:rPr>
        <w:t xml:space="preserve"> Kejahatan Terhadap Pemalsuan,</w:t>
      </w:r>
      <w:r w:rsidRPr="001F352E">
        <w:rPr>
          <w:i/>
        </w:rPr>
        <w:t xml:space="preserve">Op.Cit, </w:t>
      </w:r>
      <w:r w:rsidRPr="001F352E">
        <w:t xml:space="preserve"> h. 53</w:t>
      </w:r>
    </w:p>
  </w:footnote>
  <w:footnote w:id="14">
    <w:p w:rsidR="00F473B6" w:rsidRPr="001F352E" w:rsidRDefault="00F473B6" w:rsidP="00F473B6">
      <w:pPr>
        <w:pStyle w:val="FootnoteText"/>
        <w:ind w:firstLine="720"/>
        <w:jc w:val="both"/>
      </w:pPr>
      <w:r w:rsidRPr="001F352E">
        <w:rPr>
          <w:rStyle w:val="FootnoteReference"/>
        </w:rPr>
        <w:footnoteRef/>
      </w:r>
      <w:r w:rsidRPr="001F352E">
        <w:rPr>
          <w:i/>
        </w:rPr>
        <w:t>Ibid</w:t>
      </w:r>
      <w:r w:rsidRPr="001F352E">
        <w:t>, h. 54</w:t>
      </w:r>
    </w:p>
  </w:footnote>
  <w:footnote w:id="15">
    <w:p w:rsidR="00F473B6" w:rsidRPr="001F352E" w:rsidRDefault="00F473B6" w:rsidP="00F473B6">
      <w:pPr>
        <w:pStyle w:val="FootnoteText"/>
        <w:ind w:firstLine="709"/>
        <w:jc w:val="both"/>
      </w:pPr>
      <w:r w:rsidRPr="001F352E">
        <w:rPr>
          <w:rStyle w:val="FootnoteReference"/>
        </w:rPr>
        <w:footnoteRef/>
      </w:r>
      <w:bookmarkStart w:id="2" w:name="_Hlk177317052"/>
      <w:r w:rsidRPr="001F352E">
        <w:t xml:space="preserve">Supriadi, </w:t>
      </w:r>
      <w:r w:rsidRPr="001F352E">
        <w:rPr>
          <w:i/>
          <w:iCs/>
        </w:rPr>
        <w:t>Etika &amp; Tanggung Jawab Profesi Hukum Di Indonesia</w:t>
      </w:r>
      <w:r w:rsidRPr="001F352E">
        <w:t>, Sinar Grafika, Jakarta, 2018</w:t>
      </w:r>
      <w:bookmarkEnd w:id="2"/>
      <w:r w:rsidRPr="001F352E">
        <w:t>, h. 29</w:t>
      </w:r>
    </w:p>
  </w:footnote>
  <w:footnote w:id="16">
    <w:p w:rsidR="00F473B6" w:rsidRPr="001F352E" w:rsidRDefault="00F473B6" w:rsidP="00F473B6">
      <w:pPr>
        <w:pStyle w:val="FootnoteText"/>
        <w:jc w:val="both"/>
      </w:pPr>
      <w:r w:rsidRPr="001F352E">
        <w:tab/>
      </w:r>
      <w:r w:rsidRPr="001F352E">
        <w:rPr>
          <w:rStyle w:val="FootnoteReference"/>
        </w:rPr>
        <w:footnoteRef/>
      </w:r>
      <w:bookmarkStart w:id="3" w:name="_Hlk177317130"/>
      <w:r w:rsidRPr="001F352E">
        <w:t xml:space="preserve">Philipus M. Hadjon, dkk, </w:t>
      </w:r>
      <w:r w:rsidRPr="001F352E">
        <w:rPr>
          <w:i/>
          <w:iCs/>
        </w:rPr>
        <w:t>Pengantar Hukum Administrasi Indonesia</w:t>
      </w:r>
      <w:r w:rsidRPr="001F352E">
        <w:t>, Gadjah Mada University Press, Yogyakarta, 2020</w:t>
      </w:r>
      <w:bookmarkEnd w:id="3"/>
      <w:r w:rsidRPr="001F352E">
        <w:t>, h. 245</w:t>
      </w:r>
    </w:p>
  </w:footnote>
  <w:footnote w:id="17">
    <w:p w:rsidR="00F473B6" w:rsidRPr="001F352E" w:rsidRDefault="00F473B6" w:rsidP="00F473B6">
      <w:pPr>
        <w:pStyle w:val="FootnoteText"/>
      </w:pPr>
      <w:r w:rsidRPr="001F352E">
        <w:tab/>
      </w:r>
      <w:r w:rsidRPr="001F352E">
        <w:rPr>
          <w:rStyle w:val="FootnoteReference"/>
        </w:rPr>
        <w:footnoteRef/>
      </w:r>
      <w:bookmarkStart w:id="4" w:name="_Hlk177317193"/>
      <w:r w:rsidRPr="001F352E">
        <w:t xml:space="preserve">Habib Adjie, </w:t>
      </w:r>
      <w:r w:rsidRPr="001F352E">
        <w:rPr>
          <w:i/>
          <w:iCs/>
        </w:rPr>
        <w:t>Hukum Notaris Indonesia</w:t>
      </w:r>
      <w:r w:rsidRPr="001F352E">
        <w:t>, Refika Aditama, Bandung, 2018</w:t>
      </w:r>
      <w:bookmarkEnd w:id="4"/>
      <w:r w:rsidRPr="001F352E">
        <w:t>, h. 24.</w:t>
      </w:r>
    </w:p>
  </w:footnote>
  <w:footnote w:id="18">
    <w:p w:rsidR="00F473B6" w:rsidRPr="001F352E" w:rsidRDefault="00F473B6" w:rsidP="00F473B6">
      <w:pPr>
        <w:pStyle w:val="FootnoteText"/>
        <w:jc w:val="both"/>
      </w:pPr>
      <w:r w:rsidRPr="001F352E">
        <w:tab/>
      </w:r>
      <w:r w:rsidRPr="001F352E">
        <w:rPr>
          <w:rStyle w:val="FootnoteReference"/>
        </w:rPr>
        <w:footnoteRef/>
      </w:r>
      <w:r w:rsidRPr="001F352E">
        <w:t xml:space="preserve"> Abdul Ghofur Anshori, </w:t>
      </w:r>
      <w:r w:rsidRPr="001F352E">
        <w:rPr>
          <w:i/>
          <w:iCs/>
        </w:rPr>
        <w:t>Lembaga Kenotariatan Indonesia Perspektif Hukum dan Etika</w:t>
      </w:r>
      <w:r w:rsidRPr="001F352E">
        <w:t>, UII Press, Yogyakarta, 2019, h. 183</w:t>
      </w:r>
    </w:p>
  </w:footnote>
  <w:footnote w:id="19">
    <w:p w:rsidR="00F473B6" w:rsidRPr="001F352E" w:rsidRDefault="00F473B6" w:rsidP="00F473B6">
      <w:pPr>
        <w:pStyle w:val="FootnoteText"/>
      </w:pPr>
      <w:r w:rsidRPr="001F352E">
        <w:tab/>
      </w:r>
      <w:r w:rsidRPr="001F352E">
        <w:rPr>
          <w:rStyle w:val="FootnoteReference"/>
        </w:rPr>
        <w:footnoteRef/>
      </w:r>
      <w:r w:rsidRPr="001F352E">
        <w:t xml:space="preserve"> G Habib Adjie, </w:t>
      </w:r>
      <w:r w:rsidRPr="001F352E">
        <w:rPr>
          <w:i/>
          <w:iCs/>
        </w:rPr>
        <w:t>Op.Cit.</w:t>
      </w:r>
      <w:r w:rsidRPr="001F352E">
        <w:t>, h. 51</w:t>
      </w:r>
    </w:p>
  </w:footnote>
  <w:footnote w:id="20">
    <w:p w:rsidR="00F473B6" w:rsidRPr="001F352E" w:rsidRDefault="00F473B6" w:rsidP="00F473B6">
      <w:pPr>
        <w:pStyle w:val="FootnoteText"/>
      </w:pPr>
      <w:r w:rsidRPr="001F352E">
        <w:tab/>
      </w:r>
      <w:r w:rsidRPr="001F352E">
        <w:rPr>
          <w:rStyle w:val="FootnoteReference"/>
        </w:rPr>
        <w:footnoteRef/>
      </w:r>
      <w:r w:rsidRPr="001F352E">
        <w:t xml:space="preserve"> Adami Chazawi, </w:t>
      </w:r>
      <w:r w:rsidRPr="001F352E">
        <w:rPr>
          <w:i/>
          <w:iCs/>
        </w:rPr>
        <w:t>Op.Cit.</w:t>
      </w:r>
      <w:r w:rsidRPr="001F352E">
        <w:t>, h. 100</w:t>
      </w:r>
    </w:p>
  </w:footnote>
  <w:footnote w:id="21">
    <w:p w:rsidR="00F473B6" w:rsidRPr="001F352E" w:rsidRDefault="00F473B6" w:rsidP="00F473B6">
      <w:pPr>
        <w:pStyle w:val="FootnoteText"/>
      </w:pPr>
      <w:r w:rsidRPr="001F352E">
        <w:tab/>
      </w:r>
      <w:r w:rsidRPr="001F352E">
        <w:rPr>
          <w:rStyle w:val="FootnoteReference"/>
        </w:rPr>
        <w:footnoteRef/>
      </w:r>
      <w:r w:rsidRPr="001F352E">
        <w:rPr>
          <w:i/>
        </w:rPr>
        <w:t>Ibid</w:t>
      </w:r>
      <w:r w:rsidRPr="001F352E">
        <w:t>, h.101.</w:t>
      </w:r>
    </w:p>
  </w:footnote>
  <w:footnote w:id="22">
    <w:p w:rsidR="00F473B6" w:rsidRPr="001F352E" w:rsidRDefault="00F473B6" w:rsidP="00F473B6">
      <w:pPr>
        <w:pStyle w:val="Default"/>
        <w:jc w:val="both"/>
        <w:rPr>
          <w:sz w:val="20"/>
          <w:szCs w:val="20"/>
        </w:rPr>
      </w:pPr>
      <w:r w:rsidRPr="001F352E">
        <w:rPr>
          <w:sz w:val="20"/>
          <w:szCs w:val="20"/>
        </w:rPr>
        <w:tab/>
      </w:r>
      <w:r w:rsidRPr="001F352E">
        <w:rPr>
          <w:rStyle w:val="FootnoteReference"/>
          <w:sz w:val="20"/>
          <w:szCs w:val="20"/>
        </w:rPr>
        <w:footnoteRef/>
      </w:r>
      <w:bookmarkStart w:id="5" w:name="_Hlk177317811"/>
      <w:r w:rsidRPr="001F352E">
        <w:rPr>
          <w:sz w:val="20"/>
          <w:szCs w:val="20"/>
        </w:rPr>
        <w:t xml:space="preserve">P.A.F. Lamintang &amp; Theo Lamintang, </w:t>
      </w:r>
      <w:r w:rsidRPr="001F352E">
        <w:rPr>
          <w:i/>
          <w:iCs/>
          <w:sz w:val="20"/>
          <w:szCs w:val="20"/>
        </w:rPr>
        <w:t>Delik-Delik Khusus Kejahatan Membahayakan Kepercayaan Umum Terhadap Surat, Alat Pembayaran, Alat Bukti, dan Peradilan</w:t>
      </w:r>
      <w:r w:rsidRPr="001F352E">
        <w:rPr>
          <w:sz w:val="20"/>
          <w:szCs w:val="20"/>
        </w:rPr>
        <w:t>, Sinar Grafika, Jakarta, 20</w:t>
      </w:r>
      <w:r w:rsidRPr="001F352E">
        <w:rPr>
          <w:sz w:val="20"/>
          <w:szCs w:val="20"/>
          <w:lang w:val="en-US"/>
        </w:rPr>
        <w:t>1</w:t>
      </w:r>
      <w:r w:rsidRPr="001F352E">
        <w:rPr>
          <w:sz w:val="20"/>
          <w:szCs w:val="20"/>
        </w:rPr>
        <w:t>9</w:t>
      </w:r>
      <w:bookmarkEnd w:id="5"/>
      <w:r w:rsidRPr="001F352E">
        <w:rPr>
          <w:sz w:val="20"/>
          <w:szCs w:val="20"/>
        </w:rPr>
        <w:t>, h. 46.</w:t>
      </w:r>
    </w:p>
  </w:footnote>
  <w:footnote w:id="23">
    <w:p w:rsidR="00F473B6" w:rsidRPr="001F352E" w:rsidRDefault="00F473B6" w:rsidP="00F473B6">
      <w:pPr>
        <w:pStyle w:val="FootnoteText"/>
      </w:pPr>
      <w:r w:rsidRPr="001F352E">
        <w:tab/>
      </w:r>
      <w:r w:rsidRPr="001F352E">
        <w:rPr>
          <w:rStyle w:val="FootnoteReference"/>
        </w:rPr>
        <w:footnoteRef/>
      </w:r>
      <w:r w:rsidRPr="001F352E">
        <w:t xml:space="preserve"> Adami Chazawi,</w:t>
      </w:r>
      <w:r w:rsidRPr="001F352E">
        <w:rPr>
          <w:i/>
        </w:rPr>
        <w:t xml:space="preserve"> Op.Cit</w:t>
      </w:r>
      <w:r w:rsidRPr="001F352E">
        <w:t>,h.113.</w:t>
      </w:r>
    </w:p>
  </w:footnote>
  <w:footnote w:id="24">
    <w:p w:rsidR="00F473B6" w:rsidRPr="001F352E" w:rsidRDefault="00F473B6" w:rsidP="00F473B6">
      <w:pPr>
        <w:pStyle w:val="Default"/>
        <w:ind w:firstLine="720"/>
        <w:jc w:val="both"/>
        <w:rPr>
          <w:sz w:val="20"/>
          <w:szCs w:val="20"/>
        </w:rPr>
      </w:pPr>
      <w:r w:rsidRPr="001F352E">
        <w:rPr>
          <w:rStyle w:val="FootnoteReference"/>
          <w:sz w:val="20"/>
          <w:szCs w:val="20"/>
        </w:rPr>
        <w:footnoteRef/>
      </w:r>
      <w:r w:rsidRPr="001F352E">
        <w:rPr>
          <w:sz w:val="20"/>
          <w:szCs w:val="20"/>
        </w:rPr>
        <w:t xml:space="preserve">Hanafi Amrani dan Mahrus Ali, </w:t>
      </w:r>
      <w:r w:rsidRPr="001F352E">
        <w:rPr>
          <w:i/>
          <w:iCs/>
          <w:sz w:val="20"/>
          <w:szCs w:val="20"/>
        </w:rPr>
        <w:t>Sisitem Pertanggung Jawaban Pidana</w:t>
      </w:r>
      <w:r w:rsidRPr="001F352E">
        <w:rPr>
          <w:sz w:val="20"/>
          <w:szCs w:val="20"/>
        </w:rPr>
        <w:t>, Rajawali Pers, Jakarta, 2015, h.16</w:t>
      </w:r>
    </w:p>
  </w:footnote>
  <w:footnote w:id="25">
    <w:p w:rsidR="00F473B6" w:rsidRPr="001F352E" w:rsidRDefault="00F473B6" w:rsidP="00F473B6">
      <w:pPr>
        <w:pStyle w:val="Default"/>
        <w:ind w:firstLine="720"/>
        <w:jc w:val="both"/>
        <w:rPr>
          <w:sz w:val="20"/>
          <w:szCs w:val="20"/>
        </w:rPr>
      </w:pPr>
      <w:r w:rsidRPr="001F352E">
        <w:rPr>
          <w:rStyle w:val="FootnoteReference"/>
          <w:sz w:val="20"/>
          <w:szCs w:val="20"/>
        </w:rPr>
        <w:footnoteRef/>
      </w:r>
      <w:r w:rsidRPr="001F352E">
        <w:rPr>
          <w:sz w:val="20"/>
          <w:szCs w:val="20"/>
        </w:rPr>
        <w:t xml:space="preserve">Roeslan Saleh, </w:t>
      </w:r>
      <w:r w:rsidRPr="001F352E">
        <w:rPr>
          <w:i/>
          <w:iCs/>
          <w:sz w:val="20"/>
          <w:szCs w:val="20"/>
        </w:rPr>
        <w:t>Pikiran-Pikiran Tentang Pertanggung Jawaban Pidana</w:t>
      </w:r>
      <w:r w:rsidRPr="001F352E">
        <w:rPr>
          <w:sz w:val="20"/>
          <w:szCs w:val="20"/>
        </w:rPr>
        <w:t>, Ghalia Indonesia, Jakarta, 2010, h.33</w:t>
      </w:r>
    </w:p>
  </w:footnote>
  <w:footnote w:id="26">
    <w:p w:rsidR="00F473B6" w:rsidRPr="001F352E" w:rsidRDefault="00F473B6" w:rsidP="00F473B6">
      <w:pPr>
        <w:pStyle w:val="FootnoteText"/>
        <w:ind w:firstLine="720"/>
      </w:pPr>
      <w:r w:rsidRPr="001F352E">
        <w:rPr>
          <w:rStyle w:val="FootnoteReference"/>
        </w:rPr>
        <w:footnoteRef/>
      </w:r>
      <w:r w:rsidRPr="001F352E">
        <w:rPr>
          <w:i/>
        </w:rPr>
        <w:t>Ibid</w:t>
      </w:r>
      <w:r w:rsidRPr="001F352E">
        <w:t>, h.34.</w:t>
      </w:r>
    </w:p>
  </w:footnote>
  <w:footnote w:id="27">
    <w:p w:rsidR="00F473B6" w:rsidRPr="001F352E" w:rsidRDefault="00F473B6" w:rsidP="00F473B6">
      <w:pPr>
        <w:pStyle w:val="FootnoteText"/>
        <w:ind w:firstLine="720"/>
      </w:pPr>
      <w:r w:rsidRPr="001F352E">
        <w:rPr>
          <w:rStyle w:val="FootnoteReference"/>
        </w:rPr>
        <w:footnoteRef/>
      </w:r>
      <w:r w:rsidRPr="001F352E">
        <w:t xml:space="preserve"> Chairul Huda</w:t>
      </w:r>
      <w:r w:rsidRPr="001F352E">
        <w:rPr>
          <w:i/>
          <w:iCs/>
        </w:rPr>
        <w:t>, Op.Cit</w:t>
      </w:r>
      <w:r w:rsidRPr="001F352E">
        <w:rPr>
          <w:iCs/>
        </w:rPr>
        <w:t>, h.68.</w:t>
      </w:r>
    </w:p>
  </w:footnote>
  <w:footnote w:id="28">
    <w:p w:rsidR="00F473B6" w:rsidRPr="001F352E" w:rsidRDefault="00F473B6" w:rsidP="00F473B6">
      <w:pPr>
        <w:pStyle w:val="FootnoteText"/>
        <w:ind w:firstLine="720"/>
        <w:jc w:val="both"/>
      </w:pPr>
      <w:r w:rsidRPr="001F352E">
        <w:rPr>
          <w:rStyle w:val="FootnoteReference"/>
        </w:rPr>
        <w:footnoteRef/>
      </w:r>
      <w:r w:rsidRPr="001F352E">
        <w:t xml:space="preserve"> Sudarto, </w:t>
      </w:r>
      <w:r w:rsidRPr="001F352E">
        <w:rPr>
          <w:i/>
          <w:iCs/>
        </w:rPr>
        <w:t>Op.Cit</w:t>
      </w:r>
      <w:r w:rsidRPr="001F352E">
        <w:t>, h.  56</w:t>
      </w:r>
    </w:p>
  </w:footnote>
  <w:footnote w:id="29">
    <w:p w:rsidR="00F473B6" w:rsidRPr="001F352E" w:rsidRDefault="00F473B6" w:rsidP="00F473B6">
      <w:pPr>
        <w:pStyle w:val="FootnoteText"/>
        <w:ind w:firstLine="720"/>
      </w:pPr>
      <w:r w:rsidRPr="001F352E">
        <w:rPr>
          <w:rStyle w:val="FootnoteReference"/>
        </w:rPr>
        <w:footnoteRef/>
      </w:r>
      <w:r w:rsidRPr="001F352E">
        <w:t xml:space="preserve"> Chairul Huda</w:t>
      </w:r>
      <w:r w:rsidRPr="001F352E">
        <w:rPr>
          <w:i/>
          <w:iCs/>
        </w:rPr>
        <w:t>, Op.Cit</w:t>
      </w:r>
      <w:r w:rsidRPr="001F352E">
        <w:rPr>
          <w:iCs/>
        </w:rPr>
        <w:t>, h.69.</w:t>
      </w:r>
    </w:p>
  </w:footnote>
  <w:footnote w:id="30">
    <w:p w:rsidR="00F473B6" w:rsidRPr="001F352E" w:rsidRDefault="00F473B6" w:rsidP="00F473B6">
      <w:pPr>
        <w:pStyle w:val="FootnoteText"/>
        <w:ind w:firstLine="720"/>
        <w:jc w:val="both"/>
      </w:pPr>
      <w:r w:rsidRPr="001F352E">
        <w:rPr>
          <w:rStyle w:val="FootnoteReference"/>
        </w:rPr>
        <w:footnoteRef/>
      </w:r>
      <w:r w:rsidRPr="001F352E">
        <w:t xml:space="preserve"> PAF. Lamintang,  </w:t>
      </w:r>
      <w:r w:rsidRPr="001F352E">
        <w:rPr>
          <w:i/>
          <w:iCs/>
        </w:rPr>
        <w:t>Op.Cit,</w:t>
      </w:r>
      <w:r w:rsidRPr="001F352E">
        <w:t xml:space="preserve"> h.181.</w:t>
      </w:r>
    </w:p>
  </w:footnote>
  <w:footnote w:id="31">
    <w:p w:rsidR="00F473B6" w:rsidRPr="001F352E" w:rsidRDefault="00F473B6" w:rsidP="00F473B6">
      <w:pPr>
        <w:pStyle w:val="FootnoteText"/>
        <w:ind w:firstLine="720"/>
        <w:jc w:val="both"/>
      </w:pPr>
      <w:r w:rsidRPr="001F352E">
        <w:rPr>
          <w:rStyle w:val="FootnoteReference"/>
        </w:rPr>
        <w:footnoteRef/>
      </w:r>
      <w:r w:rsidRPr="001F352E">
        <w:t xml:space="preserve"> Adami Chazawi,  </w:t>
      </w:r>
      <w:r w:rsidRPr="001F352E">
        <w:rPr>
          <w:i/>
          <w:iCs/>
        </w:rPr>
        <w:t>Op.Cit</w:t>
      </w:r>
      <w:r w:rsidRPr="001F352E">
        <w:t xml:space="preserve">, h.57  </w:t>
      </w:r>
    </w:p>
  </w:footnote>
  <w:footnote w:id="32">
    <w:p w:rsidR="00F473B6" w:rsidRPr="001F352E" w:rsidRDefault="00F473B6" w:rsidP="00F473B6">
      <w:pPr>
        <w:pStyle w:val="FootnoteText"/>
        <w:ind w:firstLine="720"/>
        <w:jc w:val="both"/>
      </w:pPr>
      <w:r w:rsidRPr="001F352E">
        <w:rPr>
          <w:rStyle w:val="FootnoteReference"/>
        </w:rPr>
        <w:footnoteRef/>
      </w:r>
      <w:r w:rsidRPr="001F352E">
        <w:t xml:space="preserve">Frans Maramis, </w:t>
      </w:r>
      <w:r w:rsidRPr="001F352E">
        <w:rPr>
          <w:i/>
          <w:iCs/>
        </w:rPr>
        <w:t>Hukum Pidana Umum dan Tertulis Di Indonesia</w:t>
      </w:r>
      <w:r w:rsidRPr="001F352E">
        <w:t xml:space="preserve">, Rajawali Pers, Jakarta, 2013, h.58,  </w:t>
      </w:r>
    </w:p>
  </w:footnote>
  <w:footnote w:id="33">
    <w:p w:rsidR="00F473B6" w:rsidRPr="001F352E" w:rsidRDefault="00F473B6" w:rsidP="00F473B6">
      <w:pPr>
        <w:pStyle w:val="FootnoteText"/>
        <w:ind w:firstLine="720"/>
      </w:pPr>
      <w:r w:rsidRPr="001F352E">
        <w:rPr>
          <w:rStyle w:val="FootnoteReference"/>
        </w:rPr>
        <w:footnoteRef/>
      </w:r>
      <w:r w:rsidRPr="001F352E">
        <w:rPr>
          <w:i/>
        </w:rPr>
        <w:t>Ibid</w:t>
      </w:r>
      <w:r w:rsidRPr="001F352E">
        <w:t>, h.59.</w:t>
      </w:r>
    </w:p>
  </w:footnote>
  <w:footnote w:id="34">
    <w:p w:rsidR="00F473B6" w:rsidRPr="001F352E" w:rsidRDefault="00F473B6" w:rsidP="00F473B6">
      <w:pPr>
        <w:pStyle w:val="FootnoteText"/>
        <w:ind w:firstLine="720"/>
        <w:jc w:val="both"/>
      </w:pPr>
      <w:r w:rsidRPr="001F352E">
        <w:rPr>
          <w:rStyle w:val="FootnoteReference"/>
        </w:rPr>
        <w:footnoteRef/>
      </w:r>
      <w:r w:rsidRPr="001F352E">
        <w:t xml:space="preserve">Andi Zainal Abidin, </w:t>
      </w:r>
      <w:r w:rsidRPr="001F352E">
        <w:rPr>
          <w:i/>
          <w:iCs/>
        </w:rPr>
        <w:t>Asas-Asas Hukum Pidana Bagian Pertama</w:t>
      </w:r>
      <w:r w:rsidRPr="001F352E">
        <w:t xml:space="preserve">, Alumni, Bandung, 2017, h.72.  </w:t>
      </w:r>
    </w:p>
  </w:footnote>
  <w:footnote w:id="35">
    <w:p w:rsidR="00F473B6" w:rsidRPr="001F352E" w:rsidRDefault="00F473B6" w:rsidP="00F473B6">
      <w:pPr>
        <w:pStyle w:val="FootnoteText"/>
        <w:ind w:firstLine="720"/>
        <w:jc w:val="both"/>
      </w:pPr>
      <w:r w:rsidRPr="001F352E">
        <w:rPr>
          <w:rStyle w:val="FootnoteReference"/>
        </w:rPr>
        <w:footnoteRef/>
      </w:r>
      <w:r w:rsidRPr="001F352E">
        <w:t xml:space="preserve"> Moeljatno, </w:t>
      </w:r>
      <w:r w:rsidRPr="001F352E">
        <w:rPr>
          <w:i/>
        </w:rPr>
        <w:t>Op.Cit</w:t>
      </w:r>
      <w:r w:rsidRPr="001F352E">
        <w:t>, h.71</w:t>
      </w:r>
    </w:p>
  </w:footnote>
  <w:footnote w:id="36">
    <w:p w:rsidR="00F473B6" w:rsidRPr="001F352E" w:rsidRDefault="00F473B6" w:rsidP="00F473B6">
      <w:pPr>
        <w:pStyle w:val="FootnoteText"/>
        <w:ind w:firstLine="720"/>
        <w:jc w:val="both"/>
      </w:pPr>
      <w:r w:rsidRPr="001F352E">
        <w:rPr>
          <w:rStyle w:val="FootnoteReference"/>
        </w:rPr>
        <w:footnoteRef/>
      </w:r>
      <w:r w:rsidRPr="001F352E">
        <w:rPr>
          <w:i/>
        </w:rPr>
        <w:t>Ibid</w:t>
      </w:r>
      <w:r w:rsidRPr="001F352E">
        <w:t>, h.72</w:t>
      </w:r>
    </w:p>
  </w:footnote>
  <w:footnote w:id="37">
    <w:p w:rsidR="00F473B6" w:rsidRPr="001F352E" w:rsidRDefault="00F473B6" w:rsidP="00F473B6">
      <w:pPr>
        <w:pStyle w:val="FootnoteText"/>
        <w:ind w:firstLine="720"/>
        <w:jc w:val="both"/>
      </w:pPr>
      <w:r w:rsidRPr="001F352E">
        <w:rPr>
          <w:rStyle w:val="FootnoteReference"/>
        </w:rPr>
        <w:footnoteRef/>
      </w:r>
      <w:r w:rsidRPr="001F352E">
        <w:t xml:space="preserve"> Sudarto, </w:t>
      </w:r>
      <w:r w:rsidRPr="001F352E">
        <w:rPr>
          <w:i/>
        </w:rPr>
        <w:t>Op.Cit</w:t>
      </w:r>
      <w:r w:rsidRPr="001F352E">
        <w:t>, h.71</w:t>
      </w:r>
    </w:p>
  </w:footnote>
  <w:footnote w:id="38">
    <w:p w:rsidR="00F473B6" w:rsidRPr="001F352E" w:rsidRDefault="00F473B6" w:rsidP="00F473B6">
      <w:pPr>
        <w:pStyle w:val="FootnoteText"/>
        <w:ind w:firstLine="720"/>
      </w:pPr>
      <w:r w:rsidRPr="001F352E">
        <w:rPr>
          <w:rStyle w:val="FootnoteReference"/>
        </w:rPr>
        <w:footnoteRef/>
      </w:r>
      <w:r w:rsidRPr="001F352E">
        <w:t xml:space="preserve"> Hanafi Amrani dan Mahrus Ali, </w:t>
      </w:r>
      <w:r w:rsidRPr="001F352E">
        <w:rPr>
          <w:i/>
        </w:rPr>
        <w:t>Op.Cit</w:t>
      </w:r>
      <w:r w:rsidRPr="001F352E">
        <w:t>,h.27.</w:t>
      </w:r>
    </w:p>
  </w:footnote>
  <w:footnote w:id="39">
    <w:p w:rsidR="00F473B6" w:rsidRPr="001F352E" w:rsidRDefault="00F473B6" w:rsidP="00F473B6">
      <w:pPr>
        <w:pStyle w:val="FootnoteText"/>
        <w:ind w:firstLine="720"/>
      </w:pPr>
      <w:r w:rsidRPr="001F352E">
        <w:rPr>
          <w:rStyle w:val="FootnoteReference"/>
        </w:rPr>
        <w:footnoteRef/>
      </w:r>
      <w:r w:rsidRPr="001F352E">
        <w:rPr>
          <w:i/>
        </w:rPr>
        <w:t>Ibid</w:t>
      </w:r>
      <w:r w:rsidRPr="001F352E">
        <w:t>, h.28.</w:t>
      </w:r>
    </w:p>
  </w:footnote>
  <w:footnote w:id="40">
    <w:p w:rsidR="00F473B6" w:rsidRPr="001F352E" w:rsidRDefault="00F473B6" w:rsidP="00F473B6">
      <w:pPr>
        <w:pStyle w:val="FootnoteText"/>
        <w:ind w:firstLine="720"/>
      </w:pPr>
      <w:r w:rsidRPr="001F352E">
        <w:rPr>
          <w:rStyle w:val="FootnoteReference"/>
        </w:rPr>
        <w:footnoteRef/>
      </w:r>
      <w:r w:rsidRPr="001F352E">
        <w:t xml:space="preserve"> Chairul Huda, </w:t>
      </w:r>
      <w:r w:rsidRPr="001F352E">
        <w:rPr>
          <w:i/>
        </w:rPr>
        <w:t>Op.Cit</w:t>
      </w:r>
      <w:r w:rsidRPr="001F352E">
        <w:t>, h.172.</w:t>
      </w:r>
    </w:p>
  </w:footnote>
  <w:footnote w:id="41">
    <w:p w:rsidR="00F473B6" w:rsidRPr="001F352E" w:rsidRDefault="00F473B6" w:rsidP="00F473B6">
      <w:pPr>
        <w:pStyle w:val="FootnoteText"/>
        <w:ind w:firstLine="720"/>
      </w:pPr>
      <w:r w:rsidRPr="001F352E">
        <w:rPr>
          <w:rStyle w:val="FootnoteReference"/>
        </w:rPr>
        <w:footnoteRef/>
      </w:r>
      <w:r w:rsidRPr="001F352E">
        <w:rPr>
          <w:i/>
        </w:rPr>
        <w:t>Ibid</w:t>
      </w:r>
      <w:r w:rsidRPr="001F352E">
        <w:t>, h.173.</w:t>
      </w:r>
    </w:p>
  </w:footnote>
  <w:footnote w:id="42">
    <w:p w:rsidR="00F473B6" w:rsidRPr="001F352E" w:rsidRDefault="00F473B6" w:rsidP="00F473B6">
      <w:pPr>
        <w:pStyle w:val="FootnoteText"/>
        <w:ind w:firstLine="720"/>
        <w:jc w:val="both"/>
      </w:pPr>
      <w:r w:rsidRPr="001F352E">
        <w:rPr>
          <w:rStyle w:val="FootnoteReference"/>
        </w:rPr>
        <w:footnoteRef/>
      </w:r>
      <w:r w:rsidRPr="001F352E">
        <w:t xml:space="preserve">Martiman Prodjohamidjodjo, </w:t>
      </w:r>
      <w:r w:rsidRPr="001F352E">
        <w:rPr>
          <w:i/>
          <w:iCs/>
        </w:rPr>
        <w:t>Memahami Dasar-Dasar Hukum Pidana Indoensia</w:t>
      </w:r>
      <w:r w:rsidRPr="001F352E">
        <w:t>, Paradnya Paramita, Jakarta, 2006, h.  32</w:t>
      </w:r>
    </w:p>
  </w:footnote>
  <w:footnote w:id="43">
    <w:p w:rsidR="00F473B6" w:rsidRDefault="00F473B6" w:rsidP="00F473B6">
      <w:pPr>
        <w:pStyle w:val="FootnoteText"/>
      </w:pPr>
      <w:r>
        <w:tab/>
      </w:r>
      <w:r>
        <w:rPr>
          <w:rStyle w:val="FootnoteReference"/>
        </w:rPr>
        <w:footnoteRef/>
      </w:r>
      <w:bookmarkStart w:id="6" w:name="_Hlk177319418"/>
      <w:r>
        <w:t xml:space="preserve">Notodisoerjo, </w:t>
      </w:r>
      <w:r>
        <w:rPr>
          <w:i/>
          <w:iCs/>
        </w:rPr>
        <w:t>Hukum Notaris Di Indonesia (suatu pengantar)</w:t>
      </w:r>
      <w:r>
        <w:t>, Rajawali Pers, Jakarta, 2018</w:t>
      </w:r>
      <w:bookmarkEnd w:id="6"/>
      <w:r>
        <w:t xml:space="preserve">, h.229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0EF" w:rsidRDefault="007840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0EF" w:rsidRPr="00384E27" w:rsidRDefault="007840EF" w:rsidP="007840EF">
    <w:pPr>
      <w:pStyle w:val="Header"/>
      <w:jc w:val="right"/>
      <w:rPr>
        <w:lang w:val="id-ID"/>
      </w:rPr>
    </w:pPr>
    <w:r>
      <w:rPr>
        <w:lang w:val="id-ID"/>
      </w:rPr>
      <w:t>PUBLISH: 21/11/2025 10:13:43</w:t>
    </w:r>
  </w:p>
  <w:p w:rsidR="00AA1EAE" w:rsidRDefault="00D706A2">
    <w:pPr>
      <w:pStyle w:val="Header"/>
      <w:jc w:val="right"/>
    </w:pPr>
  </w:p>
  <w:p w:rsidR="00AA1EAE" w:rsidRPr="007E1322" w:rsidRDefault="00223D43" w:rsidP="009512D3">
    <w:pPr>
      <w:tabs>
        <w:tab w:val="left" w:pos="2700"/>
        <w:tab w:val="center" w:pos="4308"/>
      </w:tabs>
      <w:spacing w:line="360" w:lineRule="auto"/>
      <w:ind w:right="-680"/>
      <w:rPr>
        <w:b/>
        <w:color w:val="00B050"/>
        <w:sz w:val="28"/>
      </w:rPr>
    </w:pPr>
    <w:r>
      <w:rPr>
        <w:b/>
        <w:color w:val="00B050"/>
      </w:rPr>
      <w:tab/>
    </w:r>
    <w:r>
      <w:rPr>
        <w:b/>
        <w:color w:val="00B050"/>
      </w:rPr>
      <w:tab/>
    </w:r>
  </w:p>
  <w:p w:rsidR="00AA1EAE" w:rsidRDefault="00223D43">
    <w:pPr>
      <w:pStyle w:val="Header"/>
    </w:pPr>
    <w:r>
      <w:rPr>
        <w:noProof/>
        <w:lang w:val="id-ID" w:eastAsia="id-ID"/>
      </w:rPr>
      <w:drawing>
        <wp:anchor distT="0" distB="0" distL="114300" distR="114300" simplePos="0" relativeHeight="251660288" behindDoc="1" locked="0" layoutInCell="1" allowOverlap="1">
          <wp:simplePos x="0" y="0"/>
          <wp:positionH relativeFrom="column">
            <wp:posOffset>54610</wp:posOffset>
          </wp:positionH>
          <wp:positionV relativeFrom="paragraph">
            <wp:posOffset>2475865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0EF" w:rsidRDefault="007840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6D24"/>
    <w:multiLevelType w:val="hybridMultilevel"/>
    <w:tmpl w:val="021AF5DE"/>
    <w:lvl w:ilvl="0" w:tplc="F294DD7A">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621E20"/>
    <w:multiLevelType w:val="hybridMultilevel"/>
    <w:tmpl w:val="87B82640"/>
    <w:lvl w:ilvl="0" w:tplc="B198C71E">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345491"/>
    <w:multiLevelType w:val="hybridMultilevel"/>
    <w:tmpl w:val="9E20CBD4"/>
    <w:lvl w:ilvl="0" w:tplc="FD2C27F2">
      <w:start w:val="1"/>
      <w:numFmt w:val="decimal"/>
      <w:lvlText w:val="%1)"/>
      <w:lvlJc w:val="left"/>
      <w:pPr>
        <w:ind w:left="720" w:hanging="360"/>
      </w:pPr>
      <w:rPr>
        <w:rFonts w:ascii="Times New Roman" w:eastAsia="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443A29"/>
    <w:multiLevelType w:val="hybridMultilevel"/>
    <w:tmpl w:val="12D6DBC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81C1656"/>
    <w:multiLevelType w:val="hybridMultilevel"/>
    <w:tmpl w:val="8DC8982C"/>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ind w:left="1455" w:hanging="375"/>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20D0A75"/>
    <w:multiLevelType w:val="hybridMultilevel"/>
    <w:tmpl w:val="E3B06968"/>
    <w:lvl w:ilvl="0" w:tplc="5768944A">
      <w:start w:val="1"/>
      <w:numFmt w:val="lowerLetter"/>
      <w:lvlText w:val="%1."/>
      <w:lvlJc w:val="left"/>
      <w:pPr>
        <w:ind w:left="720" w:hanging="360"/>
      </w:pPr>
      <w:rPr>
        <w:rFonts w:hint="default"/>
        <w:sz w:val="23"/>
      </w:rPr>
    </w:lvl>
    <w:lvl w:ilvl="1" w:tplc="04090019">
      <w:start w:val="1"/>
      <w:numFmt w:val="decimal"/>
      <w:lvlText w:val="%2."/>
      <w:lvlJc w:val="left"/>
      <w:pPr>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908C0"/>
    <w:multiLevelType w:val="hybridMultilevel"/>
    <w:tmpl w:val="191C929A"/>
    <w:lvl w:ilvl="0" w:tplc="D664435A">
      <w:start w:val="1"/>
      <w:numFmt w:val="decimal"/>
      <w:lvlText w:val="%1)"/>
      <w:lvlJc w:val="left"/>
      <w:pPr>
        <w:tabs>
          <w:tab w:val="num" w:pos="734"/>
        </w:tabs>
        <w:ind w:left="734" w:hanging="360"/>
      </w:pPr>
      <w:rPr>
        <w:rFonts w:hint="default"/>
      </w:rPr>
    </w:lvl>
    <w:lvl w:ilvl="1" w:tplc="BC988636">
      <w:start w:val="1"/>
      <w:numFmt w:val="upperLetter"/>
      <w:lvlText w:val="%2."/>
      <w:lvlJc w:val="left"/>
      <w:pPr>
        <w:tabs>
          <w:tab w:val="num" w:pos="1454"/>
        </w:tabs>
        <w:ind w:left="1454" w:hanging="360"/>
      </w:pPr>
      <w:rPr>
        <w:rFonts w:hint="default"/>
      </w:rPr>
    </w:lvl>
    <w:lvl w:ilvl="2" w:tplc="0409001B">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7">
    <w:nsid w:val="2A98414F"/>
    <w:multiLevelType w:val="hybridMultilevel"/>
    <w:tmpl w:val="46CC77A2"/>
    <w:lvl w:ilvl="0" w:tplc="BE880DE0">
      <w:start w:val="1"/>
      <w:numFmt w:val="lowerLetter"/>
      <w:lvlText w:val="%1."/>
      <w:lvlJc w:val="left"/>
      <w:pPr>
        <w:ind w:left="1500" w:hanging="360"/>
      </w:pPr>
      <w:rPr>
        <w:rFonts w:ascii="Times New Roman" w:eastAsia="Times New Roman" w:hAnsi="Times New Roman" w:cs="Times New Roman" w:hint="default"/>
      </w:rPr>
    </w:lvl>
    <w:lvl w:ilvl="1" w:tplc="04210019">
      <w:start w:val="1"/>
      <w:numFmt w:val="lowerLetter"/>
      <w:lvlText w:val="%2."/>
      <w:lvlJc w:val="left"/>
      <w:pPr>
        <w:ind w:left="2220" w:hanging="360"/>
      </w:pPr>
    </w:lvl>
    <w:lvl w:ilvl="2" w:tplc="33D4C78A">
      <w:start w:val="1"/>
      <w:numFmt w:val="decimal"/>
      <w:lvlText w:val="%3)"/>
      <w:lvlJc w:val="left"/>
      <w:pPr>
        <w:ind w:left="3120" w:hanging="360"/>
      </w:pPr>
      <w:rPr>
        <w:rFonts w:hint="default"/>
      </w:rPr>
    </w:lvl>
    <w:lvl w:ilvl="3" w:tplc="1DA48992">
      <w:start w:val="1"/>
      <w:numFmt w:val="lowerLetter"/>
      <w:lvlText w:val="%4."/>
      <w:lvlJc w:val="left"/>
      <w:pPr>
        <w:ind w:left="3660" w:hanging="360"/>
      </w:pPr>
      <w:rPr>
        <w:rFonts w:ascii="Times New Roman" w:eastAsia="Times New Roman" w:hAnsi="Times New Roman" w:cs="Times New Roman"/>
      </w:r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8">
    <w:nsid w:val="3BE33DC8"/>
    <w:multiLevelType w:val="hybridMultilevel"/>
    <w:tmpl w:val="87BA5590"/>
    <w:lvl w:ilvl="0" w:tplc="083C284A">
      <w:start w:val="1"/>
      <w:numFmt w:val="lowerLetter"/>
      <w:lvlText w:val="%1."/>
      <w:lvlJc w:val="left"/>
      <w:pPr>
        <w:ind w:left="720" w:hanging="360"/>
      </w:pPr>
      <w:rPr>
        <w:rFonts w:ascii="Times New Roman" w:eastAsia="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F732A0"/>
    <w:multiLevelType w:val="hybridMultilevel"/>
    <w:tmpl w:val="B05C2DA4"/>
    <w:lvl w:ilvl="0" w:tplc="65DAB5D0">
      <w:start w:val="1"/>
      <w:numFmt w:val="decimal"/>
      <w:lvlText w:val="%1)"/>
      <w:lvlJc w:val="left"/>
      <w:pPr>
        <w:ind w:left="720" w:hanging="360"/>
      </w:pPr>
      <w:rPr>
        <w:rFonts w:ascii="Times New Roman" w:eastAsia="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DA1DC2"/>
    <w:multiLevelType w:val="hybridMultilevel"/>
    <w:tmpl w:val="E2800DE2"/>
    <w:lvl w:ilvl="0" w:tplc="9FB46354">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7307EE"/>
    <w:multiLevelType w:val="hybridMultilevel"/>
    <w:tmpl w:val="C3E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063675"/>
    <w:multiLevelType w:val="hybridMultilevel"/>
    <w:tmpl w:val="54A23EAE"/>
    <w:lvl w:ilvl="0" w:tplc="04C4185E">
      <w:start w:val="1"/>
      <w:numFmt w:val="decimal"/>
      <w:lvlText w:val="%1)"/>
      <w:lvlJc w:val="left"/>
      <w:pPr>
        <w:tabs>
          <w:tab w:val="num" w:pos="720"/>
        </w:tabs>
        <w:ind w:left="720" w:hanging="360"/>
      </w:pPr>
      <w:rPr>
        <w:rFonts w:ascii="Times New Roman" w:eastAsia="Times New Roman" w:hAnsi="Times New Roman" w:cs="Times New Roman" w:hint="default"/>
      </w:rPr>
    </w:lvl>
    <w:lvl w:ilvl="1" w:tplc="2F264B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0568F1"/>
    <w:multiLevelType w:val="hybridMultilevel"/>
    <w:tmpl w:val="F4D8A452"/>
    <w:lvl w:ilvl="0" w:tplc="993E78BE">
      <w:start w:val="1"/>
      <w:numFmt w:val="lowerLetter"/>
      <w:lvlText w:val="%1."/>
      <w:lvlJc w:val="left"/>
      <w:pPr>
        <w:ind w:left="4680" w:hanging="360"/>
      </w:pPr>
      <w:rPr>
        <w:rFonts w:hint="default"/>
      </w:rPr>
    </w:lvl>
    <w:lvl w:ilvl="1" w:tplc="716A6256">
      <w:start w:val="1"/>
      <w:numFmt w:val="decimal"/>
      <w:lvlText w:val="(%2)"/>
      <w:lvlJc w:val="left"/>
      <w:pPr>
        <w:ind w:left="5400" w:hanging="360"/>
      </w:pPr>
      <w:rPr>
        <w:rFonts w:ascii="Times New Roman" w:hAnsi="Times New Roman" w:cs="Times New Roman" w:hint="default"/>
      </w:rPr>
    </w:lvl>
    <w:lvl w:ilvl="2" w:tplc="0409001B">
      <w:start w:val="1"/>
      <w:numFmt w:val="lowerRoman"/>
      <w:lvlText w:val="%3."/>
      <w:lvlJc w:val="right"/>
      <w:pPr>
        <w:ind w:left="6120" w:hanging="180"/>
      </w:pPr>
    </w:lvl>
    <w:lvl w:ilvl="3" w:tplc="5E462724">
      <w:start w:val="1"/>
      <w:numFmt w:val="decimal"/>
      <w:lvlText w:val="%4)"/>
      <w:lvlJc w:val="left"/>
      <w:pPr>
        <w:ind w:left="6840" w:hanging="360"/>
      </w:pPr>
      <w:rPr>
        <w:rFonts w:hint="default"/>
      </w:rPr>
    </w:lvl>
    <w:lvl w:ilvl="4" w:tplc="28E2BF64">
      <w:start w:val="1"/>
      <w:numFmt w:val="lowerLetter"/>
      <w:lvlText w:val="%5)"/>
      <w:lvlJc w:val="left"/>
      <w:pPr>
        <w:ind w:left="7560" w:hanging="360"/>
      </w:pPr>
      <w:rPr>
        <w:rFonts w:hint="default"/>
      </w:rPr>
    </w:lvl>
    <w:lvl w:ilvl="5" w:tplc="0409001B">
      <w:start w:val="1"/>
      <w:numFmt w:val="lowerRoman"/>
      <w:lvlText w:val="%6."/>
      <w:lvlJc w:val="right"/>
      <w:pPr>
        <w:ind w:left="8280" w:hanging="180"/>
      </w:pPr>
    </w:lvl>
    <w:lvl w:ilvl="6" w:tplc="4B36CB50">
      <w:start w:val="1"/>
      <w:numFmt w:val="lowerLetter"/>
      <w:lvlText w:val="%7."/>
      <w:lvlJc w:val="left"/>
      <w:pPr>
        <w:ind w:left="9000" w:hanging="360"/>
      </w:pPr>
      <w:rPr>
        <w:rFonts w:ascii="Times New Roman" w:eastAsia="Times New Roman" w:hAnsi="Times New Roman" w:cs="Times New Roman" w:hint="default"/>
      </w:r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4">
    <w:nsid w:val="4D3D7227"/>
    <w:multiLevelType w:val="hybridMultilevel"/>
    <w:tmpl w:val="C66A56F2"/>
    <w:lvl w:ilvl="0" w:tplc="EB547C10">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2A25625"/>
    <w:multiLevelType w:val="hybridMultilevel"/>
    <w:tmpl w:val="9096627C"/>
    <w:lvl w:ilvl="0" w:tplc="0409000F">
      <w:start w:val="1"/>
      <w:numFmt w:val="decimal"/>
      <w:lvlText w:val="%1."/>
      <w:lvlJc w:val="left"/>
      <w:pPr>
        <w:tabs>
          <w:tab w:val="num" w:pos="360"/>
        </w:tabs>
        <w:ind w:left="360" w:hanging="360"/>
      </w:pPr>
    </w:lvl>
    <w:lvl w:ilvl="1" w:tplc="04090019">
      <w:start w:val="2"/>
      <w:numFmt w:val="upperLetter"/>
      <w:lvlText w:val="%2."/>
      <w:lvlJc w:val="left"/>
      <w:pPr>
        <w:tabs>
          <w:tab w:val="num" w:pos="1080"/>
        </w:tabs>
        <w:ind w:left="1080" w:hanging="360"/>
      </w:pPr>
      <w:rPr>
        <w:rFonts w:hint="default"/>
      </w:r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B574AC7A">
      <w:start w:val="1"/>
      <w:numFmt w:val="lowerLetter"/>
      <w:lvlText w:val="%8."/>
      <w:lvlJc w:val="left"/>
      <w:pPr>
        <w:tabs>
          <w:tab w:val="num" w:pos="5400"/>
        </w:tabs>
        <w:ind w:left="5400" w:hanging="360"/>
      </w:pPr>
      <w:rPr>
        <w:rFonts w:ascii="Times New Roman" w:eastAsia="Times New Roman" w:hAnsi="Times New Roman" w:cs="Times New Roman" w:hint="default"/>
      </w:rPr>
    </w:lvl>
    <w:lvl w:ilvl="8" w:tplc="0409001B">
      <w:start w:val="1"/>
      <w:numFmt w:val="lowerRoman"/>
      <w:lvlText w:val="%9."/>
      <w:lvlJc w:val="right"/>
      <w:pPr>
        <w:tabs>
          <w:tab w:val="num" w:pos="6120"/>
        </w:tabs>
        <w:ind w:left="6120" w:hanging="180"/>
      </w:pPr>
    </w:lvl>
  </w:abstractNum>
  <w:abstractNum w:abstractNumId="16">
    <w:nsid w:val="54505A9B"/>
    <w:multiLevelType w:val="hybridMultilevel"/>
    <w:tmpl w:val="C0E83330"/>
    <w:lvl w:ilvl="0" w:tplc="0464F12C">
      <w:start w:val="1"/>
      <w:numFmt w:val="decimal"/>
      <w:lvlText w:val="%1."/>
      <w:lvlJc w:val="left"/>
      <w:pPr>
        <w:tabs>
          <w:tab w:val="num" w:pos="3600"/>
        </w:tabs>
        <w:ind w:left="3600" w:hanging="360"/>
      </w:pPr>
      <w:rPr>
        <w:rFonts w:hint="default"/>
      </w:rPr>
    </w:lvl>
    <w:lvl w:ilvl="1" w:tplc="252A04A2">
      <w:start w:val="1"/>
      <w:numFmt w:val="decimal"/>
      <w:lvlText w:val="(%2)"/>
      <w:lvlJc w:val="left"/>
      <w:pPr>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C66BAF"/>
    <w:multiLevelType w:val="hybridMultilevel"/>
    <w:tmpl w:val="3184EE3A"/>
    <w:lvl w:ilvl="0" w:tplc="0464F12C">
      <w:start w:val="1"/>
      <w:numFmt w:val="decimal"/>
      <w:lvlText w:val="%1."/>
      <w:lvlJc w:val="left"/>
      <w:pPr>
        <w:tabs>
          <w:tab w:val="num" w:pos="720"/>
        </w:tabs>
        <w:ind w:left="720" w:hanging="360"/>
      </w:pPr>
      <w:rPr>
        <w:rFonts w:cs="Times New Roman"/>
      </w:rPr>
    </w:lvl>
    <w:lvl w:ilvl="1" w:tplc="04090019">
      <w:start w:val="1"/>
      <w:numFmt w:val="upp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57D67D0E"/>
    <w:multiLevelType w:val="multilevel"/>
    <w:tmpl w:val="AE265DA4"/>
    <w:lvl w:ilvl="0">
      <w:start w:val="1"/>
      <w:numFmt w:val="lowerLetter"/>
      <w:lvlText w:val="%1."/>
      <w:lvlJc w:val="left"/>
      <w:pPr>
        <w:tabs>
          <w:tab w:val="num" w:pos="1069"/>
        </w:tabs>
        <w:ind w:left="1069"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3B56A52"/>
    <w:multiLevelType w:val="multilevel"/>
    <w:tmpl w:val="5336946C"/>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b w:val="0"/>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05D7529"/>
    <w:multiLevelType w:val="multilevel"/>
    <w:tmpl w:val="91BA39C2"/>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rPr>
        <w:rFonts w:ascii="Times New Roman" w:eastAsia="Times New Roman" w:hAnsi="Times New Roman" w:cs="Times New Roman" w:hint="default"/>
      </w:rPr>
    </w:lvl>
    <w:lvl w:ilvl="8">
      <w:start w:val="1"/>
      <w:numFmt w:val="lowerRoman"/>
      <w:lvlText w:val="%9."/>
      <w:lvlJc w:val="right"/>
      <w:pPr>
        <w:tabs>
          <w:tab w:val="num" w:pos="6480"/>
        </w:tabs>
        <w:ind w:left="6480" w:hanging="180"/>
      </w:pPr>
    </w:lvl>
  </w:abstractNum>
  <w:abstractNum w:abstractNumId="21">
    <w:nsid w:val="71AE5E81"/>
    <w:multiLevelType w:val="hybridMultilevel"/>
    <w:tmpl w:val="804C6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F03A59"/>
    <w:multiLevelType w:val="hybridMultilevel"/>
    <w:tmpl w:val="596C0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64A4561"/>
    <w:multiLevelType w:val="hybridMultilevel"/>
    <w:tmpl w:val="4F2CDE38"/>
    <w:lvl w:ilvl="0" w:tplc="0409000F">
      <w:start w:val="1"/>
      <w:numFmt w:val="lowerLetter"/>
      <w:lvlText w:val="%1."/>
      <w:lvlJc w:val="left"/>
      <w:pPr>
        <w:tabs>
          <w:tab w:val="num" w:pos="720"/>
        </w:tabs>
        <w:ind w:left="720" w:hanging="360"/>
      </w:pPr>
      <w:rPr>
        <w:rFonts w:hint="default"/>
      </w:rPr>
    </w:lvl>
    <w:lvl w:ilvl="1" w:tplc="2F3C6432">
      <w:start w:val="1"/>
      <w:numFmt w:val="lowerLetter"/>
      <w:lvlText w:val="%2."/>
      <w:lvlJc w:val="left"/>
      <w:pPr>
        <w:tabs>
          <w:tab w:val="num" w:pos="1440"/>
        </w:tabs>
        <w:ind w:left="1440" w:hanging="360"/>
      </w:pPr>
      <w:rPr>
        <w:rFonts w:hint="default"/>
      </w:rPr>
    </w:lvl>
    <w:lvl w:ilvl="2" w:tplc="BB4CDFB4">
      <w:start w:val="1"/>
      <w:numFmt w:val="upperLetter"/>
      <w:lvlText w:val="%3."/>
      <w:lvlJc w:val="left"/>
      <w:pPr>
        <w:ind w:left="2340" w:hanging="360"/>
      </w:pPr>
      <w:rPr>
        <w:rFonts w:hint="default"/>
      </w:rPr>
    </w:lvl>
    <w:lvl w:ilvl="3" w:tplc="A9222ADC"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F3269808"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6323BD"/>
    <w:multiLevelType w:val="hybridMultilevel"/>
    <w:tmpl w:val="9ED8474E"/>
    <w:lvl w:ilvl="0" w:tplc="0409000F">
      <w:start w:val="1"/>
      <w:numFmt w:val="decimal"/>
      <w:lvlText w:val="%1)"/>
      <w:lvlJc w:val="left"/>
      <w:pPr>
        <w:ind w:left="1080" w:hanging="360"/>
      </w:pPr>
      <w:rPr>
        <w:rFonts w:hint="default"/>
        <w:sz w:val="23"/>
      </w:rPr>
    </w:lvl>
    <w:lvl w:ilvl="1" w:tplc="04090019">
      <w:start w:val="1"/>
      <w:numFmt w:val="decimal"/>
      <w:lvlText w:val="%2."/>
      <w:lvlJc w:val="left"/>
      <w:pPr>
        <w:ind w:left="1815" w:hanging="375"/>
      </w:pPr>
      <w:rPr>
        <w:rFonts w:hint="default"/>
      </w:rPr>
    </w:lvl>
    <w:lvl w:ilvl="2" w:tplc="0409001B">
      <w:start w:val="1"/>
      <w:numFmt w:val="decimal"/>
      <w:lvlText w:val="(%3)"/>
      <w:lvlJc w:val="left"/>
      <w:pPr>
        <w:ind w:left="2715" w:hanging="375"/>
      </w:pPr>
      <w:rPr>
        <w:rFonts w:hint="default"/>
      </w:rPr>
    </w:lvl>
    <w:lvl w:ilvl="3" w:tplc="0409000F">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ED2211"/>
    <w:multiLevelType w:val="hybridMultilevel"/>
    <w:tmpl w:val="2236F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BA6983"/>
    <w:multiLevelType w:val="hybridMultilevel"/>
    <w:tmpl w:val="86865BFE"/>
    <w:lvl w:ilvl="0" w:tplc="764A57B2">
      <w:start w:val="1"/>
      <w:numFmt w:val="lowerLetter"/>
      <w:lvlText w:val="%1."/>
      <w:lvlJc w:val="left"/>
      <w:pPr>
        <w:ind w:left="720" w:hanging="360"/>
      </w:pPr>
      <w:rPr>
        <w:rFonts w:ascii="Times New Roman" w:eastAsia="Times New Roman" w:hAnsi="Times New Roman" w:cs="Times New Roman" w:hint="default"/>
        <w:sz w:val="24"/>
        <w:szCs w:val="24"/>
      </w:rPr>
    </w:lvl>
    <w:lvl w:ilvl="1" w:tplc="55E46190" w:tentative="1">
      <w:start w:val="1"/>
      <w:numFmt w:val="lowerLetter"/>
      <w:lvlText w:val="%2."/>
      <w:lvlJc w:val="left"/>
      <w:pPr>
        <w:ind w:left="1440" w:hanging="360"/>
      </w:pPr>
    </w:lvl>
    <w:lvl w:ilvl="2" w:tplc="597683C6" w:tentative="1">
      <w:start w:val="1"/>
      <w:numFmt w:val="lowerRoman"/>
      <w:lvlText w:val="%3."/>
      <w:lvlJc w:val="right"/>
      <w:pPr>
        <w:ind w:left="2160" w:hanging="180"/>
      </w:pPr>
    </w:lvl>
    <w:lvl w:ilvl="3" w:tplc="BFF812EC" w:tentative="1">
      <w:start w:val="1"/>
      <w:numFmt w:val="decimal"/>
      <w:lvlText w:val="%4."/>
      <w:lvlJc w:val="left"/>
      <w:pPr>
        <w:ind w:left="2880" w:hanging="360"/>
      </w:pPr>
    </w:lvl>
    <w:lvl w:ilvl="4" w:tplc="6368EA6E" w:tentative="1">
      <w:start w:val="1"/>
      <w:numFmt w:val="lowerLetter"/>
      <w:lvlText w:val="%5."/>
      <w:lvlJc w:val="left"/>
      <w:pPr>
        <w:ind w:left="3600" w:hanging="360"/>
      </w:pPr>
    </w:lvl>
    <w:lvl w:ilvl="5" w:tplc="2F901E58" w:tentative="1">
      <w:start w:val="1"/>
      <w:numFmt w:val="lowerRoman"/>
      <w:lvlText w:val="%6."/>
      <w:lvlJc w:val="right"/>
      <w:pPr>
        <w:ind w:left="4320" w:hanging="180"/>
      </w:pPr>
    </w:lvl>
    <w:lvl w:ilvl="6" w:tplc="5EC65086" w:tentative="1">
      <w:start w:val="1"/>
      <w:numFmt w:val="decimal"/>
      <w:lvlText w:val="%7."/>
      <w:lvlJc w:val="left"/>
      <w:pPr>
        <w:ind w:left="5040" w:hanging="360"/>
      </w:pPr>
    </w:lvl>
    <w:lvl w:ilvl="7" w:tplc="AD30B37E" w:tentative="1">
      <w:start w:val="1"/>
      <w:numFmt w:val="lowerLetter"/>
      <w:lvlText w:val="%8."/>
      <w:lvlJc w:val="left"/>
      <w:pPr>
        <w:ind w:left="5760" w:hanging="360"/>
      </w:pPr>
    </w:lvl>
    <w:lvl w:ilvl="8" w:tplc="7382E4CA" w:tentative="1">
      <w:start w:val="1"/>
      <w:numFmt w:val="lowerRoman"/>
      <w:lvlText w:val="%9."/>
      <w:lvlJc w:val="right"/>
      <w:pPr>
        <w:ind w:left="6480" w:hanging="180"/>
      </w:pPr>
    </w:lvl>
  </w:abstractNum>
  <w:num w:numId="1">
    <w:abstractNumId w:val="7"/>
  </w:num>
  <w:num w:numId="2">
    <w:abstractNumId w:va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3"/>
  </w:num>
  <w:num w:numId="6">
    <w:abstractNumId w:val="21"/>
  </w:num>
  <w:num w:numId="7">
    <w:abstractNumId w:val="11"/>
  </w:num>
  <w:num w:numId="8">
    <w:abstractNumId w:val="25"/>
  </w:num>
  <w:num w:numId="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12"/>
  </w:num>
  <w:num w:numId="14">
    <w:abstractNumId w:val="6"/>
  </w:num>
  <w:num w:numId="15">
    <w:abstractNumId w:val="9"/>
  </w:num>
  <w:num w:numId="16">
    <w:abstractNumId w:val="14"/>
  </w:num>
  <w:num w:numId="17">
    <w:abstractNumId w:val="2"/>
  </w:num>
  <w:num w:numId="18">
    <w:abstractNumId w:val="10"/>
  </w:num>
  <w:num w:numId="19">
    <w:abstractNumId w:val="2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5"/>
  </w:num>
  <w:num w:numId="24">
    <w:abstractNumId w:val="24"/>
  </w:num>
  <w:num w:numId="25">
    <w:abstractNumId w:val="4"/>
  </w:num>
  <w:num w:numId="26">
    <w:abstractNumId w:val="3"/>
  </w:num>
  <w:num w:numId="27">
    <w:abstractNumId w:val="2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GqSK3zKF5ccdk27q/lBIe7QlJB8=" w:salt="24R1RbRaA3Ht59FjChbM0A=="/>
  <w:defaultTabStop w:val="720"/>
  <w:characterSpacingControl w:val="doNotCompress"/>
  <w:footnotePr>
    <w:footnote w:id="0"/>
    <w:footnote w:id="1"/>
  </w:footnotePr>
  <w:endnotePr>
    <w:endnote w:id="0"/>
    <w:endnote w:id="1"/>
  </w:endnotePr>
  <w:compat/>
  <w:rsids>
    <w:rsidRoot w:val="003A3CAE"/>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81DA4"/>
    <w:rsid w:val="001930D2"/>
    <w:rsid w:val="001A7A65"/>
    <w:rsid w:val="001C4327"/>
    <w:rsid w:val="001C6FC3"/>
    <w:rsid w:val="001E12D4"/>
    <w:rsid w:val="001E76DC"/>
    <w:rsid w:val="00206B40"/>
    <w:rsid w:val="002124AE"/>
    <w:rsid w:val="00214FD9"/>
    <w:rsid w:val="002159EF"/>
    <w:rsid w:val="002225F3"/>
    <w:rsid w:val="00223D4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3A3CAE"/>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E49F1"/>
    <w:rsid w:val="006E69C9"/>
    <w:rsid w:val="006F51A0"/>
    <w:rsid w:val="00711826"/>
    <w:rsid w:val="00714979"/>
    <w:rsid w:val="00733A0C"/>
    <w:rsid w:val="00734419"/>
    <w:rsid w:val="00735230"/>
    <w:rsid w:val="007454FC"/>
    <w:rsid w:val="0075069E"/>
    <w:rsid w:val="00756A74"/>
    <w:rsid w:val="00782808"/>
    <w:rsid w:val="007840EF"/>
    <w:rsid w:val="00791E4D"/>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706A2"/>
    <w:rsid w:val="00D869A0"/>
    <w:rsid w:val="00DB10A7"/>
    <w:rsid w:val="00DE62D3"/>
    <w:rsid w:val="00DF25BA"/>
    <w:rsid w:val="00E05F2F"/>
    <w:rsid w:val="00E06D0C"/>
    <w:rsid w:val="00E404DB"/>
    <w:rsid w:val="00E41A41"/>
    <w:rsid w:val="00E50A01"/>
    <w:rsid w:val="00E55B35"/>
    <w:rsid w:val="00E7137E"/>
    <w:rsid w:val="00E71C74"/>
    <w:rsid w:val="00EC30B4"/>
    <w:rsid w:val="00ED7EDB"/>
    <w:rsid w:val="00EE1013"/>
    <w:rsid w:val="00F31FB4"/>
    <w:rsid w:val="00F4661B"/>
    <w:rsid w:val="00F473B6"/>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EDB"/>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ED7EDB"/>
    <w:pPr>
      <w:keepNext/>
      <w:ind w:left="720" w:hanging="360"/>
      <w:outlineLvl w:val="1"/>
    </w:pPr>
    <w:rPr>
      <w:rFonts w:ascii="Bookman Old Style" w:hAnsi="Bookman Old Style"/>
      <w:b/>
      <w:szCs w:val="20"/>
    </w:rPr>
  </w:style>
  <w:style w:type="paragraph" w:styleId="Heading3">
    <w:name w:val="heading 3"/>
    <w:basedOn w:val="Normal"/>
    <w:next w:val="Normal"/>
    <w:link w:val="Heading3Char"/>
    <w:qFormat/>
    <w:rsid w:val="00ED7EDB"/>
    <w:pPr>
      <w:keepNext/>
      <w:tabs>
        <w:tab w:val="left" w:pos="993"/>
        <w:tab w:val="left" w:pos="1418"/>
        <w:tab w:val="left" w:pos="1701"/>
        <w:tab w:val="num" w:pos="1856"/>
      </w:tabs>
      <w:spacing w:line="480" w:lineRule="auto"/>
      <w:ind w:left="1856" w:hanging="360"/>
      <w:jc w:val="both"/>
      <w:outlineLvl w:val="2"/>
    </w:pPr>
    <w:rPr>
      <w:rFonts w:ascii="Bookman Old Style" w:hAnsi="Bookman Old Styl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CAE"/>
    <w:pPr>
      <w:tabs>
        <w:tab w:val="center" w:pos="4320"/>
        <w:tab w:val="right" w:pos="8640"/>
      </w:tabs>
    </w:pPr>
  </w:style>
  <w:style w:type="character" w:customStyle="1" w:styleId="FooterChar">
    <w:name w:val="Footer Char"/>
    <w:basedOn w:val="DefaultParagraphFont"/>
    <w:link w:val="Footer"/>
    <w:uiPriority w:val="99"/>
    <w:rsid w:val="003A3CAE"/>
    <w:rPr>
      <w:rFonts w:ascii="Times New Roman" w:eastAsia="Times New Roman" w:hAnsi="Times New Roman" w:cs="Times New Roman"/>
      <w:sz w:val="24"/>
      <w:szCs w:val="24"/>
    </w:rPr>
  </w:style>
  <w:style w:type="paragraph" w:styleId="Header">
    <w:name w:val="header"/>
    <w:basedOn w:val="Normal"/>
    <w:link w:val="HeaderChar"/>
    <w:uiPriority w:val="99"/>
    <w:rsid w:val="003A3CAE"/>
    <w:pPr>
      <w:tabs>
        <w:tab w:val="center" w:pos="4320"/>
        <w:tab w:val="right" w:pos="8640"/>
      </w:tabs>
    </w:pPr>
  </w:style>
  <w:style w:type="character" w:customStyle="1" w:styleId="HeaderChar">
    <w:name w:val="Header Char"/>
    <w:basedOn w:val="DefaultParagraphFont"/>
    <w:link w:val="Header"/>
    <w:uiPriority w:val="99"/>
    <w:rsid w:val="003A3CAE"/>
    <w:rPr>
      <w:rFonts w:ascii="Times New Roman" w:eastAsia="Times New Roman" w:hAnsi="Times New Roman" w:cs="Times New Roman"/>
      <w:sz w:val="24"/>
      <w:szCs w:val="24"/>
    </w:rPr>
  </w:style>
  <w:style w:type="paragraph" w:customStyle="1" w:styleId="Default">
    <w:name w:val="Default"/>
    <w:rsid w:val="00791E4D"/>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ListParagraph">
    <w:name w:val="List Paragraph"/>
    <w:aliases w:val="Body Text Char1,Char Char2,kepala,skripsi,Body of text"/>
    <w:basedOn w:val="Normal"/>
    <w:link w:val="ListParagraphChar"/>
    <w:qFormat/>
    <w:rsid w:val="00E41A41"/>
    <w:pPr>
      <w:ind w:left="720"/>
      <w:contextualSpacing/>
    </w:pPr>
    <w:rPr>
      <w:szCs w:val="20"/>
    </w:rPr>
  </w:style>
  <w:style w:type="character" w:customStyle="1" w:styleId="ListParagraphChar">
    <w:name w:val="List Paragraph Char"/>
    <w:aliases w:val="Body Text Char1 Char,Char Char2 Char,kepala Char,skripsi Char,Body of text Char"/>
    <w:link w:val="ListParagraph"/>
    <w:locked/>
    <w:rsid w:val="00E41A41"/>
    <w:rPr>
      <w:rFonts w:ascii="Times New Roman" w:eastAsia="Times New Roman" w:hAnsi="Times New Roman" w:cs="Times New Roman"/>
      <w:sz w:val="24"/>
      <w:szCs w:val="20"/>
    </w:rPr>
  </w:style>
  <w:style w:type="paragraph" w:styleId="BodyTextIndent">
    <w:name w:val="Body Text Indent"/>
    <w:basedOn w:val="Normal"/>
    <w:link w:val="BodyTextIndentChar"/>
    <w:rsid w:val="00E41A41"/>
    <w:pPr>
      <w:tabs>
        <w:tab w:val="right" w:pos="0"/>
      </w:tabs>
      <w:spacing w:line="480" w:lineRule="auto"/>
      <w:jc w:val="both"/>
    </w:pPr>
    <w:rPr>
      <w:szCs w:val="20"/>
      <w:lang/>
    </w:rPr>
  </w:style>
  <w:style w:type="character" w:customStyle="1" w:styleId="BodyTextIndentChar">
    <w:name w:val="Body Text Indent Char"/>
    <w:basedOn w:val="DefaultParagraphFont"/>
    <w:link w:val="BodyTextIndent"/>
    <w:rsid w:val="00E41A41"/>
    <w:rPr>
      <w:rFonts w:ascii="Times New Roman" w:eastAsia="Times New Roman" w:hAnsi="Times New Roman" w:cs="Times New Roman"/>
      <w:sz w:val="24"/>
      <w:szCs w:val="20"/>
      <w:lang/>
    </w:rPr>
  </w:style>
  <w:style w:type="paragraph" w:styleId="BodyText">
    <w:name w:val="Body Text"/>
    <w:basedOn w:val="Normal"/>
    <w:link w:val="BodyTextChar"/>
    <w:rsid w:val="00E41A41"/>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E41A41"/>
    <w:rPr>
      <w:rFonts w:ascii="Bookman Old Style" w:eastAsia="Times New Roman" w:hAnsi="Bookman Old Style" w:cs="Times New Roman"/>
      <w:sz w:val="24"/>
      <w:szCs w:val="20"/>
    </w:rPr>
  </w:style>
  <w:style w:type="paragraph" w:styleId="BodyText3">
    <w:name w:val="Body Text 3"/>
    <w:basedOn w:val="Normal"/>
    <w:link w:val="BodyText3Char"/>
    <w:rsid w:val="00E41A41"/>
    <w:pPr>
      <w:jc w:val="center"/>
    </w:pPr>
    <w:rPr>
      <w:sz w:val="36"/>
      <w:szCs w:val="20"/>
      <w:lang/>
    </w:rPr>
  </w:style>
  <w:style w:type="character" w:customStyle="1" w:styleId="BodyText3Char">
    <w:name w:val="Body Text 3 Char"/>
    <w:basedOn w:val="DefaultParagraphFont"/>
    <w:link w:val="BodyText3"/>
    <w:rsid w:val="00E41A41"/>
    <w:rPr>
      <w:rFonts w:ascii="Times New Roman" w:eastAsia="Times New Roman" w:hAnsi="Times New Roman" w:cs="Times New Roman"/>
      <w:sz w:val="36"/>
      <w:szCs w:val="20"/>
      <w:lang/>
    </w:rPr>
  </w:style>
  <w:style w:type="paragraph" w:styleId="BodyTextIndent2">
    <w:name w:val="Body Text Indent 2"/>
    <w:basedOn w:val="Normal"/>
    <w:link w:val="BodyTextIndent2Char"/>
    <w:uiPriority w:val="99"/>
    <w:semiHidden/>
    <w:unhideWhenUsed/>
    <w:rsid w:val="00ED7EDB"/>
    <w:pPr>
      <w:spacing w:after="120" w:line="480" w:lineRule="auto"/>
      <w:ind w:left="360"/>
    </w:pPr>
  </w:style>
  <w:style w:type="character" w:customStyle="1" w:styleId="BodyTextIndent2Char">
    <w:name w:val="Body Text Indent 2 Char"/>
    <w:basedOn w:val="DefaultParagraphFont"/>
    <w:link w:val="BodyTextIndent2"/>
    <w:uiPriority w:val="99"/>
    <w:semiHidden/>
    <w:rsid w:val="00ED7ED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7EDB"/>
    <w:rPr>
      <w:rFonts w:ascii="Arial" w:eastAsia="Times New Roman" w:hAnsi="Arial" w:cs="Times New Roman"/>
      <w:b/>
      <w:sz w:val="24"/>
      <w:szCs w:val="20"/>
    </w:rPr>
  </w:style>
  <w:style w:type="character" w:customStyle="1" w:styleId="Heading2Char">
    <w:name w:val="Heading 2 Char"/>
    <w:basedOn w:val="DefaultParagraphFont"/>
    <w:link w:val="Heading2"/>
    <w:rsid w:val="00ED7EDB"/>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ED7EDB"/>
    <w:rPr>
      <w:rFonts w:ascii="Bookman Old Style" w:eastAsia="Times New Roman" w:hAnsi="Bookman Old Style" w:cs="Times New Roman"/>
      <w:b/>
      <w:sz w:val="24"/>
      <w:szCs w:val="20"/>
    </w:rPr>
  </w:style>
  <w:style w:type="character" w:styleId="FootnoteReference">
    <w:name w:val="footnote reference"/>
    <w:aliases w:val="BVI fnr,Footnote Reference1"/>
    <w:uiPriority w:val="99"/>
    <w:rsid w:val="00ED7EDB"/>
    <w:rPr>
      <w:vertAlign w:val="superscript"/>
    </w:rPr>
  </w:style>
  <w:style w:type="paragraph" w:styleId="FootnoteText">
    <w:name w:val="footnote text"/>
    <w:aliases w:val="Char, Char, Char Char Char Char, Char Char Char, Char Char,Footnote Text Char Char,Char Char Char1,Char Char Char Char Char Char1,Char Char Char Char1,Char Char Char Char Char,Char Char Char,Char Char Char Char"/>
    <w:basedOn w:val="Normal"/>
    <w:link w:val="FootnoteTextChar"/>
    <w:qFormat/>
    <w:rsid w:val="00ED7EDB"/>
    <w:rPr>
      <w:sz w:val="20"/>
      <w:szCs w:val="20"/>
    </w:rPr>
  </w:style>
  <w:style w:type="character" w:customStyle="1" w:styleId="FootnoteTextChar">
    <w:name w:val="Footnote Text Char"/>
    <w:aliases w:val="Char Char, Char Char1, Char Char Char Char Char, Char Char Char Char1, Char Char Char1,Footnote Text Char Char Char,Char Char Char1 Char,Char Char Char Char Char Char1 Char,Char Char Char Char1 Char,Char Char Char Char Char Char"/>
    <w:basedOn w:val="DefaultParagraphFont"/>
    <w:link w:val="FootnoteText"/>
    <w:rsid w:val="00ED7EDB"/>
    <w:rPr>
      <w:rFonts w:ascii="Times New Roman" w:eastAsia="Times New Roman" w:hAnsi="Times New Roman" w:cs="Times New Roman"/>
      <w:sz w:val="20"/>
      <w:szCs w:val="20"/>
    </w:rPr>
  </w:style>
  <w:style w:type="paragraph" w:styleId="Title">
    <w:name w:val="Title"/>
    <w:basedOn w:val="Normal"/>
    <w:link w:val="TitleChar"/>
    <w:uiPriority w:val="10"/>
    <w:qFormat/>
    <w:rsid w:val="00214FD9"/>
    <w:pPr>
      <w:jc w:val="center"/>
    </w:pPr>
    <w:rPr>
      <w:rFonts w:ascii="Bookman Old Style" w:hAnsi="Bookman Old Style"/>
      <w:szCs w:val="20"/>
      <w:lang/>
    </w:rPr>
  </w:style>
  <w:style w:type="character" w:customStyle="1" w:styleId="TitleChar">
    <w:name w:val="Title Char"/>
    <w:basedOn w:val="DefaultParagraphFont"/>
    <w:link w:val="Title"/>
    <w:uiPriority w:val="10"/>
    <w:rsid w:val="00214FD9"/>
    <w:rPr>
      <w:rFonts w:ascii="Bookman Old Style" w:eastAsia="Times New Roman" w:hAnsi="Bookman Old Style" w:cs="Times New Roman"/>
      <w:sz w:val="24"/>
      <w:szCs w:val="20"/>
      <w:lang/>
    </w:rPr>
  </w:style>
  <w:style w:type="paragraph" w:customStyle="1" w:styleId="listparagraph0">
    <w:name w:val="listparagraph"/>
    <w:basedOn w:val="Normal"/>
    <w:uiPriority w:val="99"/>
    <w:rsid w:val="00214FD9"/>
    <w:pPr>
      <w:spacing w:before="100" w:beforeAutospacing="1" w:after="100" w:afterAutospacing="1"/>
    </w:pPr>
  </w:style>
  <w:style w:type="paragraph" w:styleId="BodyTextIndent3">
    <w:name w:val="Body Text Indent 3"/>
    <w:basedOn w:val="Normal"/>
    <w:link w:val="BodyTextIndent3Char"/>
    <w:uiPriority w:val="99"/>
    <w:semiHidden/>
    <w:unhideWhenUsed/>
    <w:rsid w:val="006E49F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49F1"/>
    <w:rPr>
      <w:rFonts w:ascii="Times New Roman" w:eastAsia="Times New Roman" w:hAnsi="Times New Roman" w:cs="Times New Roman"/>
      <w:sz w:val="16"/>
      <w:szCs w:val="16"/>
    </w:rPr>
  </w:style>
  <w:style w:type="paragraph" w:styleId="NormalWeb">
    <w:name w:val="Normal (Web)"/>
    <w:basedOn w:val="Normal"/>
    <w:uiPriority w:val="99"/>
    <w:unhideWhenUsed/>
    <w:rsid w:val="00F473B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EDB"/>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ED7EDB"/>
    <w:pPr>
      <w:keepNext/>
      <w:ind w:left="720" w:hanging="360"/>
      <w:outlineLvl w:val="1"/>
    </w:pPr>
    <w:rPr>
      <w:rFonts w:ascii="Bookman Old Style" w:hAnsi="Bookman Old Style"/>
      <w:b/>
      <w:szCs w:val="20"/>
    </w:rPr>
  </w:style>
  <w:style w:type="paragraph" w:styleId="Heading3">
    <w:name w:val="heading 3"/>
    <w:basedOn w:val="Normal"/>
    <w:next w:val="Normal"/>
    <w:link w:val="Heading3Char"/>
    <w:qFormat/>
    <w:rsid w:val="00ED7EDB"/>
    <w:pPr>
      <w:keepNext/>
      <w:tabs>
        <w:tab w:val="left" w:pos="993"/>
        <w:tab w:val="left" w:pos="1418"/>
        <w:tab w:val="left" w:pos="1701"/>
        <w:tab w:val="num" w:pos="1856"/>
      </w:tabs>
      <w:spacing w:line="480" w:lineRule="auto"/>
      <w:ind w:left="1856" w:hanging="360"/>
      <w:jc w:val="both"/>
      <w:outlineLvl w:val="2"/>
    </w:pPr>
    <w:rPr>
      <w:rFonts w:ascii="Bookman Old Style" w:hAnsi="Bookman Old Styl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CAE"/>
    <w:pPr>
      <w:tabs>
        <w:tab w:val="center" w:pos="4320"/>
        <w:tab w:val="right" w:pos="8640"/>
      </w:tabs>
    </w:pPr>
  </w:style>
  <w:style w:type="character" w:customStyle="1" w:styleId="FooterChar">
    <w:name w:val="Footer Char"/>
    <w:basedOn w:val="DefaultParagraphFont"/>
    <w:link w:val="Footer"/>
    <w:uiPriority w:val="99"/>
    <w:rsid w:val="003A3CAE"/>
    <w:rPr>
      <w:rFonts w:ascii="Times New Roman" w:eastAsia="Times New Roman" w:hAnsi="Times New Roman" w:cs="Times New Roman"/>
      <w:sz w:val="24"/>
      <w:szCs w:val="24"/>
    </w:rPr>
  </w:style>
  <w:style w:type="paragraph" w:styleId="Header">
    <w:name w:val="header"/>
    <w:basedOn w:val="Normal"/>
    <w:link w:val="HeaderChar"/>
    <w:uiPriority w:val="99"/>
    <w:rsid w:val="003A3CAE"/>
    <w:pPr>
      <w:tabs>
        <w:tab w:val="center" w:pos="4320"/>
        <w:tab w:val="right" w:pos="8640"/>
      </w:tabs>
    </w:pPr>
  </w:style>
  <w:style w:type="character" w:customStyle="1" w:styleId="HeaderChar">
    <w:name w:val="Header Char"/>
    <w:basedOn w:val="DefaultParagraphFont"/>
    <w:link w:val="Header"/>
    <w:uiPriority w:val="99"/>
    <w:rsid w:val="003A3CAE"/>
    <w:rPr>
      <w:rFonts w:ascii="Times New Roman" w:eastAsia="Times New Roman" w:hAnsi="Times New Roman" w:cs="Times New Roman"/>
      <w:sz w:val="24"/>
      <w:szCs w:val="24"/>
    </w:rPr>
  </w:style>
  <w:style w:type="paragraph" w:customStyle="1" w:styleId="Default">
    <w:name w:val="Default"/>
    <w:rsid w:val="00791E4D"/>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ListParagraph">
    <w:name w:val="List Paragraph"/>
    <w:aliases w:val="Body Text Char1,Char Char2,kepala,skripsi,Body of text"/>
    <w:basedOn w:val="Normal"/>
    <w:link w:val="ListParagraphChar"/>
    <w:qFormat/>
    <w:rsid w:val="00E41A41"/>
    <w:pPr>
      <w:ind w:left="720"/>
      <w:contextualSpacing/>
    </w:pPr>
    <w:rPr>
      <w:szCs w:val="20"/>
    </w:rPr>
  </w:style>
  <w:style w:type="character" w:customStyle="1" w:styleId="ListParagraphChar">
    <w:name w:val="List Paragraph Char"/>
    <w:aliases w:val="Body Text Char1 Char,Char Char2 Char,kepala Char,skripsi Char,Body of text Char"/>
    <w:link w:val="ListParagraph"/>
    <w:locked/>
    <w:rsid w:val="00E41A41"/>
    <w:rPr>
      <w:rFonts w:ascii="Times New Roman" w:eastAsia="Times New Roman" w:hAnsi="Times New Roman" w:cs="Times New Roman"/>
      <w:sz w:val="24"/>
      <w:szCs w:val="20"/>
    </w:rPr>
  </w:style>
  <w:style w:type="paragraph" w:styleId="BodyTextIndent">
    <w:name w:val="Body Text Indent"/>
    <w:basedOn w:val="Normal"/>
    <w:link w:val="BodyTextIndentChar"/>
    <w:rsid w:val="00E41A41"/>
    <w:pPr>
      <w:tabs>
        <w:tab w:val="right" w:pos="0"/>
      </w:tabs>
      <w:spacing w:line="480" w:lineRule="auto"/>
      <w:jc w:val="both"/>
    </w:pPr>
    <w:rPr>
      <w:szCs w:val="20"/>
      <w:lang w:val="x-none" w:eastAsia="x-none"/>
    </w:rPr>
  </w:style>
  <w:style w:type="character" w:customStyle="1" w:styleId="BodyTextIndentChar">
    <w:name w:val="Body Text Indent Char"/>
    <w:basedOn w:val="DefaultParagraphFont"/>
    <w:link w:val="BodyTextIndent"/>
    <w:rsid w:val="00E41A41"/>
    <w:rPr>
      <w:rFonts w:ascii="Times New Roman" w:eastAsia="Times New Roman" w:hAnsi="Times New Roman" w:cs="Times New Roman"/>
      <w:sz w:val="24"/>
      <w:szCs w:val="20"/>
      <w:lang w:val="x-none" w:eastAsia="x-none"/>
    </w:rPr>
  </w:style>
  <w:style w:type="paragraph" w:styleId="BodyText">
    <w:name w:val="Body Text"/>
    <w:basedOn w:val="Normal"/>
    <w:link w:val="BodyTextChar"/>
    <w:rsid w:val="00E41A41"/>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E41A41"/>
    <w:rPr>
      <w:rFonts w:ascii="Bookman Old Style" w:eastAsia="Times New Roman" w:hAnsi="Bookman Old Style" w:cs="Times New Roman"/>
      <w:sz w:val="24"/>
      <w:szCs w:val="20"/>
    </w:rPr>
  </w:style>
  <w:style w:type="paragraph" w:styleId="BodyText3">
    <w:name w:val="Body Text 3"/>
    <w:basedOn w:val="Normal"/>
    <w:link w:val="BodyText3Char"/>
    <w:rsid w:val="00E41A41"/>
    <w:pPr>
      <w:jc w:val="center"/>
    </w:pPr>
    <w:rPr>
      <w:sz w:val="36"/>
      <w:szCs w:val="20"/>
      <w:lang w:val="x-none" w:eastAsia="x-none"/>
    </w:rPr>
  </w:style>
  <w:style w:type="character" w:customStyle="1" w:styleId="BodyText3Char">
    <w:name w:val="Body Text 3 Char"/>
    <w:basedOn w:val="DefaultParagraphFont"/>
    <w:link w:val="BodyText3"/>
    <w:rsid w:val="00E41A41"/>
    <w:rPr>
      <w:rFonts w:ascii="Times New Roman" w:eastAsia="Times New Roman" w:hAnsi="Times New Roman" w:cs="Times New Roman"/>
      <w:sz w:val="36"/>
      <w:szCs w:val="20"/>
      <w:lang w:val="x-none" w:eastAsia="x-none"/>
    </w:rPr>
  </w:style>
  <w:style w:type="paragraph" w:styleId="BodyTextIndent2">
    <w:name w:val="Body Text Indent 2"/>
    <w:basedOn w:val="Normal"/>
    <w:link w:val="BodyTextIndent2Char"/>
    <w:uiPriority w:val="99"/>
    <w:semiHidden/>
    <w:unhideWhenUsed/>
    <w:rsid w:val="00ED7EDB"/>
    <w:pPr>
      <w:spacing w:after="120" w:line="480" w:lineRule="auto"/>
      <w:ind w:left="360"/>
    </w:pPr>
  </w:style>
  <w:style w:type="character" w:customStyle="1" w:styleId="BodyTextIndent2Char">
    <w:name w:val="Body Text Indent 2 Char"/>
    <w:basedOn w:val="DefaultParagraphFont"/>
    <w:link w:val="BodyTextIndent2"/>
    <w:uiPriority w:val="99"/>
    <w:semiHidden/>
    <w:rsid w:val="00ED7ED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7EDB"/>
    <w:rPr>
      <w:rFonts w:ascii="Arial" w:eastAsia="Times New Roman" w:hAnsi="Arial" w:cs="Times New Roman"/>
      <w:b/>
      <w:sz w:val="24"/>
      <w:szCs w:val="20"/>
    </w:rPr>
  </w:style>
  <w:style w:type="character" w:customStyle="1" w:styleId="Heading2Char">
    <w:name w:val="Heading 2 Char"/>
    <w:basedOn w:val="DefaultParagraphFont"/>
    <w:link w:val="Heading2"/>
    <w:rsid w:val="00ED7EDB"/>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ED7EDB"/>
    <w:rPr>
      <w:rFonts w:ascii="Bookman Old Style" w:eastAsia="Times New Roman" w:hAnsi="Bookman Old Style" w:cs="Times New Roman"/>
      <w:b/>
      <w:sz w:val="24"/>
      <w:szCs w:val="20"/>
    </w:rPr>
  </w:style>
  <w:style w:type="character" w:styleId="FootnoteReference">
    <w:name w:val="footnote reference"/>
    <w:aliases w:val="BVI fnr,Footnote Reference1"/>
    <w:uiPriority w:val="99"/>
    <w:rsid w:val="00ED7EDB"/>
    <w:rPr>
      <w:vertAlign w:val="superscript"/>
    </w:rPr>
  </w:style>
  <w:style w:type="paragraph" w:styleId="FootnoteText">
    <w:name w:val="footnote text"/>
    <w:aliases w:val="Char, Char, Char Char Char Char, Char Char Char, Char Char,Footnote Text Char Char,Char Char Char1,Char Char Char Char Char Char1,Char Char Char Char1,Char Char Char Char Char,Char Char Char,Char Char Char Char"/>
    <w:basedOn w:val="Normal"/>
    <w:link w:val="FootnoteTextChar"/>
    <w:qFormat/>
    <w:rsid w:val="00ED7EDB"/>
    <w:rPr>
      <w:sz w:val="20"/>
      <w:szCs w:val="20"/>
    </w:rPr>
  </w:style>
  <w:style w:type="character" w:customStyle="1" w:styleId="FootnoteTextChar">
    <w:name w:val="Footnote Text Char"/>
    <w:aliases w:val="Char Char, Char Char1, Char Char Char Char Char, Char Char Char Char1, Char Char Char1,Footnote Text Char Char Char,Char Char Char1 Char,Char Char Char Char Char Char1 Char,Char Char Char Char1 Char,Char Char Char Char Char Char"/>
    <w:basedOn w:val="DefaultParagraphFont"/>
    <w:link w:val="FootnoteText"/>
    <w:rsid w:val="00ED7EDB"/>
    <w:rPr>
      <w:rFonts w:ascii="Times New Roman" w:eastAsia="Times New Roman" w:hAnsi="Times New Roman" w:cs="Times New Roman"/>
      <w:sz w:val="20"/>
      <w:szCs w:val="20"/>
    </w:rPr>
  </w:style>
  <w:style w:type="paragraph" w:styleId="Title">
    <w:name w:val="Title"/>
    <w:basedOn w:val="Normal"/>
    <w:link w:val="TitleChar"/>
    <w:uiPriority w:val="10"/>
    <w:qFormat/>
    <w:rsid w:val="00214FD9"/>
    <w:pPr>
      <w:jc w:val="center"/>
    </w:pPr>
    <w:rPr>
      <w:rFonts w:ascii="Bookman Old Style" w:hAnsi="Bookman Old Style"/>
      <w:szCs w:val="20"/>
      <w:lang w:val="x-none" w:eastAsia="x-none"/>
    </w:rPr>
  </w:style>
  <w:style w:type="character" w:customStyle="1" w:styleId="TitleChar">
    <w:name w:val="Title Char"/>
    <w:basedOn w:val="DefaultParagraphFont"/>
    <w:link w:val="Title"/>
    <w:uiPriority w:val="10"/>
    <w:rsid w:val="00214FD9"/>
    <w:rPr>
      <w:rFonts w:ascii="Bookman Old Style" w:eastAsia="Times New Roman" w:hAnsi="Bookman Old Style" w:cs="Times New Roman"/>
      <w:sz w:val="24"/>
      <w:szCs w:val="20"/>
      <w:lang w:val="x-none" w:eastAsia="x-none"/>
    </w:rPr>
  </w:style>
  <w:style w:type="paragraph" w:customStyle="1" w:styleId="listparagraph0">
    <w:name w:val="listparagraph"/>
    <w:basedOn w:val="Normal"/>
    <w:uiPriority w:val="99"/>
    <w:rsid w:val="00214FD9"/>
    <w:pPr>
      <w:spacing w:before="100" w:beforeAutospacing="1" w:after="100" w:afterAutospacing="1"/>
    </w:pPr>
  </w:style>
  <w:style w:type="paragraph" w:styleId="BodyTextIndent3">
    <w:name w:val="Body Text Indent 3"/>
    <w:basedOn w:val="Normal"/>
    <w:link w:val="BodyTextIndent3Char"/>
    <w:uiPriority w:val="99"/>
    <w:semiHidden/>
    <w:unhideWhenUsed/>
    <w:rsid w:val="006E49F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49F1"/>
    <w:rPr>
      <w:rFonts w:ascii="Times New Roman" w:eastAsia="Times New Roman" w:hAnsi="Times New Roman" w:cs="Times New Roman"/>
      <w:sz w:val="16"/>
      <w:szCs w:val="16"/>
    </w:rPr>
  </w:style>
  <w:style w:type="paragraph" w:styleId="NormalWeb">
    <w:name w:val="Normal (Web)"/>
    <w:basedOn w:val="Normal"/>
    <w:uiPriority w:val="99"/>
    <w:unhideWhenUsed/>
    <w:rsid w:val="00F473B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7576</Words>
  <Characters>43185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2025-11-21T03:16:00Z</dcterms:created>
  <dcterms:modified xsi:type="dcterms:W3CDTF">2025-11-21T03:16:00Z</dcterms:modified>
</cp:coreProperties>
</file>