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1F" w:rsidRPr="00BA394E" w:rsidRDefault="009C7D1F" w:rsidP="009C7D1F">
      <w:pPr>
        <w:spacing w:line="480" w:lineRule="auto"/>
        <w:jc w:val="center"/>
        <w:rPr>
          <w:b/>
          <w:lang w:val="sv-SE"/>
        </w:rPr>
      </w:pPr>
      <w:r w:rsidRPr="00BA394E">
        <w:rPr>
          <w:b/>
          <w:lang w:val="sv-SE"/>
        </w:rPr>
        <w:t>BAB IV</w:t>
      </w:r>
    </w:p>
    <w:p w:rsidR="009C7D1F" w:rsidRPr="00BA394E" w:rsidRDefault="009C7D1F" w:rsidP="009C7D1F">
      <w:pPr>
        <w:spacing w:line="480" w:lineRule="auto"/>
        <w:jc w:val="center"/>
        <w:rPr>
          <w:b/>
          <w:lang w:val="sv-SE"/>
        </w:rPr>
      </w:pPr>
      <w:r w:rsidRPr="00BA394E">
        <w:rPr>
          <w:b/>
          <w:lang w:val="sv-SE"/>
        </w:rPr>
        <w:t>HASIL PENELITIAN DAN PEMBAHASAN</w:t>
      </w:r>
    </w:p>
    <w:p w:rsidR="009C7D1F" w:rsidRPr="00BA394E" w:rsidRDefault="009C7D1F" w:rsidP="001D3179">
      <w:pPr>
        <w:numPr>
          <w:ilvl w:val="0"/>
          <w:numId w:val="10"/>
        </w:numPr>
        <w:spacing w:line="480" w:lineRule="auto"/>
        <w:ind w:left="360"/>
        <w:jc w:val="both"/>
        <w:rPr>
          <w:b/>
          <w:lang w:val="sv-SE"/>
        </w:rPr>
      </w:pPr>
      <w:r w:rsidRPr="00BA394E">
        <w:rPr>
          <w:b/>
        </w:rPr>
        <w:t xml:space="preserve">Sanksi Pidana Pelaku Tindak Pidana Kekerasan  Seksual Terhadap Anak </w:t>
      </w:r>
    </w:p>
    <w:p w:rsidR="009C7D1F" w:rsidRPr="00BA394E" w:rsidRDefault="009C7D1F" w:rsidP="009C7D1F">
      <w:pPr>
        <w:pStyle w:val="BodyTextIndent"/>
        <w:tabs>
          <w:tab w:val="clear" w:pos="0"/>
          <w:tab w:val="left" w:pos="426"/>
        </w:tabs>
        <w:rPr>
          <w:szCs w:val="24"/>
        </w:rPr>
      </w:pPr>
      <w:r w:rsidRPr="00BA394E">
        <w:rPr>
          <w:szCs w:val="24"/>
        </w:rPr>
        <w:tab/>
      </w:r>
      <w:r w:rsidRPr="00BA394E">
        <w:rPr>
          <w:szCs w:val="24"/>
        </w:rPr>
        <w:tab/>
        <w:t>Bentuk kekerasan terhadap anak tidak hanya berupa kekerasan fisik saja, seperti pembunuhan, penganiayaan, maupun seksual, tetapi juga kekerasan non fisik, seperti kekerasan ekonomi, psikis, maupun kekerasan religi. Sebagai bentuk perlindungan anak-anak di Indonesia, maka pembuat undang-undang melalui perundang-undangan (hukum positif), seperti KUHP, Undang-Undang Nomor 35 Tahun 2014 Tentang Perlindungan Anak dan terakhir sebagaimana yang telah diubah melalui Undang-Undang Nomor 17 Tahun 2016 Tentang Penetapan Perppu No. 1 Tahun 2016 Tentang Perlindungan Anak, Undang-Undang Nomor. 23 Tahun 2004 Tentang Penghapusan Kekerasan Dalam Rumah Tangga yang secara mutlak memberikan berbagai bentuk perlindungan hukum yang berkaitan dengan masalah perlindungan anak terhadap tindak kekerasan seksual. Bentuk perlindungan anak yang diberikan melalui ketentuan undang-undang perlindungan anak, undang-undang penghapusan kekerasan dalam rumah tangga merupakan adopsi, kompilasi atau reformasi dari bentuk perlindungan anak yang sudah diatur dalam KUHP.</w:t>
      </w:r>
    </w:p>
    <w:p w:rsidR="009C7D1F" w:rsidRPr="00BA394E" w:rsidRDefault="009C7D1F" w:rsidP="009C7D1F">
      <w:pPr>
        <w:pStyle w:val="BodyTextIndent"/>
        <w:tabs>
          <w:tab w:val="clear" w:pos="0"/>
        </w:tabs>
        <w:ind w:firstLine="720"/>
        <w:rPr>
          <w:szCs w:val="24"/>
        </w:rPr>
      </w:pPr>
      <w:r w:rsidRPr="00BA394E">
        <w:rPr>
          <w:szCs w:val="24"/>
        </w:rPr>
        <w:t>Sanksi atau hukuman kepada pelaku kekerasan seksual terhadap anak terdapat dalam berbagai peraturan atau hukum normatif yang berlaku yaitu:</w:t>
      </w:r>
    </w:p>
    <w:p w:rsidR="009C7D1F" w:rsidRPr="00BA394E" w:rsidRDefault="009C7D1F" w:rsidP="001D3179">
      <w:pPr>
        <w:numPr>
          <w:ilvl w:val="0"/>
          <w:numId w:val="12"/>
        </w:numPr>
        <w:autoSpaceDE w:val="0"/>
        <w:autoSpaceDN w:val="0"/>
        <w:adjustRightInd w:val="0"/>
        <w:spacing w:line="480" w:lineRule="auto"/>
        <w:ind w:left="360"/>
        <w:jc w:val="both"/>
        <w:rPr>
          <w:color w:val="000000"/>
        </w:rPr>
      </w:pPr>
      <w:r w:rsidRPr="00BA394E">
        <w:rPr>
          <w:bCs/>
          <w:color w:val="000000"/>
        </w:rPr>
        <w:t xml:space="preserve">Undang-Undang Nomor 1 Tahun 1946 Tentang Kitab Undang-Undang Hukum Pidana (KUHP) </w:t>
      </w:r>
    </w:p>
    <w:p w:rsidR="009C7D1F" w:rsidRPr="00BA394E" w:rsidRDefault="009C7D1F" w:rsidP="009C7D1F">
      <w:pPr>
        <w:autoSpaceDE w:val="0"/>
        <w:autoSpaceDN w:val="0"/>
        <w:adjustRightInd w:val="0"/>
        <w:spacing w:line="480" w:lineRule="auto"/>
        <w:ind w:firstLine="720"/>
        <w:jc w:val="both"/>
      </w:pPr>
      <w:r w:rsidRPr="00BA394E">
        <w:lastRenderedPageBreak/>
        <w:t>Sanksi pidana kekerasan seksual yang dilakukan oleh pelaku terhadap anak yang menjadi korban diatur dalam ketentuan :</w:t>
      </w:r>
    </w:p>
    <w:p w:rsidR="009C7D1F" w:rsidRPr="00BA394E" w:rsidRDefault="009C7D1F" w:rsidP="001D3179">
      <w:pPr>
        <w:numPr>
          <w:ilvl w:val="7"/>
          <w:numId w:val="11"/>
        </w:numPr>
        <w:tabs>
          <w:tab w:val="clear" w:pos="5865"/>
          <w:tab w:val="num" w:pos="11"/>
        </w:tabs>
        <w:autoSpaceDE w:val="0"/>
        <w:autoSpaceDN w:val="0"/>
        <w:adjustRightInd w:val="0"/>
        <w:spacing w:line="480" w:lineRule="auto"/>
        <w:ind w:left="360"/>
        <w:jc w:val="both"/>
      </w:pPr>
      <w:r w:rsidRPr="00BA394E">
        <w:t>Pasal 285 KUHP :“Barang siapa dengan kekerasan atau ancaman kekerasan memaksa perempuan yang bukan istrinya bersetubuh dengan dia, dihukum karena memperkosa dengan hukuman penjara selama-lamanya dua belas tahun”.</w:t>
      </w:r>
    </w:p>
    <w:p w:rsidR="009C7D1F" w:rsidRPr="00BA394E" w:rsidRDefault="009C7D1F" w:rsidP="001D3179">
      <w:pPr>
        <w:numPr>
          <w:ilvl w:val="1"/>
          <w:numId w:val="11"/>
        </w:numPr>
        <w:tabs>
          <w:tab w:val="clear" w:pos="1545"/>
          <w:tab w:val="num" w:pos="360"/>
        </w:tabs>
        <w:autoSpaceDE w:val="0"/>
        <w:autoSpaceDN w:val="0"/>
        <w:adjustRightInd w:val="0"/>
        <w:spacing w:line="480" w:lineRule="auto"/>
        <w:ind w:left="360"/>
        <w:jc w:val="both"/>
      </w:pPr>
      <w:r w:rsidRPr="00BA394E">
        <w:rPr>
          <w:color w:val="000000"/>
        </w:rPr>
        <w:t xml:space="preserve">Pasal 287 KUHP : “Barangsiapa bersetubuh dengan perempuan yang bukan istrinya, sedang diketahuinya atau harus patut disangkanya, bahwa umur perempuan itu belum cukup 15 tahun atau kalau tidak nyata berapa umurnya, bahwa perempuan itu belum masanya untuk kawin, dihukum penjara selama-lamanya 9 (Sembilan) tahun”. </w:t>
      </w:r>
    </w:p>
    <w:p w:rsidR="009C7D1F" w:rsidRPr="00BA394E" w:rsidRDefault="009C7D1F" w:rsidP="001D3179">
      <w:pPr>
        <w:numPr>
          <w:ilvl w:val="1"/>
          <w:numId w:val="11"/>
        </w:numPr>
        <w:tabs>
          <w:tab w:val="clear" w:pos="1545"/>
          <w:tab w:val="num" w:pos="360"/>
        </w:tabs>
        <w:autoSpaceDE w:val="0"/>
        <w:autoSpaceDN w:val="0"/>
        <w:adjustRightInd w:val="0"/>
        <w:spacing w:line="480" w:lineRule="auto"/>
        <w:ind w:left="360"/>
        <w:jc w:val="both"/>
        <w:rPr>
          <w:color w:val="000000"/>
        </w:rPr>
      </w:pPr>
      <w:r w:rsidRPr="00BA394E">
        <w:rPr>
          <w:color w:val="000000"/>
        </w:rPr>
        <w:t xml:space="preserve">Pasal 290 sub (2e) : “Barangsiapa melakukan perbuatan cabul dengan seseorang, sedang diketahuinya atau harus patut disangkanya bahwa umur orang itu belum cukup 15 tahun atau kalau tidak nyata berapa umurnya, bahwa orang itu belum masanya buat dikawin”. </w:t>
      </w:r>
    </w:p>
    <w:p w:rsidR="009C7D1F" w:rsidRPr="00BA394E" w:rsidRDefault="009C7D1F" w:rsidP="001D3179">
      <w:pPr>
        <w:numPr>
          <w:ilvl w:val="1"/>
          <w:numId w:val="11"/>
        </w:numPr>
        <w:tabs>
          <w:tab w:val="clear" w:pos="1545"/>
          <w:tab w:val="num" w:pos="360"/>
        </w:tabs>
        <w:autoSpaceDE w:val="0"/>
        <w:autoSpaceDN w:val="0"/>
        <w:adjustRightInd w:val="0"/>
        <w:spacing w:line="480" w:lineRule="auto"/>
        <w:ind w:left="360"/>
        <w:jc w:val="both"/>
        <w:rPr>
          <w:color w:val="000000"/>
        </w:rPr>
      </w:pPr>
      <w:r w:rsidRPr="00BA394E">
        <w:rPr>
          <w:color w:val="000000"/>
        </w:rPr>
        <w:t xml:space="preserve">Pasal 292 KUHP : “Orang dewasa yang melakukan perbuatan cabul dengan orang yang belum dewasa dari jenis kelamin yang sama, sedang diketahuinya atau harus patut disangkanya hal belum dewasa itu, dihukum penjara selama-lamanya 5 (lima) tahun”. </w:t>
      </w:r>
    </w:p>
    <w:p w:rsidR="009C7D1F" w:rsidRPr="00BA394E" w:rsidRDefault="009C7D1F" w:rsidP="001D3179">
      <w:pPr>
        <w:numPr>
          <w:ilvl w:val="1"/>
          <w:numId w:val="11"/>
        </w:numPr>
        <w:tabs>
          <w:tab w:val="clear" w:pos="1545"/>
          <w:tab w:val="num" w:pos="360"/>
        </w:tabs>
        <w:autoSpaceDE w:val="0"/>
        <w:autoSpaceDN w:val="0"/>
        <w:adjustRightInd w:val="0"/>
        <w:spacing w:line="480" w:lineRule="auto"/>
        <w:ind w:left="360"/>
        <w:jc w:val="both"/>
        <w:rPr>
          <w:color w:val="000000"/>
        </w:rPr>
      </w:pPr>
      <w:r w:rsidRPr="00BA394E">
        <w:rPr>
          <w:color w:val="000000"/>
        </w:rPr>
        <w:t xml:space="preserve">Pasal 294 KUHP : “Barangsiapa melakukan perbuatan cabul dengan anaknya yang belum dewasa, anak tiri, atau anak pungutnya, anak peliharaannya, atau dengan seorang yang belum dewasa yang dipercayakan padanya untuk </w:t>
      </w:r>
      <w:r w:rsidRPr="00BA394E">
        <w:rPr>
          <w:color w:val="000000"/>
        </w:rPr>
        <w:lastRenderedPageBreak/>
        <w:t>ditanggung, dididik atau dijaga, atau dengan bujang atau orang sebawahnya yang belum dewasa, dihukum penjara selama-lamanya 7 tahun”.</w:t>
      </w:r>
    </w:p>
    <w:p w:rsidR="009C7D1F" w:rsidRPr="00BA394E" w:rsidRDefault="009C7D1F" w:rsidP="001D3179">
      <w:pPr>
        <w:numPr>
          <w:ilvl w:val="0"/>
          <w:numId w:val="12"/>
        </w:numPr>
        <w:autoSpaceDE w:val="0"/>
        <w:autoSpaceDN w:val="0"/>
        <w:adjustRightInd w:val="0"/>
        <w:spacing w:line="480" w:lineRule="auto"/>
        <w:ind w:left="360"/>
        <w:jc w:val="both"/>
        <w:rPr>
          <w:color w:val="000000"/>
        </w:rPr>
      </w:pPr>
      <w:r w:rsidRPr="00BA394E">
        <w:rPr>
          <w:bCs/>
          <w:color w:val="000000"/>
        </w:rPr>
        <w:t xml:space="preserve">Undang-Undang Nomor 23 Tahun 2004 Tentang Penghapusan Kekerasan Dalam Rumah Tangga </w:t>
      </w:r>
    </w:p>
    <w:p w:rsidR="009C7D1F" w:rsidRPr="00BA394E" w:rsidRDefault="009C7D1F" w:rsidP="009C7D1F">
      <w:pPr>
        <w:pStyle w:val="BodyTextIndent"/>
        <w:tabs>
          <w:tab w:val="clear" w:pos="0"/>
        </w:tabs>
        <w:ind w:firstLine="720"/>
        <w:rPr>
          <w:szCs w:val="24"/>
        </w:rPr>
      </w:pPr>
      <w:r w:rsidRPr="00BA394E">
        <w:rPr>
          <w:szCs w:val="24"/>
        </w:rPr>
        <w:t>Berkaitan dengan ketentuan pidana khususnya kekerasan seksual di dalam ketentuan Undang-Undang Nomor 23 Tahun 2004 Tentang PKDRT, diatur dalam pasal-pasal berikut :</w:t>
      </w:r>
    </w:p>
    <w:p w:rsidR="009C7D1F" w:rsidRPr="00BA394E" w:rsidRDefault="009C7D1F" w:rsidP="001D3179">
      <w:pPr>
        <w:numPr>
          <w:ilvl w:val="7"/>
          <w:numId w:val="11"/>
        </w:numPr>
        <w:tabs>
          <w:tab w:val="clear" w:pos="5865"/>
          <w:tab w:val="num" w:pos="360"/>
        </w:tabs>
        <w:autoSpaceDE w:val="0"/>
        <w:autoSpaceDN w:val="0"/>
        <w:adjustRightInd w:val="0"/>
        <w:spacing w:line="480" w:lineRule="auto"/>
        <w:ind w:left="360"/>
        <w:jc w:val="both"/>
        <w:rPr>
          <w:color w:val="000000"/>
        </w:rPr>
      </w:pPr>
      <w:r w:rsidRPr="00BA394E">
        <w:rPr>
          <w:color w:val="000000"/>
        </w:rPr>
        <w:t>Pasal 46 yang menyatakan bahwa :“Setiap orang yang melakukan perbuatan kekerasan seksual sebagaimana dimaksud pada Pasal 8 Huruf (a) dipidana dengan pidana penjara paling lama 12 (dua belas) tahun atau denda paling banyak Rp. 36.000.000,00 (tiga puluh enam juta rupiah)”</w:t>
      </w:r>
    </w:p>
    <w:p w:rsidR="009C7D1F" w:rsidRPr="00BA394E" w:rsidRDefault="009C7D1F" w:rsidP="009C7D1F">
      <w:pPr>
        <w:autoSpaceDE w:val="0"/>
        <w:autoSpaceDN w:val="0"/>
        <w:adjustRightInd w:val="0"/>
        <w:spacing w:line="480" w:lineRule="auto"/>
        <w:ind w:left="360" w:firstLine="774"/>
        <w:jc w:val="both"/>
      </w:pPr>
      <w:r w:rsidRPr="00BA394E">
        <w:t>Penjelasan Pasal 8 UU No. 23 Tahun 2004 dikatakan bahwa yang dimaksud dengan kekerasan seksual adalah setiap perbuatan yang berupa pemaksaan hubungan seksual, pemaksaan hubungan seksual dengan cara tidak wajar dan/atau tidak disukai. Dalam pasal ini tidak dijelaskan bahwa pelaku kekerasan seksual hanya berlaku untuk laki-laki, artinya perempuan atau anak yang melakukan perbuatan tersebut dapat dikenakan dalam pasal ini.UU ini tentu berbeda dengan pasal pemerkosaan dalam KUHP, dimana kata “barang siapa” terbatas hanya untuk setiap laki-laki saja. Selain itu juga, ruang lingkup pemerkosaan sebagaimana diatur dalam UU No. 23 Tahun 2004 Tentang Penghapusan Kekerasan Dalam Rumah Tangga ialah setiap orang yang tinggal atau menetap dalam suatu ruang lingkup rumah.</w:t>
      </w:r>
    </w:p>
    <w:p w:rsidR="009C7D1F" w:rsidRPr="00BA394E" w:rsidRDefault="009C7D1F" w:rsidP="001D3179">
      <w:pPr>
        <w:numPr>
          <w:ilvl w:val="4"/>
          <w:numId w:val="11"/>
        </w:numPr>
        <w:tabs>
          <w:tab w:val="clear" w:pos="3705"/>
          <w:tab w:val="num" w:pos="360"/>
        </w:tabs>
        <w:autoSpaceDE w:val="0"/>
        <w:autoSpaceDN w:val="0"/>
        <w:adjustRightInd w:val="0"/>
        <w:spacing w:line="480" w:lineRule="auto"/>
        <w:ind w:left="360"/>
        <w:jc w:val="both"/>
        <w:rPr>
          <w:color w:val="000000"/>
        </w:rPr>
      </w:pPr>
      <w:r w:rsidRPr="00BA394E">
        <w:rPr>
          <w:color w:val="000000"/>
        </w:rPr>
        <w:lastRenderedPageBreak/>
        <w:t>Pasal 47 yang menyatakan bahwa : “Setiap orang yang memaksa orang yang menetap dalam rumah tangganya melakukan hubungan seksual sebagaimana yang dimaksud dalam Pasal 8 Huruf (b), dipidana penjara paling singkat 4 (empat) tahun dan paling lama 15</w:t>
      </w:r>
      <w:r w:rsidRPr="00BA394E">
        <w:t xml:space="preserve"> (lima belas) tahun atau denda paling sedikit Rp. 12.000.000,00 (dua belas juta rupiah) atau denda paling banyak Rp. 300.000.000,00 (tiga ratus juta rupiah)”.</w:t>
      </w:r>
    </w:p>
    <w:p w:rsidR="009C7D1F" w:rsidRPr="00BA394E" w:rsidRDefault="009C7D1F" w:rsidP="009C7D1F">
      <w:pPr>
        <w:autoSpaceDE w:val="0"/>
        <w:autoSpaceDN w:val="0"/>
        <w:adjustRightInd w:val="0"/>
        <w:spacing w:line="480" w:lineRule="auto"/>
        <w:ind w:left="360" w:firstLine="774"/>
        <w:jc w:val="both"/>
        <w:rPr>
          <w:color w:val="000000"/>
        </w:rPr>
      </w:pPr>
      <w:r w:rsidRPr="00BA394E">
        <w:t>Pasal ini hampir sama dengan pasal sebelumnya dimana pelaku melakukan kekerasan seksual atau pemerkosaan terhadap seseorang yang tinggal dalam satu ruang lingkup rumah, tetapi seseorang dapat dikenakan pasal ini jika perbuatan yang dilakukannya adalah untuk suatu tujuan komersil.</w:t>
      </w:r>
    </w:p>
    <w:p w:rsidR="009C7D1F" w:rsidRPr="00BA394E" w:rsidRDefault="009C7D1F" w:rsidP="001D3179">
      <w:pPr>
        <w:numPr>
          <w:ilvl w:val="4"/>
          <w:numId w:val="11"/>
        </w:numPr>
        <w:tabs>
          <w:tab w:val="clear" w:pos="3705"/>
          <w:tab w:val="num" w:pos="360"/>
          <w:tab w:val="left" w:pos="426"/>
        </w:tabs>
        <w:autoSpaceDE w:val="0"/>
        <w:autoSpaceDN w:val="0"/>
        <w:adjustRightInd w:val="0"/>
        <w:spacing w:line="480" w:lineRule="auto"/>
        <w:ind w:left="360"/>
        <w:jc w:val="both"/>
        <w:rPr>
          <w:b/>
          <w:lang w:val="id-ID"/>
        </w:rPr>
      </w:pPr>
      <w:r w:rsidRPr="00BA394E">
        <w:rPr>
          <w:color w:val="000000"/>
        </w:rPr>
        <w:t>Pasal 48 yang menyatakan bahwa : “Dalam hal perbuatan sebagaimana yang dimaksud dalam Pasal 46 dan 47 mengakibatkan korban mendapatkan luka yang tidak memberi harapan akan sembuh sama sekali, mengalami gangguan daya pikir atau kejiwaan sekurang-kurangnya selama 4 (empat) minggu terus menerus atau 1 (satu) tahun tidak berturut-turut, gugur, atau matinya janin dalam kandungan atau mengakibatkan tidak berfungsinya alat reproduksi, dipidana dengan pidana penjara paling sedikit 5 (lima) tahun dan pidana penjara paling lama 20 (dua puluh) tahun atau denda paling sedikit Rp. 25.000.000,00 (dua puluh lima juta</w:t>
      </w:r>
      <w:r w:rsidRPr="00BA394E">
        <w:t xml:space="preserve"> rupiah) dan denda paling banyak Rp. 500.000.000,00 (lima ratus juta rupiah)”.</w:t>
      </w:r>
    </w:p>
    <w:p w:rsidR="009C7D1F" w:rsidRPr="00BA394E" w:rsidRDefault="009C7D1F" w:rsidP="009C7D1F">
      <w:pPr>
        <w:pStyle w:val="BodyTextIndent"/>
        <w:tabs>
          <w:tab w:val="clear" w:pos="0"/>
          <w:tab w:val="left" w:pos="426"/>
        </w:tabs>
        <w:ind w:left="284" w:firstLine="709"/>
        <w:rPr>
          <w:b/>
          <w:szCs w:val="24"/>
          <w:lang w:val="id-ID"/>
        </w:rPr>
      </w:pPr>
      <w:r w:rsidRPr="00BA394E">
        <w:rPr>
          <w:szCs w:val="24"/>
        </w:rPr>
        <w:t xml:space="preserve">Unsur-unsur dalam pasal ini hampir sama dengan dua pasal sebelumnya, hanya saja ada sedikit tambahan, yaitu apabila perbuatan tersebut </w:t>
      </w:r>
      <w:r w:rsidRPr="00BA394E">
        <w:rPr>
          <w:szCs w:val="24"/>
        </w:rPr>
        <w:lastRenderedPageBreak/>
        <w:t>mengakibatkan luka-luka pada korban, gangguan daya pikir atau kejiwaan, dan akibat-akibat lain yang tergolong luka berat</w:t>
      </w:r>
    </w:p>
    <w:p w:rsidR="009C7D1F" w:rsidRPr="00BA394E" w:rsidRDefault="009C7D1F" w:rsidP="001D3179">
      <w:pPr>
        <w:numPr>
          <w:ilvl w:val="0"/>
          <w:numId w:val="12"/>
        </w:numPr>
        <w:autoSpaceDE w:val="0"/>
        <w:autoSpaceDN w:val="0"/>
        <w:adjustRightInd w:val="0"/>
        <w:spacing w:line="480" w:lineRule="auto"/>
        <w:ind w:left="360"/>
        <w:rPr>
          <w:color w:val="000000"/>
        </w:rPr>
      </w:pPr>
      <w:r w:rsidRPr="00BA394E">
        <w:rPr>
          <w:bCs/>
          <w:color w:val="000000"/>
        </w:rPr>
        <w:t xml:space="preserve">Undang-Undang Nomor 35 Tahun 2014 Tentang Perlindungan Anak </w:t>
      </w:r>
    </w:p>
    <w:p w:rsidR="009C7D1F" w:rsidRPr="00BA394E" w:rsidRDefault="009C7D1F" w:rsidP="009C7D1F">
      <w:pPr>
        <w:pStyle w:val="BodyTextIndent"/>
        <w:tabs>
          <w:tab w:val="clear" w:pos="0"/>
          <w:tab w:val="left" w:pos="426"/>
        </w:tabs>
        <w:rPr>
          <w:szCs w:val="24"/>
        </w:rPr>
      </w:pPr>
      <w:r w:rsidRPr="00BA394E">
        <w:rPr>
          <w:szCs w:val="24"/>
        </w:rPr>
        <w:tab/>
      </w:r>
      <w:r w:rsidRPr="00BA394E">
        <w:rPr>
          <w:szCs w:val="24"/>
        </w:rPr>
        <w:tab/>
        <w:t>Undang-Undang Nomor 35 Tahun 2014 merupakan perubahan atas Undang-Undang Nomor 23 Tahun 2002 Tentang Perlindungan Anak. Di dalamnya terdapat beberapa perubahan terkait sanksi pidana serta UU No. 35 Tahun 2014 terkait dengan kejahatan kesusilaan menempatkan perbuatan yang dilarang yaitu :</w:t>
      </w:r>
    </w:p>
    <w:p w:rsidR="009C7D1F" w:rsidRPr="00BA394E" w:rsidRDefault="009C7D1F" w:rsidP="001D3179">
      <w:pPr>
        <w:pStyle w:val="BodyTextIndent"/>
        <w:numPr>
          <w:ilvl w:val="4"/>
          <w:numId w:val="9"/>
        </w:numPr>
        <w:tabs>
          <w:tab w:val="clear" w:pos="3600"/>
          <w:tab w:val="num" w:pos="360"/>
        </w:tabs>
        <w:ind w:left="360"/>
        <w:rPr>
          <w:szCs w:val="24"/>
        </w:rPr>
      </w:pPr>
      <w:r w:rsidRPr="00BA394E">
        <w:rPr>
          <w:color w:val="000000"/>
          <w:szCs w:val="24"/>
        </w:rPr>
        <w:t xml:space="preserve">Pasal 9 ayat (1a) </w:t>
      </w:r>
      <w:r w:rsidRPr="00BA394E">
        <w:rPr>
          <w:szCs w:val="24"/>
        </w:rPr>
        <w:t>menyebutkan bahwa : “Setiap anak berhak mendapatkan perlindungan di satuan pendidikan dari kejahatan seksual dan kekerasan yang dilakukan oleh pendidik, tenaga kependidikan, sesama peserta didik, dan/atau pihak lain”. Hal ini berarti dimanapun anak berada, anak berhak mendapatkan perlindungan dari segala bentuk tindak kekerasan dan mendapatkan perlindungan dari berbagai pihak.</w:t>
      </w:r>
    </w:p>
    <w:p w:rsidR="009C7D1F" w:rsidRPr="00BA394E" w:rsidRDefault="009C7D1F" w:rsidP="001D3179">
      <w:pPr>
        <w:pStyle w:val="BodyTextIndent"/>
        <w:numPr>
          <w:ilvl w:val="4"/>
          <w:numId w:val="9"/>
        </w:numPr>
        <w:tabs>
          <w:tab w:val="clear" w:pos="3600"/>
          <w:tab w:val="num" w:pos="360"/>
        </w:tabs>
        <w:ind w:left="360"/>
        <w:rPr>
          <w:color w:val="000000"/>
          <w:szCs w:val="24"/>
        </w:rPr>
      </w:pPr>
      <w:r w:rsidRPr="00BA394E">
        <w:rPr>
          <w:color w:val="000000"/>
          <w:szCs w:val="24"/>
        </w:rPr>
        <w:t xml:space="preserve">Pasal 15 : “Setiap anak berhak untuk memperoleh perlindungan dari penyalahgunaan dalam kegiatan politik, perlibatan dalam sengketa bersenjata, perlibatan dalam kerusuhan sosial, perlibatan dalam peristiwa yang mengandung unsur kekerasan, perlibatan dalam peperangan, dan kejahatan seksual”. Bunyi pasal ini menegaskan bahwa setiap anak-anak berhak mendapatkan perlindungan dari segala jenis penyalahgunaan dan kekerasan seksual. </w:t>
      </w:r>
    </w:p>
    <w:p w:rsidR="009C7D1F" w:rsidRPr="00BA394E" w:rsidRDefault="009C7D1F" w:rsidP="001D3179">
      <w:pPr>
        <w:pStyle w:val="BodyTextIndent"/>
        <w:numPr>
          <w:ilvl w:val="4"/>
          <w:numId w:val="9"/>
        </w:numPr>
        <w:tabs>
          <w:tab w:val="clear" w:pos="3600"/>
          <w:tab w:val="num" w:pos="360"/>
        </w:tabs>
        <w:ind w:left="360"/>
        <w:rPr>
          <w:color w:val="000000"/>
          <w:szCs w:val="24"/>
        </w:rPr>
      </w:pPr>
      <w:r w:rsidRPr="00BA394E">
        <w:rPr>
          <w:color w:val="000000"/>
          <w:szCs w:val="24"/>
        </w:rPr>
        <w:t xml:space="preserve">Pasal 76D : “Setiap orang dilarang melakukan kekerasan atau ancaman kekerasan memaksa anak melakukan persetubuhan dengannya atau dengan </w:t>
      </w:r>
      <w:r w:rsidRPr="00BA394E">
        <w:rPr>
          <w:color w:val="000000"/>
          <w:szCs w:val="24"/>
        </w:rPr>
        <w:lastRenderedPageBreak/>
        <w:t xml:space="preserve">orang lain”. Pasal ini menjelaskan bahwa setiap anak dilarang untuk mendapatkan paksaan dari orang lain untuk melakukan persetubuhan. Hal ini berarti setiap orang wajib melindungi anak dari sgala jenis tindak pidana yang berhubungan dengan kekerasan seksual. </w:t>
      </w:r>
    </w:p>
    <w:p w:rsidR="009C7D1F" w:rsidRPr="00BA394E" w:rsidRDefault="009C7D1F" w:rsidP="001D3179">
      <w:pPr>
        <w:pStyle w:val="BodyTextIndent"/>
        <w:numPr>
          <w:ilvl w:val="4"/>
          <w:numId w:val="9"/>
        </w:numPr>
        <w:tabs>
          <w:tab w:val="clear" w:pos="3600"/>
          <w:tab w:val="num" w:pos="360"/>
        </w:tabs>
        <w:ind w:left="360"/>
        <w:rPr>
          <w:color w:val="000000"/>
          <w:szCs w:val="24"/>
        </w:rPr>
      </w:pPr>
      <w:r w:rsidRPr="00BA394E">
        <w:rPr>
          <w:color w:val="000000"/>
          <w:szCs w:val="24"/>
        </w:rPr>
        <w:t>Pasal 76E: “</w:t>
      </w:r>
      <w:r w:rsidRPr="00BA394E">
        <w:rPr>
          <w:szCs w:val="24"/>
        </w:rPr>
        <w:t xml:space="preserve">Setiap orang dilarang melakukan kekerasan atau ancaman kekerasan, memaksa, melakukan tipu muslihat, melakukan serangkaian kebohongan atau membujuk anak untuk melakukan atau membiarkan dilakukan perbuatan cabul”. </w:t>
      </w:r>
      <w:r w:rsidRPr="00BA394E">
        <w:rPr>
          <w:color w:val="000000"/>
          <w:szCs w:val="24"/>
        </w:rPr>
        <w:t>Pasal ini menegaskan bahwa setiap orang dilarang keras untuk melakukan kekerasan terhadap anak yang berupa ancaman, memaksa, menggunakan tipu muslihat kepada anak, melakukan kebohongan, membujuk dan/atau membiarkan suatu perbuatan cabul terhadap anak.</w:t>
      </w:r>
    </w:p>
    <w:p w:rsidR="009C7D1F" w:rsidRPr="00BA394E" w:rsidRDefault="009C7D1F" w:rsidP="009C7D1F">
      <w:pPr>
        <w:pStyle w:val="BodyTextIndent"/>
        <w:tabs>
          <w:tab w:val="num" w:pos="360"/>
        </w:tabs>
        <w:rPr>
          <w:szCs w:val="24"/>
        </w:rPr>
      </w:pPr>
      <w:r w:rsidRPr="00BA394E">
        <w:rPr>
          <w:szCs w:val="24"/>
        </w:rPr>
        <w:tab/>
      </w:r>
      <w:r w:rsidRPr="00BA394E">
        <w:rPr>
          <w:szCs w:val="24"/>
        </w:rPr>
        <w:tab/>
        <w:t xml:space="preserve">Hukuman dari perbuatan tersebut diatur dalam </w:t>
      </w:r>
    </w:p>
    <w:p w:rsidR="009C7D1F" w:rsidRPr="00BA394E" w:rsidRDefault="009C7D1F" w:rsidP="001D3179">
      <w:pPr>
        <w:pStyle w:val="BodyTextIndent"/>
        <w:numPr>
          <w:ilvl w:val="0"/>
          <w:numId w:val="13"/>
        </w:numPr>
        <w:ind w:left="360"/>
        <w:rPr>
          <w:szCs w:val="24"/>
        </w:rPr>
      </w:pPr>
      <w:r w:rsidRPr="00BA394E">
        <w:rPr>
          <w:szCs w:val="24"/>
        </w:rPr>
        <w:t>Pasal 81 Undang-Undang Nomor 17 Tahun 2016 Tentang Perlindungan Anak menyebutkan :</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Setiap orang yang melanggar ketentuan sebagaimana dimaksud dalam Pasal 76D dipidana dengan pidana penjara paling singkat 5 (lima) tahun dan paling lama 15 (lima belas) tahun dan denda paling banyak Rp. 5.000.000.000,00 (lima milyar rupiah)</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Ketentuan pidana sebagaimana dimaksud pada ayat (1) berlaku pula bagi setiap orang yang dengan sengaja melakukan tipu muslihat, serangkaian kebohongan, atau membujuk anak melakukan persetubuhannya dengannya atau dengan orang lain.</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Dalam hal tindak pidana sebagaimana dimaksud pada ayat (1) dilakukan oleh orang tua, wali, orang-orang yang mempunyai hubungan keluarga, pengasuh anak, pendidik, tenaga kependidikan, aparat yang menangani perlindungan anak, atau dilakukan oleh lebih dari satu orang secara bersama-sama, pidananya ditambah 1/3 (sepertiga) dari ancaman pidana sebagaimana dimaksud pada ayat (1).</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 xml:space="preserve">Selain terhadap pelaku sebagaimana dimaksud pada ayat (3), penambahan 1/3 (sepertiga) dari ancaman pidana juga dikenakan </w:t>
      </w:r>
      <w:r w:rsidRPr="00BA394E">
        <w:rPr>
          <w:color w:val="000000"/>
        </w:rPr>
        <w:lastRenderedPageBreak/>
        <w:t>kepada pelaku yang pernah dipidana karena melakukan tindak pidana sebagaimana dimaksud dalam Pasal 76D.</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Dalam hal tindak pidana sebagaimana dimaksud dalam Pasal 76D menimbulkan korban lebih dari satu orang, mengakibatkan luka berat, gangguan jiwa, penyakit menular, terganggu atau hilangnya fungsi reproduksi, dan/atau korban meninggal dunia, pelaku dipidana mati, seumur hidup, atau pidana penjara paling singkat 10 (sepuluh) tahun dan paling lama 20 (dua puluh) tahun.</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Selain dikenai pidana sebagaimana dimaksud pada ayat (1), ayat (3), ayat (4), pelaku dapat dikenai pidana tambahan berupa pengumuman identitas pelaku.</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Terhadap pelaku sebagaimana dimaksud pada ayat (4) dan ayat (5) dapat dikenai tindakan berupa kebiri kimia dan pemasangan cip.</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Tindakan sebagaimana dimaksud pada ayat (7) diputuskan bersama-sama dengan pidana pokok dengan memuat jangka waktu pelaksanaan tindakan.</w:t>
      </w:r>
    </w:p>
    <w:p w:rsidR="009C7D1F" w:rsidRPr="00BA394E" w:rsidRDefault="009C7D1F" w:rsidP="001D3179">
      <w:pPr>
        <w:numPr>
          <w:ilvl w:val="0"/>
          <w:numId w:val="14"/>
        </w:numPr>
        <w:autoSpaceDE w:val="0"/>
        <w:autoSpaceDN w:val="0"/>
        <w:adjustRightInd w:val="0"/>
        <w:ind w:left="1080"/>
        <w:jc w:val="both"/>
        <w:rPr>
          <w:color w:val="000000"/>
        </w:rPr>
      </w:pPr>
      <w:r w:rsidRPr="00BA394E">
        <w:rPr>
          <w:color w:val="000000"/>
        </w:rPr>
        <w:t>Pidana tambahan dan tindakan dikecualikan bagi pelaku anak.</w:t>
      </w:r>
    </w:p>
    <w:p w:rsidR="009C7D1F" w:rsidRPr="00BA394E" w:rsidRDefault="009C7D1F" w:rsidP="009C7D1F">
      <w:pPr>
        <w:autoSpaceDE w:val="0"/>
        <w:autoSpaceDN w:val="0"/>
        <w:adjustRightInd w:val="0"/>
        <w:ind w:left="1080"/>
        <w:jc w:val="both"/>
        <w:rPr>
          <w:color w:val="000000"/>
        </w:rPr>
      </w:pPr>
    </w:p>
    <w:p w:rsidR="009C7D1F" w:rsidRPr="00BA394E" w:rsidRDefault="009C7D1F" w:rsidP="001D3179">
      <w:pPr>
        <w:numPr>
          <w:ilvl w:val="0"/>
          <w:numId w:val="13"/>
        </w:numPr>
        <w:autoSpaceDE w:val="0"/>
        <w:autoSpaceDN w:val="0"/>
        <w:adjustRightInd w:val="0"/>
        <w:spacing w:line="480" w:lineRule="auto"/>
        <w:ind w:left="360"/>
        <w:jc w:val="both"/>
        <w:rPr>
          <w:color w:val="000000"/>
        </w:rPr>
      </w:pPr>
      <w:r w:rsidRPr="00BA394E">
        <w:rPr>
          <w:color w:val="000000"/>
        </w:rPr>
        <w:t xml:space="preserve">Diantara Pasal 81 dan Pasal 82 disisipkan 1 (satu) pasal yakni Pasal 81A yang berbunyi sebagai berikut : </w:t>
      </w:r>
    </w:p>
    <w:p w:rsidR="009C7D1F" w:rsidRPr="00BA394E" w:rsidRDefault="009C7D1F" w:rsidP="001D3179">
      <w:pPr>
        <w:numPr>
          <w:ilvl w:val="0"/>
          <w:numId w:val="16"/>
        </w:numPr>
        <w:autoSpaceDE w:val="0"/>
        <w:autoSpaceDN w:val="0"/>
        <w:adjustRightInd w:val="0"/>
        <w:ind w:left="1134" w:hanging="425"/>
        <w:jc w:val="both"/>
        <w:rPr>
          <w:color w:val="000000"/>
        </w:rPr>
      </w:pPr>
      <w:r w:rsidRPr="00BA394E">
        <w:rPr>
          <w:color w:val="000000"/>
        </w:rPr>
        <w:t>Tindakan sebagaimana dimaksud dalam Pasal 81 Ayat (7) dikenakan untuk jangka waktu paling lama 2 (dua) tahun dan dilaksanakan setelah terpidana menjalani pidana pokok.</w:t>
      </w:r>
    </w:p>
    <w:p w:rsidR="009C7D1F" w:rsidRPr="00BA394E" w:rsidRDefault="009C7D1F" w:rsidP="001D3179">
      <w:pPr>
        <w:numPr>
          <w:ilvl w:val="0"/>
          <w:numId w:val="16"/>
        </w:numPr>
        <w:autoSpaceDE w:val="0"/>
        <w:autoSpaceDN w:val="0"/>
        <w:adjustRightInd w:val="0"/>
        <w:ind w:left="1134" w:hanging="425"/>
        <w:jc w:val="both"/>
        <w:rPr>
          <w:color w:val="000000"/>
        </w:rPr>
      </w:pPr>
      <w:r w:rsidRPr="00BA394E">
        <w:rPr>
          <w:color w:val="000000"/>
        </w:rPr>
        <w:t>Pelaksanaan tindakan sebagaimana dimaksud pada ayat (1) di bawah pengawasan secara berkala oleh Kementerian yang menyelenggarakan urusan pemerintahan di bidang hukum, sosial, dan kesehatan.</w:t>
      </w:r>
    </w:p>
    <w:p w:rsidR="009C7D1F" w:rsidRPr="00BA394E" w:rsidRDefault="009C7D1F" w:rsidP="001D3179">
      <w:pPr>
        <w:numPr>
          <w:ilvl w:val="0"/>
          <w:numId w:val="16"/>
        </w:numPr>
        <w:autoSpaceDE w:val="0"/>
        <w:autoSpaceDN w:val="0"/>
        <w:adjustRightInd w:val="0"/>
        <w:ind w:left="1134" w:hanging="425"/>
        <w:jc w:val="both"/>
        <w:rPr>
          <w:color w:val="000000"/>
        </w:rPr>
      </w:pPr>
      <w:r w:rsidRPr="00BA394E">
        <w:rPr>
          <w:color w:val="000000"/>
        </w:rPr>
        <w:t>Pelaksanaan kebiri kimia disertai dengan rehabilitasi.</w:t>
      </w:r>
    </w:p>
    <w:p w:rsidR="009C7D1F" w:rsidRPr="00BA394E" w:rsidRDefault="009C7D1F" w:rsidP="001D3179">
      <w:pPr>
        <w:numPr>
          <w:ilvl w:val="0"/>
          <w:numId w:val="16"/>
        </w:numPr>
        <w:autoSpaceDE w:val="0"/>
        <w:autoSpaceDN w:val="0"/>
        <w:adjustRightInd w:val="0"/>
        <w:ind w:left="1134" w:hanging="425"/>
        <w:jc w:val="both"/>
        <w:rPr>
          <w:color w:val="000000"/>
        </w:rPr>
      </w:pPr>
      <w:r w:rsidRPr="00BA394E">
        <w:rPr>
          <w:color w:val="000000"/>
        </w:rPr>
        <w:t>Ketentuan lebih lanjut mengenai tata cara pelaksanaan tindakan dan rehabilitasi diatur dengan peraturan pemerintah.</w:t>
      </w:r>
    </w:p>
    <w:p w:rsidR="009C7D1F" w:rsidRPr="00BA394E" w:rsidRDefault="009C7D1F" w:rsidP="009C7D1F">
      <w:pPr>
        <w:autoSpaceDE w:val="0"/>
        <w:autoSpaceDN w:val="0"/>
        <w:adjustRightInd w:val="0"/>
        <w:ind w:left="1134"/>
        <w:jc w:val="both"/>
        <w:rPr>
          <w:color w:val="000000"/>
        </w:rPr>
      </w:pPr>
    </w:p>
    <w:p w:rsidR="009C7D1F" w:rsidRPr="00BA394E" w:rsidRDefault="009C7D1F" w:rsidP="001D3179">
      <w:pPr>
        <w:numPr>
          <w:ilvl w:val="0"/>
          <w:numId w:val="13"/>
        </w:numPr>
        <w:autoSpaceDE w:val="0"/>
        <w:autoSpaceDN w:val="0"/>
        <w:adjustRightInd w:val="0"/>
        <w:spacing w:line="480" w:lineRule="auto"/>
        <w:ind w:left="360"/>
        <w:jc w:val="both"/>
        <w:rPr>
          <w:color w:val="000000"/>
        </w:rPr>
      </w:pPr>
      <w:r w:rsidRPr="00BA394E">
        <w:rPr>
          <w:color w:val="000000"/>
        </w:rPr>
        <w:t xml:space="preserve">Pasal 82 </w:t>
      </w:r>
      <w:r w:rsidRPr="00BA394E">
        <w:t xml:space="preserve">Undang-Undang Nomor 17 Tahun 2016 Tentang Perlindungan Anak </w:t>
      </w:r>
      <w:r w:rsidRPr="00BA394E">
        <w:rPr>
          <w:color w:val="000000"/>
        </w:rPr>
        <w:t xml:space="preserve">menyebutkan : </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Setiap orang yang melanggar ketentuan sebagaimana dimaksud dalam Pasal 76E dipidana dengan pidana penjara paling singkat 5 (lima) tahun dan paling lama 15 (lima belas) tahun dan denda paling banyak Rp. 5.000.000.000,00 (lima milyar rupiah).</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Dalam hal tindak pidana sebagaimana dimaksud pada ayat (1) dilakukan oleh orang tua, wali, orang-orang yang mempunyai hubungan keluarga, pengasuh anak, pendidik, tenaga kependidikan, aparat yang menangani perlindungan anak, atau dilakukan oleh lebih dari satu orang secara bersama-sama, pidananya ditambah 1/3 (sepertiga) dari ancaman pidana sebagaimana dimaksud pada ayat (1)</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lastRenderedPageBreak/>
        <w:t>Selain terhadap pelaku sebagaimana dimaksud pada ayat (2), penambahan 1/3 (sepertiga) dari ancaman pidana juga dikenakan kepada pelaku yang pernah dipidana karena melakukan tindak pidana sebagaimana dimaksud dalam Pasal 76E.</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Dalam hal tindak pidana sebagaimana dimaksud dalam Pasal 76E menimbulkan korban lebih dari satu orang, mengakibatkan luka berat, gangguan jiwa, penyakit menular, terganggu atau hilangnya fungsi reproduksi, dan/atau korban meningga dunia, pidananya ditambah 1/3 (sepertiga) dari ancaman pidana sebagaimana dimaksud pada ayat (1)</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Selain dikenai pidana sebagaimana dimaksud pada ayat (1) sampai dengan ayat (4) pelaku dapat dikenai pidana tambahan berupa pengumuman identitas pelaku.</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Terhadap pelaku sebagaimana dimaksud pada ayat (2) sampai dengan ayat (4) dapat dikenai tindakan rehabilitasi dan pemasangan cip.</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Tindakan sebagaimana dimaksud pada ayat (6) diputuskan bersama-sama dengan pidana pokok dengan memuat jangka waktu pelaksanaan tindakan.</w:t>
      </w:r>
    </w:p>
    <w:p w:rsidR="009C7D1F" w:rsidRPr="00BA394E" w:rsidRDefault="009C7D1F" w:rsidP="001D3179">
      <w:pPr>
        <w:numPr>
          <w:ilvl w:val="0"/>
          <w:numId w:val="15"/>
        </w:numPr>
        <w:autoSpaceDE w:val="0"/>
        <w:autoSpaceDN w:val="0"/>
        <w:adjustRightInd w:val="0"/>
        <w:ind w:left="1134"/>
        <w:jc w:val="both"/>
        <w:rPr>
          <w:color w:val="000000"/>
        </w:rPr>
      </w:pPr>
      <w:r w:rsidRPr="00BA394E">
        <w:rPr>
          <w:color w:val="000000"/>
        </w:rPr>
        <w:t>Pidana tambahan dikecualikan bagi pelaku anak.</w:t>
      </w:r>
    </w:p>
    <w:p w:rsidR="009C7D1F" w:rsidRPr="00BA394E" w:rsidRDefault="009C7D1F" w:rsidP="009C7D1F">
      <w:pPr>
        <w:autoSpaceDE w:val="0"/>
        <w:autoSpaceDN w:val="0"/>
        <w:adjustRightInd w:val="0"/>
        <w:ind w:left="1134"/>
        <w:jc w:val="both"/>
        <w:rPr>
          <w:color w:val="000000"/>
        </w:rPr>
      </w:pPr>
    </w:p>
    <w:p w:rsidR="009C7D1F" w:rsidRPr="00BA394E" w:rsidRDefault="009C7D1F" w:rsidP="001D3179">
      <w:pPr>
        <w:numPr>
          <w:ilvl w:val="0"/>
          <w:numId w:val="13"/>
        </w:numPr>
        <w:autoSpaceDE w:val="0"/>
        <w:autoSpaceDN w:val="0"/>
        <w:adjustRightInd w:val="0"/>
        <w:spacing w:line="480" w:lineRule="auto"/>
        <w:ind w:left="360"/>
        <w:jc w:val="both"/>
        <w:rPr>
          <w:color w:val="000000"/>
        </w:rPr>
      </w:pPr>
      <w:r w:rsidRPr="00BA394E">
        <w:rPr>
          <w:color w:val="000000"/>
        </w:rPr>
        <w:t xml:space="preserve">Pasal 82A yang berbunyi sebagai berikut : </w:t>
      </w:r>
    </w:p>
    <w:p w:rsidR="009C7D1F" w:rsidRPr="00BA394E" w:rsidRDefault="009C7D1F" w:rsidP="001D3179">
      <w:pPr>
        <w:numPr>
          <w:ilvl w:val="0"/>
          <w:numId w:val="17"/>
        </w:numPr>
        <w:autoSpaceDE w:val="0"/>
        <w:autoSpaceDN w:val="0"/>
        <w:adjustRightInd w:val="0"/>
        <w:ind w:left="1134"/>
        <w:jc w:val="both"/>
        <w:rPr>
          <w:color w:val="000000"/>
        </w:rPr>
      </w:pPr>
      <w:r w:rsidRPr="00BA394E">
        <w:rPr>
          <w:color w:val="000000"/>
        </w:rPr>
        <w:t>Tindakan sebagaimana dimaksud dalam Pasal 82 Ayat (6) dilaksanakan selama dan/atau setelah terpidana menjalani pidana pokok.</w:t>
      </w:r>
    </w:p>
    <w:p w:rsidR="009C7D1F" w:rsidRPr="00BA394E" w:rsidRDefault="009C7D1F" w:rsidP="001D3179">
      <w:pPr>
        <w:numPr>
          <w:ilvl w:val="0"/>
          <w:numId w:val="17"/>
        </w:numPr>
        <w:autoSpaceDE w:val="0"/>
        <w:autoSpaceDN w:val="0"/>
        <w:adjustRightInd w:val="0"/>
        <w:ind w:left="1134"/>
        <w:jc w:val="both"/>
        <w:rPr>
          <w:color w:val="000000"/>
        </w:rPr>
      </w:pPr>
      <w:r w:rsidRPr="00BA394E">
        <w:rPr>
          <w:color w:val="000000"/>
        </w:rPr>
        <w:t>Pelaksanaan tindakan sebagaimana dimaksud pada ayat (1) di bawah pengawasan secara berkala oleh kementerian yang menyelenggarakan urusan pemerintahan di bidang hukum, sosial, dan kesehatan.</w:t>
      </w:r>
    </w:p>
    <w:p w:rsidR="009C7D1F" w:rsidRPr="00BA394E" w:rsidRDefault="009C7D1F" w:rsidP="001D3179">
      <w:pPr>
        <w:numPr>
          <w:ilvl w:val="0"/>
          <w:numId w:val="17"/>
        </w:numPr>
        <w:autoSpaceDE w:val="0"/>
        <w:autoSpaceDN w:val="0"/>
        <w:adjustRightInd w:val="0"/>
        <w:ind w:left="1134"/>
        <w:jc w:val="both"/>
        <w:rPr>
          <w:color w:val="000000"/>
        </w:rPr>
      </w:pPr>
      <w:r w:rsidRPr="00BA394E">
        <w:rPr>
          <w:color w:val="000000"/>
        </w:rPr>
        <w:t>Ketentuan lebih lanjut mengenai tata cara pelaksaaan tindakan diatur dengan Peraturan Pemerintah.</w:t>
      </w:r>
    </w:p>
    <w:p w:rsidR="009C7D1F" w:rsidRPr="00BA394E" w:rsidRDefault="009C7D1F" w:rsidP="009C7D1F">
      <w:pPr>
        <w:autoSpaceDE w:val="0"/>
        <w:autoSpaceDN w:val="0"/>
        <w:adjustRightInd w:val="0"/>
        <w:ind w:left="1134"/>
        <w:jc w:val="both"/>
        <w:rPr>
          <w:color w:val="000000"/>
        </w:rPr>
      </w:pPr>
    </w:p>
    <w:p w:rsidR="009C7D1F" w:rsidRPr="00BA394E" w:rsidRDefault="009C7D1F" w:rsidP="009C7D1F">
      <w:pPr>
        <w:pStyle w:val="BodyTextIndent"/>
        <w:tabs>
          <w:tab w:val="clear" w:pos="0"/>
        </w:tabs>
        <w:ind w:firstLine="709"/>
        <w:rPr>
          <w:szCs w:val="24"/>
        </w:rPr>
      </w:pPr>
      <w:r w:rsidRPr="00BA394E">
        <w:rPr>
          <w:szCs w:val="24"/>
        </w:rPr>
        <w:t xml:space="preserve">Berdasarkan ketentuan sanksi pidana di atas, maka diketahui bahwa jenis sanksi pidana pokok yang dapat dijatuhkan terhadap pelaku yang melakukan kejahatan kesusilaan menurut KUHP berupa pidana penjara. Sanksi pidana dalam KUHP hanya menerapkan sanksi pidana maksimum tanpa menerapkan pidana minimal dan juga denda. Barulah kemudian pada ketentuan Undang-Undang Nomor 35 Tahun 2014 diterapkan pidana minimal dan maksimal yaitu 5 (lima) tahun dan maksimal 15 (lima belas) tahun serta pidana denda maksimal lima milyar rupiah, serta terdapat ketentuan penambahan sanksi pidana penjara 1/3 </w:t>
      </w:r>
      <w:r w:rsidRPr="00BA394E">
        <w:rPr>
          <w:szCs w:val="24"/>
        </w:rPr>
        <w:lastRenderedPageBreak/>
        <w:t>(sepertiga) jika pelaku merupakan orang tua, wali, pengasuh anak, pendidik atau tenaga kependidikan.</w:t>
      </w:r>
    </w:p>
    <w:p w:rsidR="009C7D1F" w:rsidRPr="00BA394E" w:rsidRDefault="009C7D1F" w:rsidP="009C7D1F">
      <w:pPr>
        <w:pStyle w:val="BodyTextIndent"/>
        <w:tabs>
          <w:tab w:val="clear" w:pos="0"/>
        </w:tabs>
        <w:ind w:firstLine="709"/>
        <w:rPr>
          <w:szCs w:val="24"/>
        </w:rPr>
      </w:pPr>
      <w:r w:rsidRPr="00BA394E">
        <w:rPr>
          <w:szCs w:val="24"/>
        </w:rPr>
        <w:t>Ketentuan penambahan sanksi pidana merupakan terobosan dari segi sanksi yang belum ada sebelumnya. Hal ini dapat dikatakan merupakan aturan yang baik, karena pada kenyataannya banyak pelaku kekerasan seksual terhadap anak tidak lain merupakan orang-orang terdekat anak itu sendiri misalnya orang tua dan wali. Pelaku sering kali menyalahgunakan posisinya untuk kemudian memuluskan niatnya melakukan tindak pidana.</w:t>
      </w:r>
    </w:p>
    <w:p w:rsidR="009C7D1F" w:rsidRPr="00BA394E" w:rsidRDefault="009C7D1F" w:rsidP="009C7D1F">
      <w:pPr>
        <w:ind w:left="360"/>
        <w:jc w:val="both"/>
        <w:rPr>
          <w:b/>
          <w:lang w:val="sv-SE"/>
        </w:rPr>
      </w:pPr>
    </w:p>
    <w:p w:rsidR="009C7D1F" w:rsidRPr="00BA394E" w:rsidRDefault="009C7D1F" w:rsidP="001D3179">
      <w:pPr>
        <w:numPr>
          <w:ilvl w:val="0"/>
          <w:numId w:val="10"/>
        </w:numPr>
        <w:spacing w:line="480" w:lineRule="auto"/>
        <w:ind w:left="360"/>
        <w:jc w:val="both"/>
        <w:rPr>
          <w:b/>
          <w:lang w:val="sv-SE"/>
        </w:rPr>
      </w:pPr>
      <w:r w:rsidRPr="00BA394E">
        <w:rPr>
          <w:b/>
          <w:bCs/>
        </w:rPr>
        <w:t>Hukuman Kebiri Kimia</w:t>
      </w:r>
      <w:r w:rsidRPr="00BA394E">
        <w:rPr>
          <w:b/>
          <w:bCs/>
          <w:i/>
          <w:iCs/>
        </w:rPr>
        <w:t xml:space="preserve"> </w:t>
      </w:r>
      <w:r w:rsidRPr="00BA394E">
        <w:rPr>
          <w:b/>
          <w:bCs/>
        </w:rPr>
        <w:t xml:space="preserve">Terhadap Pelaku Tindak Pidana Kekerasan Seksual Pada Anak Berdasarkan  Perspektif Kebijakan Hukum Pidana </w:t>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rPr>
        <w:t>Mengacu pada perkembangan kejahatan kekerasan seksual terhadap anak dan melihat dampak yang ditimbulkan oleh kejahatan kekerasan seksual tersebut yang dapat mengganngu atau merusak jiwa atau kondisi psikologis dari anak yang menjadi korban tersebut atau dapat dikatakan kondisi masa depan anak menjadi terganggu dengan kondisi kekerasan seksual yang dialaminya. Demikian juga penegakan hukum terhadap kejahatan kekerasan seksual, tidak hanya diarahkan kepada penegakan keadilan hukum, tetapi juga harus diarahkan pada penegakan keadilan sosial secara simultan. Artinya, tidak hanya sebatas memberikan hukuman atau sanksi pidana kepada pelaku dengan sanksi atau hukuman pidana yang seberat-beratnya, melainkan juga agar dapat terjadi kondisi pemulihan pada diri anak sebagai korban tindak pidana dan masyarakat menyadari akan pentingnya dalam menjaga dan melindungi diri anak-anak disekitar sebagai generasi penerus bangsa</w:t>
      </w:r>
      <w:r w:rsidRPr="00BA394E">
        <w:rPr>
          <w:rFonts w:ascii="Times New Roman" w:hAnsi="Times New Roman"/>
          <w:sz w:val="24"/>
          <w:szCs w:val="24"/>
          <w:lang w:val="en-US"/>
        </w:rPr>
        <w:t>.</w:t>
      </w:r>
    </w:p>
    <w:p w:rsidR="009C7D1F" w:rsidRPr="00BA394E" w:rsidRDefault="009C7D1F" w:rsidP="009C7D1F">
      <w:pPr>
        <w:pStyle w:val="ListParagraph"/>
        <w:spacing w:after="0" w:line="480" w:lineRule="auto"/>
        <w:ind w:left="0" w:firstLine="720"/>
        <w:jc w:val="both"/>
        <w:rPr>
          <w:rFonts w:ascii="Times New Roman" w:hAnsi="Times New Roman"/>
          <w:color w:val="000000"/>
          <w:sz w:val="24"/>
          <w:szCs w:val="24"/>
        </w:rPr>
      </w:pPr>
      <w:r w:rsidRPr="00BA394E">
        <w:rPr>
          <w:rFonts w:ascii="Times New Roman" w:hAnsi="Times New Roman"/>
          <w:color w:val="000000"/>
          <w:sz w:val="24"/>
          <w:szCs w:val="24"/>
        </w:rPr>
        <w:lastRenderedPageBreak/>
        <w:t>Berdasarkan hal tersebut, maka dilakukan upaya kebijakan hukum pidana dengan melakukan pembaharuan hukum pidana yakni pembaharuan undang-undang perlindungan anak.Usaha pembaharuan hukum pidana di Indonesia tentunya tidak terlepas dari politik hukum yang bertugas untuk meneliti perubahan-perubahan yang perlu diadakan terhadap hukum yang ada agar dapat memenuhi kebutuhan-kebutuhan baru di dalam masyarakat. Politik hukum</w:t>
      </w:r>
      <w:r w:rsidRPr="00BA394E">
        <w:rPr>
          <w:rFonts w:ascii="Times New Roman" w:hAnsi="Times New Roman"/>
          <w:color w:val="000000"/>
          <w:position w:val="8"/>
          <w:sz w:val="24"/>
          <w:szCs w:val="24"/>
          <w:vertAlign w:val="superscript"/>
          <w:lang w:val="en-US"/>
        </w:rPr>
        <w:t xml:space="preserve"> </w:t>
      </w:r>
      <w:r w:rsidRPr="00BA394E">
        <w:rPr>
          <w:rFonts w:ascii="Times New Roman" w:hAnsi="Times New Roman"/>
          <w:color w:val="000000"/>
          <w:sz w:val="24"/>
          <w:szCs w:val="24"/>
        </w:rPr>
        <w:t xml:space="preserve">tersebut meneruskan arah perkembangan tertib hukum dari </w:t>
      </w:r>
      <w:r w:rsidRPr="00BA394E">
        <w:rPr>
          <w:rFonts w:ascii="Times New Roman" w:hAnsi="Times New Roman"/>
          <w:i/>
          <w:iCs/>
          <w:color w:val="000000"/>
          <w:sz w:val="24"/>
          <w:szCs w:val="24"/>
        </w:rPr>
        <w:t xml:space="preserve">‘ius constitutum’ </w:t>
      </w:r>
      <w:r w:rsidRPr="00BA394E">
        <w:rPr>
          <w:rFonts w:ascii="Times New Roman" w:hAnsi="Times New Roman"/>
          <w:color w:val="000000"/>
          <w:sz w:val="24"/>
          <w:szCs w:val="24"/>
        </w:rPr>
        <w:t xml:space="preserve">yang bertumpu pada kerangka landasan hukum yang terdahulu menuju pada penyusunan </w:t>
      </w:r>
      <w:r w:rsidRPr="00BA394E">
        <w:rPr>
          <w:rFonts w:ascii="Times New Roman" w:hAnsi="Times New Roman"/>
          <w:i/>
          <w:iCs/>
          <w:color w:val="000000"/>
          <w:sz w:val="24"/>
          <w:szCs w:val="24"/>
        </w:rPr>
        <w:t xml:space="preserve">‘ius constituendum’ </w:t>
      </w:r>
      <w:r w:rsidRPr="00BA394E">
        <w:rPr>
          <w:rFonts w:ascii="Times New Roman" w:hAnsi="Times New Roman"/>
          <w:color w:val="000000"/>
          <w:sz w:val="24"/>
          <w:szCs w:val="24"/>
        </w:rPr>
        <w:t xml:space="preserve">atau hukum pada masa yang akan datang. </w:t>
      </w:r>
      <w:r w:rsidRPr="00BA394E">
        <w:rPr>
          <w:rStyle w:val="FootnoteReference"/>
          <w:rFonts w:ascii="Times New Roman" w:hAnsi="Times New Roman"/>
          <w:color w:val="000000"/>
          <w:sz w:val="24"/>
          <w:szCs w:val="24"/>
        </w:rPr>
        <w:footnoteReference w:id="2"/>
      </w:r>
    </w:p>
    <w:p w:rsidR="009C7D1F" w:rsidRPr="00BA394E" w:rsidRDefault="009C7D1F" w:rsidP="009C7D1F">
      <w:pPr>
        <w:pStyle w:val="ListParagraph"/>
        <w:spacing w:after="0" w:line="480" w:lineRule="auto"/>
        <w:ind w:left="0" w:firstLine="720"/>
        <w:jc w:val="both"/>
        <w:rPr>
          <w:rFonts w:ascii="Times New Roman" w:hAnsi="Times New Roman"/>
          <w:sz w:val="24"/>
          <w:szCs w:val="24"/>
        </w:rPr>
      </w:pPr>
      <w:r w:rsidRPr="00BA394E">
        <w:rPr>
          <w:rFonts w:ascii="Times New Roman" w:eastAsia="Times New Roman" w:hAnsi="Times New Roman"/>
          <w:color w:val="000000"/>
          <w:sz w:val="24"/>
          <w:szCs w:val="24"/>
          <w:lang w:val="en-US"/>
        </w:rPr>
        <w:t>Hal tersebut di atas sejalan dengan yang dikemukakan oleh Barda Nawawi Arief, yaitu</w:t>
      </w:r>
      <w:r w:rsidRPr="00BA394E">
        <w:rPr>
          <w:rFonts w:ascii="Times New Roman" w:hAnsi="Times New Roman"/>
          <w:sz w:val="24"/>
          <w:szCs w:val="24"/>
        </w:rPr>
        <w:t xml:space="preserve"> </w:t>
      </w:r>
      <w:r w:rsidRPr="00BA394E">
        <w:rPr>
          <w:rFonts w:ascii="Times New Roman" w:hAnsi="Times New Roman"/>
          <w:sz w:val="24"/>
          <w:szCs w:val="24"/>
          <w:lang w:val="en-US"/>
        </w:rPr>
        <w:t>p</w:t>
      </w:r>
      <w:r w:rsidRPr="00BA394E">
        <w:rPr>
          <w:rFonts w:ascii="Times New Roman" w:hAnsi="Times New Roman"/>
          <w:sz w:val="24"/>
          <w:szCs w:val="24"/>
        </w:rPr>
        <w:t>embaharuan hukum pidana pada hakekatnya mengandung makna, suatu upaya untuk melakukan reorientasi dan reformasi hukum pidana yang sesuai dengan nilai-nilai sentral sosio politik, sosio filosofik, sosio cultural masyarakat Indonesia yang melandasi kebijakan sosial, kebijakan criminal dan kebijakan penegakan hukum di Indonesia</w:t>
      </w:r>
      <w:r w:rsidRPr="00BA394E">
        <w:rPr>
          <w:rFonts w:ascii="Times New Roman" w:hAnsi="Times New Roman"/>
          <w:sz w:val="24"/>
          <w:szCs w:val="24"/>
          <w:lang w:val="en-US"/>
        </w:rPr>
        <w:t>.</w:t>
      </w:r>
      <w:r w:rsidRPr="00BA394E">
        <w:rPr>
          <w:rStyle w:val="FootnoteReference"/>
          <w:rFonts w:ascii="Times New Roman" w:hAnsi="Times New Roman"/>
          <w:sz w:val="24"/>
          <w:szCs w:val="24"/>
          <w:lang w:val="en-US"/>
        </w:rPr>
        <w:footnoteReference w:id="3"/>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rPr>
        <w:t>Kebijakan menetapkan suatu sanksi pidana sebagai salah satu sarana untuk menanggulangi kejahatan, merupakan salah satu pemilihan dari beberapa alternatif.Kebijakan untuk menetapkan sanksi pidana sebagai bagian dari penanggulangan kejahatan tidak dapat dilepaskan dari tujuan Negara untuk melindungi segenap bangsa Indonesia dan untuk memajukan kesejahteraan umum berdasarkan pancasila dan Undang-Undang Dasar 1945.</w:t>
      </w:r>
      <w:r w:rsidRPr="00BA394E">
        <w:rPr>
          <w:rFonts w:ascii="Times New Roman" w:hAnsi="Times New Roman"/>
          <w:sz w:val="24"/>
          <w:szCs w:val="24"/>
          <w:lang w:val="en-US"/>
        </w:rPr>
        <w:t xml:space="preserve"> </w:t>
      </w:r>
      <w:r w:rsidRPr="00BA394E">
        <w:rPr>
          <w:rFonts w:ascii="Times New Roman" w:hAnsi="Times New Roman"/>
          <w:sz w:val="24"/>
          <w:szCs w:val="24"/>
        </w:rPr>
        <w:t xml:space="preserve">Dalam kondisi demikian, maka merupakan kewajiban Negara untuk melindungi dan membuat sejahtera </w:t>
      </w:r>
      <w:r w:rsidRPr="00BA394E">
        <w:rPr>
          <w:rFonts w:ascii="Times New Roman" w:hAnsi="Times New Roman"/>
          <w:sz w:val="24"/>
          <w:szCs w:val="24"/>
        </w:rPr>
        <w:lastRenderedPageBreak/>
        <w:t>masyarakat terutama dari kemungkinan terjadinya gangguan akibat tindak pidana yang terjadi</w:t>
      </w:r>
      <w:r w:rsidRPr="00BA394E">
        <w:rPr>
          <w:rFonts w:ascii="Times New Roman" w:hAnsi="Times New Roman"/>
          <w:sz w:val="24"/>
          <w:szCs w:val="24"/>
          <w:lang w:val="en-US"/>
        </w:rPr>
        <w:t>.</w:t>
      </w:r>
      <w:r w:rsidRPr="00BA394E">
        <w:rPr>
          <w:rStyle w:val="FootnoteReference"/>
          <w:rFonts w:ascii="Times New Roman" w:hAnsi="Times New Roman"/>
          <w:sz w:val="24"/>
          <w:szCs w:val="24"/>
          <w:lang w:val="en-US"/>
        </w:rPr>
        <w:footnoteReference w:id="4"/>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rPr>
        <w:t xml:space="preserve">Menerbitkan Undang-Undang Nomor Undang-Undang Nomor 17 Tahun 2016 Tentang </w:t>
      </w:r>
      <w:r w:rsidRPr="00BA394E">
        <w:rPr>
          <w:rFonts w:ascii="Times New Roman" w:hAnsi="Times New Roman"/>
          <w:sz w:val="24"/>
          <w:szCs w:val="24"/>
          <w:lang w:val="en-US"/>
        </w:rPr>
        <w:t xml:space="preserve">Perlindungan Anak </w:t>
      </w:r>
      <w:r w:rsidRPr="00BA394E">
        <w:rPr>
          <w:rFonts w:ascii="Times New Roman" w:hAnsi="Times New Roman"/>
          <w:sz w:val="24"/>
          <w:szCs w:val="24"/>
        </w:rPr>
        <w:t xml:space="preserve">merupakan kebijakan </w:t>
      </w:r>
      <w:r w:rsidRPr="00BA394E">
        <w:rPr>
          <w:rFonts w:ascii="Times New Roman" w:hAnsi="Times New Roman"/>
          <w:sz w:val="24"/>
          <w:szCs w:val="24"/>
          <w:lang w:val="en-US"/>
        </w:rPr>
        <w:t>p</w:t>
      </w:r>
      <w:r w:rsidRPr="00BA394E">
        <w:rPr>
          <w:rFonts w:ascii="Times New Roman" w:hAnsi="Times New Roman"/>
          <w:sz w:val="24"/>
          <w:szCs w:val="24"/>
        </w:rPr>
        <w:t xml:space="preserve">emerintah yang dalam hal ini Presiden dalam menanggapi maraknya kasus atau kejahatan kekerasan seksual terhadap anak. Pertimbangan diterbitkannya Undang-Undang Nomor 17 Tahun 2016 Tentang </w:t>
      </w:r>
      <w:r w:rsidRPr="00BA394E">
        <w:rPr>
          <w:rFonts w:ascii="Times New Roman" w:hAnsi="Times New Roman"/>
          <w:sz w:val="24"/>
          <w:szCs w:val="24"/>
          <w:lang w:val="en-US"/>
        </w:rPr>
        <w:t>Perlindungan Anak</w:t>
      </w:r>
      <w:r w:rsidRPr="00BA394E">
        <w:rPr>
          <w:rFonts w:ascii="Times New Roman" w:hAnsi="Times New Roman"/>
          <w:sz w:val="24"/>
          <w:szCs w:val="24"/>
        </w:rPr>
        <w:t xml:space="preserve"> adalah karena kekerasan seksual terhadap anak semakin meningkat secara signifikan yang mengancam dan membahayakan jiwa anak, merusak kehidupan pribadi dan tumbuh kembang anak serta mengganggu rasa kenyamanan, ketentraman, keamanan dan ketertiban masyarakat. </w:t>
      </w:r>
      <w:r w:rsidRPr="00BA394E">
        <w:rPr>
          <w:rStyle w:val="FootnoteReference"/>
          <w:rFonts w:ascii="Times New Roman" w:hAnsi="Times New Roman"/>
          <w:sz w:val="24"/>
          <w:szCs w:val="24"/>
          <w:lang w:val="en-US"/>
        </w:rPr>
        <w:footnoteReference w:id="5"/>
      </w:r>
      <w:r w:rsidRPr="00BA394E">
        <w:rPr>
          <w:rFonts w:ascii="Times New Roman" w:hAnsi="Times New Roman"/>
          <w:sz w:val="24"/>
          <w:szCs w:val="24"/>
          <w:lang w:val="en-US"/>
        </w:rPr>
        <w:t xml:space="preserve"> </w:t>
      </w:r>
      <w:r w:rsidRPr="00BA394E">
        <w:rPr>
          <w:rFonts w:ascii="Times New Roman" w:hAnsi="Times New Roman"/>
          <w:sz w:val="24"/>
          <w:szCs w:val="24"/>
        </w:rPr>
        <w:t>Pemerintah memandang sanksi pidana yang dijatuhkan bagi pelaku kekerasan seksual terhadap anak belum memberikan efek jera dan belum mampu mencegah secara komprehensif terjadinya kekerasan seksual terhadap anak</w:t>
      </w:r>
      <w:r w:rsidRPr="00BA394E">
        <w:rPr>
          <w:rFonts w:ascii="Times New Roman" w:hAnsi="Times New Roman"/>
          <w:sz w:val="24"/>
          <w:szCs w:val="24"/>
          <w:lang w:val="en-US"/>
        </w:rPr>
        <w:t>.</w:t>
      </w:r>
      <w:r w:rsidRPr="00BA394E">
        <w:rPr>
          <w:rStyle w:val="FootnoteReference"/>
          <w:rFonts w:ascii="Times New Roman" w:hAnsi="Times New Roman"/>
          <w:sz w:val="24"/>
          <w:szCs w:val="24"/>
          <w:lang w:val="en-US"/>
        </w:rPr>
        <w:footnoteReference w:id="6"/>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rPr>
        <w:t xml:space="preserve">Pengundangan Undang-Undang Nomor 17 Tahun 2016 Tentang </w:t>
      </w:r>
      <w:r w:rsidRPr="00BA394E">
        <w:rPr>
          <w:rFonts w:ascii="Times New Roman" w:hAnsi="Times New Roman"/>
          <w:sz w:val="24"/>
          <w:szCs w:val="24"/>
          <w:lang w:val="en-US"/>
        </w:rPr>
        <w:t>Perlindungan Anak</w:t>
      </w:r>
      <w:r w:rsidRPr="00BA394E">
        <w:rPr>
          <w:rFonts w:ascii="Times New Roman" w:hAnsi="Times New Roman"/>
          <w:sz w:val="24"/>
          <w:szCs w:val="24"/>
        </w:rPr>
        <w:t xml:space="preserve"> merupakan momentum yang sangat tepat di tengah maraknya kekerasan seksual yang menimpa anak. Masih segar dalam ingatan ketika publik dikejutkan dengan kematian Eno (18 Tahun). Eno ditemukan tewas mengenaskan setelah diperkosa dan dibunuh oleh pacarnya dan teman-temannya sekantornya sendiri dengan cara yang sangat sadis. Sebelum kematian Eno juga telah terjadi beberapa kematian yang diakibatkan kekerasan seksual, seperti yang menimpa </w:t>
      </w:r>
      <w:r w:rsidRPr="00BA394E">
        <w:rPr>
          <w:rFonts w:ascii="Times New Roman" w:hAnsi="Times New Roman"/>
          <w:sz w:val="24"/>
          <w:szCs w:val="24"/>
        </w:rPr>
        <w:lastRenderedPageBreak/>
        <w:t>yuyun (14 tahun), yang juga dibunuh dengan cara yang kejam setelah diperkosa beramai-ramai oleh sekelompok pemuda karena pengaruh minuman keras</w:t>
      </w:r>
      <w:r w:rsidRPr="00BA394E">
        <w:rPr>
          <w:rFonts w:ascii="Times New Roman" w:hAnsi="Times New Roman"/>
          <w:sz w:val="24"/>
          <w:szCs w:val="24"/>
          <w:lang w:val="en-US"/>
        </w:rPr>
        <w:t>.</w:t>
      </w:r>
      <w:r w:rsidRPr="00BA394E">
        <w:rPr>
          <w:rStyle w:val="FootnoteReference"/>
          <w:rFonts w:ascii="Times New Roman" w:hAnsi="Times New Roman"/>
          <w:sz w:val="24"/>
          <w:szCs w:val="24"/>
          <w:lang w:val="en-US"/>
        </w:rPr>
        <w:footnoteReference w:id="7"/>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rPr>
        <w:t xml:space="preserve">Perubahan yang diatur dalam Undang-Undang Nomor 17 Tahun 2016 Tentang </w:t>
      </w:r>
      <w:r w:rsidRPr="00BA394E">
        <w:rPr>
          <w:rFonts w:ascii="Times New Roman" w:hAnsi="Times New Roman"/>
          <w:sz w:val="24"/>
          <w:szCs w:val="24"/>
          <w:lang w:val="en-US"/>
        </w:rPr>
        <w:t>Perlindungan Anak</w:t>
      </w:r>
      <w:r w:rsidRPr="00BA394E">
        <w:rPr>
          <w:rFonts w:ascii="Times New Roman" w:hAnsi="Times New Roman"/>
          <w:sz w:val="24"/>
          <w:szCs w:val="24"/>
        </w:rPr>
        <w:t xml:space="preserve"> ditekankan pada</w:t>
      </w:r>
      <w:r w:rsidRPr="00BA394E">
        <w:rPr>
          <w:rFonts w:ascii="Times New Roman" w:hAnsi="Times New Roman"/>
          <w:sz w:val="24"/>
          <w:szCs w:val="24"/>
          <w:lang w:val="en-US"/>
        </w:rPr>
        <w:t xml:space="preserve"> </w:t>
      </w:r>
      <w:r w:rsidRPr="00BA394E">
        <w:rPr>
          <w:rFonts w:ascii="Times New Roman" w:hAnsi="Times New Roman"/>
          <w:sz w:val="24"/>
          <w:szCs w:val="24"/>
        </w:rPr>
        <w:t>pemberatan pidana kekerasan seksual terhadap anak. Penekanan ini ditegaskan dalam</w:t>
      </w:r>
      <w:r w:rsidRPr="00BA394E">
        <w:rPr>
          <w:rFonts w:ascii="Times New Roman" w:hAnsi="Times New Roman"/>
          <w:sz w:val="24"/>
          <w:szCs w:val="24"/>
          <w:lang w:val="en-US"/>
        </w:rPr>
        <w:t xml:space="preserve"> </w:t>
      </w:r>
      <w:r w:rsidRPr="00BA394E">
        <w:rPr>
          <w:rFonts w:ascii="Times New Roman" w:hAnsi="Times New Roman"/>
          <w:sz w:val="24"/>
          <w:szCs w:val="24"/>
        </w:rPr>
        <w:t xml:space="preserve">konsiderans huruf b Undang-Undang Nomor 17 Tahun 2016 Tentang </w:t>
      </w:r>
      <w:r w:rsidRPr="00BA394E">
        <w:rPr>
          <w:rFonts w:ascii="Times New Roman" w:hAnsi="Times New Roman"/>
          <w:sz w:val="24"/>
          <w:szCs w:val="24"/>
          <w:lang w:val="en-US"/>
        </w:rPr>
        <w:t>Perlindungan Anak</w:t>
      </w:r>
      <w:r w:rsidRPr="00BA394E">
        <w:rPr>
          <w:rFonts w:ascii="Times New Roman" w:hAnsi="Times New Roman"/>
          <w:sz w:val="24"/>
          <w:szCs w:val="24"/>
        </w:rPr>
        <w:t xml:space="preserve"> bahwa kekerasan seksual terhadap anak</w:t>
      </w:r>
      <w:r w:rsidRPr="00BA394E">
        <w:rPr>
          <w:rFonts w:ascii="Times New Roman" w:hAnsi="Times New Roman"/>
          <w:sz w:val="24"/>
          <w:szCs w:val="24"/>
          <w:lang w:val="en-US"/>
        </w:rPr>
        <w:t xml:space="preserve"> </w:t>
      </w:r>
      <w:r w:rsidRPr="00BA394E">
        <w:rPr>
          <w:rFonts w:ascii="Times New Roman" w:hAnsi="Times New Roman"/>
          <w:sz w:val="24"/>
          <w:szCs w:val="24"/>
        </w:rPr>
        <w:t>sudah semakin meningkat secara signifikan yang mengancam dan membahayakan</w:t>
      </w:r>
      <w:r w:rsidRPr="00BA394E">
        <w:rPr>
          <w:rFonts w:ascii="Times New Roman" w:hAnsi="Times New Roman"/>
          <w:sz w:val="24"/>
          <w:szCs w:val="24"/>
          <w:lang w:val="en-US"/>
        </w:rPr>
        <w:t xml:space="preserve"> </w:t>
      </w:r>
      <w:r w:rsidRPr="00BA394E">
        <w:rPr>
          <w:rFonts w:ascii="Times New Roman" w:hAnsi="Times New Roman"/>
          <w:sz w:val="24"/>
          <w:szCs w:val="24"/>
        </w:rPr>
        <w:t>jiwa anak, merusak kehidupan pribadi dan tumbuh kembang anak, serta mengganggu</w:t>
      </w:r>
      <w:r w:rsidRPr="00BA394E">
        <w:rPr>
          <w:rFonts w:ascii="Times New Roman" w:hAnsi="Times New Roman"/>
          <w:sz w:val="24"/>
          <w:szCs w:val="24"/>
          <w:lang w:val="en-US"/>
        </w:rPr>
        <w:t xml:space="preserve"> </w:t>
      </w:r>
      <w:r w:rsidRPr="00BA394E">
        <w:rPr>
          <w:rFonts w:ascii="Times New Roman" w:hAnsi="Times New Roman"/>
          <w:sz w:val="24"/>
          <w:szCs w:val="24"/>
        </w:rPr>
        <w:t>rasa kenyamanan, ketentraman, keamanan, dan ketertiban masyarakat. Selanjutnya</w:t>
      </w:r>
      <w:r w:rsidRPr="00BA394E">
        <w:rPr>
          <w:rFonts w:ascii="Times New Roman" w:hAnsi="Times New Roman"/>
          <w:sz w:val="24"/>
          <w:szCs w:val="24"/>
          <w:lang w:val="en-US"/>
        </w:rPr>
        <w:t xml:space="preserve"> </w:t>
      </w:r>
      <w:r w:rsidRPr="00BA394E">
        <w:rPr>
          <w:rFonts w:ascii="Times New Roman" w:hAnsi="Times New Roman"/>
          <w:sz w:val="24"/>
          <w:szCs w:val="24"/>
        </w:rPr>
        <w:t>dijelaskan bahwa pidana yang dijatuhkan bagi pelaku</w:t>
      </w:r>
      <w:r w:rsidRPr="00BA394E">
        <w:rPr>
          <w:rFonts w:ascii="Times New Roman" w:hAnsi="Times New Roman"/>
          <w:sz w:val="24"/>
          <w:szCs w:val="24"/>
          <w:lang w:val="en-US"/>
        </w:rPr>
        <w:t xml:space="preserve"> </w:t>
      </w:r>
      <w:r w:rsidRPr="00BA394E">
        <w:rPr>
          <w:rFonts w:ascii="Times New Roman" w:hAnsi="Times New Roman"/>
          <w:sz w:val="24"/>
          <w:szCs w:val="24"/>
        </w:rPr>
        <w:t>kekerasan seksual terhadap anak belum memberikan efek jera dan belum mampu</w:t>
      </w:r>
      <w:r w:rsidRPr="00BA394E">
        <w:rPr>
          <w:rFonts w:ascii="Times New Roman" w:hAnsi="Times New Roman"/>
          <w:sz w:val="24"/>
          <w:szCs w:val="24"/>
          <w:lang w:val="en-US"/>
        </w:rPr>
        <w:t xml:space="preserve"> </w:t>
      </w:r>
      <w:r w:rsidRPr="00BA394E">
        <w:rPr>
          <w:rFonts w:ascii="Times New Roman" w:hAnsi="Times New Roman"/>
          <w:sz w:val="24"/>
          <w:szCs w:val="24"/>
        </w:rPr>
        <w:t>mencegah secara komprehensif terjadinya kekerasan seksual terhadap anak</w:t>
      </w:r>
      <w:r w:rsidRPr="00BA394E">
        <w:rPr>
          <w:rFonts w:ascii="Times New Roman" w:hAnsi="Times New Roman"/>
          <w:sz w:val="24"/>
          <w:szCs w:val="24"/>
          <w:lang w:val="en-US"/>
        </w:rPr>
        <w:t>.</w:t>
      </w:r>
    </w:p>
    <w:p w:rsidR="009C7D1F" w:rsidRPr="00BA394E" w:rsidRDefault="009C7D1F" w:rsidP="009C7D1F">
      <w:pPr>
        <w:pStyle w:val="ListParagraph"/>
        <w:spacing w:after="0" w:line="480" w:lineRule="auto"/>
        <w:ind w:left="0" w:firstLine="720"/>
        <w:jc w:val="both"/>
        <w:rPr>
          <w:rFonts w:ascii="Times New Roman" w:hAnsi="Times New Roman"/>
          <w:sz w:val="24"/>
          <w:szCs w:val="24"/>
          <w:lang w:val="en-US"/>
        </w:rPr>
      </w:pPr>
      <w:r w:rsidRPr="00BA394E">
        <w:rPr>
          <w:rFonts w:ascii="Times New Roman" w:hAnsi="Times New Roman"/>
          <w:sz w:val="24"/>
          <w:szCs w:val="24"/>
          <w:lang w:val="en-US"/>
        </w:rPr>
        <w:t>R</w:t>
      </w:r>
      <w:r w:rsidRPr="00BA394E">
        <w:rPr>
          <w:rFonts w:ascii="Times New Roman" w:hAnsi="Times New Roman"/>
          <w:sz w:val="24"/>
          <w:szCs w:val="24"/>
        </w:rPr>
        <w:t xml:space="preserve">umusan pemberian sanksi pidana dalam Undang-Undang Nomor 17 Tahun 2016 Tentang pada Pasal 81 Ayat (7) yang menyatakan bahwa “terhadap pelaku sebagaimana dimaksud pada ayat (4) dan ayat (5) dapat dikenai tindakan berupa kebiri kimia dan pemasangan cip”. Bunyi dari pasal 81 Ayat (7) tersebut tidak dapat dipahami secara terpisah-pisah, sebab rujukannya yang dapat dikenai pidana tindakan bagi pelaku kekerasan seksual terhadap anak harus dilihat kembali pada ayat sebelumnya, yaitu ayat (4) dan ayat (5).Ketentuan ini pada intinya mengatur jenis tindak pidana kekerasan seksual terhadap anak berdasarkan siapa pelakunya (ayat 4) dan akibat dari perbuatan petindaknya (ayat 5).Jika </w:t>
      </w:r>
      <w:r w:rsidRPr="00BA394E">
        <w:rPr>
          <w:rFonts w:ascii="Times New Roman" w:hAnsi="Times New Roman"/>
          <w:sz w:val="24"/>
          <w:szCs w:val="24"/>
        </w:rPr>
        <w:lastRenderedPageBreak/>
        <w:t xml:space="preserve">pelaku kekerasan seksual terhadap anak ternyata seorang residivis, maka dapat dikenai tindakan berupa kebiri kimia. Hal demikian juga berlaku pada pelaku yang berdasarkan akibat dari perbuatan pelaku, yakni menimbulkan korban lebih dari satu orang, mengakibatkan luka berat, gangguan jiwa, penyakit menular, hilangnya fungsi reproduksi, dan/atau korban meninggal dunia, kepada pelaku ini dikenakan pidana tindakan kebiri kimia </w:t>
      </w:r>
      <w:r w:rsidRPr="00BA394E">
        <w:rPr>
          <w:rStyle w:val="FootnoteReference"/>
          <w:rFonts w:ascii="Times New Roman" w:hAnsi="Times New Roman"/>
          <w:sz w:val="24"/>
          <w:szCs w:val="24"/>
        </w:rPr>
        <w:footnoteReference w:id="8"/>
      </w:r>
      <w:r w:rsidRPr="00BA394E">
        <w:rPr>
          <w:rFonts w:ascii="Times New Roman" w:hAnsi="Times New Roman"/>
          <w:sz w:val="24"/>
          <w:szCs w:val="24"/>
          <w:lang w:val="en-US"/>
        </w:rPr>
        <w:t xml:space="preserve"> </w:t>
      </w:r>
    </w:p>
    <w:p w:rsidR="009C7D1F" w:rsidRPr="00BA394E" w:rsidRDefault="009C7D1F" w:rsidP="009C7D1F">
      <w:pPr>
        <w:pStyle w:val="ListParagraph"/>
        <w:spacing w:after="0" w:line="480" w:lineRule="auto"/>
        <w:ind w:left="0" w:firstLine="720"/>
        <w:jc w:val="both"/>
        <w:rPr>
          <w:rFonts w:ascii="Times New Roman" w:hAnsi="Times New Roman"/>
          <w:sz w:val="24"/>
          <w:szCs w:val="24"/>
        </w:rPr>
      </w:pPr>
      <w:r w:rsidRPr="00BA394E">
        <w:rPr>
          <w:rFonts w:ascii="Times New Roman" w:hAnsi="Times New Roman"/>
          <w:sz w:val="24"/>
          <w:szCs w:val="24"/>
        </w:rPr>
        <w:t xml:space="preserve">Beberapa jenis sanksi untuk subjek hukum yang melakukan tindak pidana yang dalam hal ini yakni manusia sebagai pelaku tindak pidana kekerasan seksual terhadap anak antara lain : pidana pokok dan pidana tambahan. Pidana pokok terdiri dari pidana penjara dan pidana denda yang bersifat kumulatif.Pidana tambahan seperti pengumuman identitas pelaku sebagaimana yang dirumuskan dalam ketentuan Pasal 81 Ayat (6) dan Pasal 82 Ayat (5). Selain itu, juga dirumuskan ketentuan pidana tindakan yakni berupa kebiri kimia dan pemasangan alat pendeteksi elektronik sebagaimana yang dirumuskan dalam Pasal 81 Ayat (7) dengan ketentuan syarat-syarat seperti yang dirumuskan dalam Pasal 81 Ayat (4) dan Ayat (5) dari ketentuan Undang-Undang Nomor 17 Tahun 2016. </w:t>
      </w:r>
    </w:p>
    <w:p w:rsidR="009C7D1F" w:rsidRPr="00BA394E" w:rsidRDefault="009C7D1F" w:rsidP="009C7D1F">
      <w:pPr>
        <w:pStyle w:val="ListParagraph"/>
        <w:spacing w:after="0" w:line="456" w:lineRule="auto"/>
        <w:ind w:left="0" w:firstLine="720"/>
        <w:jc w:val="both"/>
        <w:rPr>
          <w:rFonts w:ascii="Times New Roman" w:hAnsi="Times New Roman"/>
          <w:sz w:val="24"/>
          <w:szCs w:val="24"/>
          <w:lang w:val="en-US"/>
        </w:rPr>
      </w:pPr>
      <w:r w:rsidRPr="00BA394E">
        <w:rPr>
          <w:rFonts w:ascii="Times New Roman" w:hAnsi="Times New Roman"/>
          <w:sz w:val="24"/>
          <w:szCs w:val="24"/>
        </w:rPr>
        <w:t xml:space="preserve">Berdasarkan dampak dari perbuatan pelaku tersebut, maka seyogyanya kebijakan hukum pidana di masa mendatang dalam hal formulasi ketentuan peraturan perundang-undangannya ialah tidak dimuatnya ketentuan pidana yang bertentangan dengan hak asasi manusia, yang dalam hal ini ialah tidak dimuatnya sanksi kebiri kimia dalam ranah pidana tindakan.Apabila, sanksi kebiri kimia dilakukan, maka seyogyanya kebiri kimia dirumuskan dalam ranah pidana pokok.Dikarenakan pada hakikatnya antara pidana pokok, pidana tambahan, dan </w:t>
      </w:r>
      <w:r w:rsidRPr="00BA394E">
        <w:rPr>
          <w:rFonts w:ascii="Times New Roman" w:hAnsi="Times New Roman"/>
          <w:sz w:val="24"/>
          <w:szCs w:val="24"/>
        </w:rPr>
        <w:lastRenderedPageBreak/>
        <w:t>pidana tindakan berpijak pada filosofi pemidanaan yang berbeda-beda.Dalam artian bahwa, harus adanya keseimbangan antara hak asasi antara pelaku dan yang menjadi korban.Korban yang dalam hal ini anak telah terengguh haknya oleh si pelaku dengan melakukan kekerasan seksual, maka hal ini menjadi kewajiban si pelaku untuk menjalani masa sanksi atau hukumannya sebagai akibat dari perbuatan yang dilakukan oleh pelaku.</w:t>
      </w:r>
    </w:p>
    <w:p w:rsidR="009C7D1F" w:rsidRPr="00BA394E" w:rsidRDefault="009C7D1F" w:rsidP="009C7D1F">
      <w:pPr>
        <w:pStyle w:val="ListParagraph"/>
        <w:spacing w:after="0" w:line="456" w:lineRule="auto"/>
        <w:ind w:left="0" w:firstLine="720"/>
        <w:jc w:val="both"/>
        <w:rPr>
          <w:rFonts w:ascii="Times New Roman" w:hAnsi="Times New Roman"/>
          <w:sz w:val="24"/>
          <w:szCs w:val="24"/>
        </w:rPr>
      </w:pPr>
      <w:r w:rsidRPr="00BA394E">
        <w:rPr>
          <w:rFonts w:ascii="Times New Roman" w:hAnsi="Times New Roman"/>
          <w:sz w:val="24"/>
          <w:szCs w:val="24"/>
        </w:rPr>
        <w:t xml:space="preserve">Berdasarkan kondisi tersebut, kebijakan formulatif dalam perumusan ketentuan perundang-undangan tentang perlindungan anak, seyogyanya mengefektifkan sanksi atau hukuman yang telah ada, yakni pidana pokok yaitu pidana mati dan pidana penjara seumur hidup atau pidana penjara maksimal yang sesuai dengan kadar dari perbuatan </w:t>
      </w:r>
      <w:r w:rsidRPr="00BA394E">
        <w:rPr>
          <w:rFonts w:ascii="Times New Roman" w:hAnsi="Times New Roman"/>
          <w:sz w:val="24"/>
          <w:szCs w:val="24"/>
          <w:lang w:val="en-US"/>
        </w:rPr>
        <w:t xml:space="preserve"> </w:t>
      </w:r>
      <w:r w:rsidRPr="00BA394E">
        <w:rPr>
          <w:rFonts w:ascii="Times New Roman" w:hAnsi="Times New Roman"/>
          <w:sz w:val="24"/>
          <w:szCs w:val="24"/>
        </w:rPr>
        <w:t>pelaku tersebut. Selain itu, dibutuhkan juga ketegasan dalam hal aplikasinya yakni aparat penegak hukum yang menjalankan roda sistem peradilan pidana tegas dalam menjatuhkan sanksi atau hukuman kepada pelaku sebagaimana sanksi pidana minimal dan maksimal yang telah termuat dalam ketentuan undang-undang tersebut yang sesuai dengan kondisi dari perbuatan pelaku. Dikarenakan semua aspek harus saling terjalin dengan baik atau dengan kata lain harus saling bekerja sama antara tahap fomulasi, tahap aplikasi dan tahap eksekusi dalam memproses suatu kejahatan atau tindak pidana yang terjadi di tengah kehidupan masyarakat.</w:t>
      </w:r>
    </w:p>
    <w:p w:rsidR="009C7D1F" w:rsidRPr="00BA394E" w:rsidRDefault="009C7D1F" w:rsidP="009C7D1F">
      <w:pPr>
        <w:pStyle w:val="ListParagraph"/>
        <w:spacing w:after="0" w:line="456" w:lineRule="auto"/>
        <w:ind w:left="0" w:firstLine="720"/>
        <w:jc w:val="both"/>
        <w:rPr>
          <w:rFonts w:ascii="Times New Roman" w:hAnsi="Times New Roman"/>
          <w:sz w:val="24"/>
          <w:szCs w:val="24"/>
        </w:rPr>
      </w:pPr>
      <w:r w:rsidRPr="00BA394E">
        <w:rPr>
          <w:rFonts w:ascii="Times New Roman" w:hAnsi="Times New Roman"/>
          <w:color w:val="000000"/>
          <w:sz w:val="24"/>
          <w:szCs w:val="24"/>
          <w:lang w:val="en-US"/>
        </w:rPr>
        <w:t>Contoh</w:t>
      </w:r>
      <w:r w:rsidRPr="00BA394E">
        <w:rPr>
          <w:rFonts w:ascii="Times New Roman" w:hAnsi="Times New Roman"/>
          <w:color w:val="000000"/>
          <w:sz w:val="24"/>
          <w:szCs w:val="24"/>
        </w:rPr>
        <w:t xml:space="preserve"> penerapan tindakan kebiri kimia bagi </w:t>
      </w:r>
      <w:r w:rsidRPr="00BA394E">
        <w:rPr>
          <w:rFonts w:ascii="Times New Roman" w:hAnsi="Times New Roman"/>
          <w:color w:val="000000"/>
          <w:sz w:val="24"/>
          <w:szCs w:val="24"/>
          <w:lang w:val="sv-SE"/>
        </w:rPr>
        <w:t xml:space="preserve"> </w:t>
      </w:r>
      <w:r w:rsidRPr="00BA394E">
        <w:rPr>
          <w:rFonts w:ascii="Times New Roman" w:hAnsi="Times New Roman"/>
          <w:color w:val="000000"/>
          <w:sz w:val="24"/>
          <w:szCs w:val="24"/>
        </w:rPr>
        <w:t xml:space="preserve">pelaku kejahatan seksual terhadap anak </w:t>
      </w:r>
      <w:r w:rsidRPr="00BA394E">
        <w:rPr>
          <w:rFonts w:ascii="Times New Roman" w:hAnsi="Times New Roman"/>
          <w:color w:val="000000"/>
          <w:sz w:val="24"/>
          <w:szCs w:val="24"/>
          <w:lang w:val="en-US"/>
        </w:rPr>
        <w:t xml:space="preserve">adalah </w:t>
      </w:r>
      <w:r w:rsidRPr="00BA394E">
        <w:rPr>
          <w:rFonts w:ascii="Times New Roman" w:hAnsi="Times New Roman"/>
          <w:color w:val="000000"/>
          <w:sz w:val="24"/>
          <w:szCs w:val="24"/>
        </w:rPr>
        <w:t xml:space="preserve">Putusan Pengadilan Negeri Mojokerto Nomor 69/Pid.Sus/2019/PN Mjk Jo. Putusan  </w:t>
      </w:r>
      <w:r w:rsidRPr="00BA394E">
        <w:rPr>
          <w:rFonts w:ascii="Times New Roman" w:hAnsi="Times New Roman"/>
          <w:bCs/>
          <w:color w:val="000000"/>
          <w:sz w:val="24"/>
          <w:szCs w:val="24"/>
        </w:rPr>
        <w:t>No.695/Pid.Sus/2019/PT. Sby</w:t>
      </w:r>
      <w:r w:rsidRPr="00BA394E">
        <w:rPr>
          <w:rFonts w:ascii="Times New Roman" w:hAnsi="Times New Roman"/>
          <w:bCs/>
          <w:color w:val="000000"/>
          <w:sz w:val="24"/>
          <w:szCs w:val="24"/>
          <w:lang w:val="en-US"/>
        </w:rPr>
        <w:t xml:space="preserve"> dengan t</w:t>
      </w:r>
      <w:r w:rsidRPr="00BA394E">
        <w:rPr>
          <w:rFonts w:ascii="Times New Roman" w:hAnsi="Times New Roman"/>
          <w:color w:val="000000"/>
          <w:sz w:val="24"/>
          <w:szCs w:val="24"/>
        </w:rPr>
        <w:t xml:space="preserve">erdakwa dalam kasus ini adalah </w:t>
      </w:r>
      <w:r w:rsidRPr="00BA394E">
        <w:rPr>
          <w:rFonts w:ascii="Times New Roman" w:hAnsi="Times New Roman"/>
          <w:sz w:val="24"/>
          <w:szCs w:val="24"/>
        </w:rPr>
        <w:t xml:space="preserve">Muh. Aris Bin Syukur pada hari Rabu, tanggal 02 Mei 2018 sekira jam 10.00 WIB, atau setidak–tidaknya pada waktu lain dalam bulam Mei 2018, atau setidak–tidaknya pada kurun waktu tahun 2018, bertempat </w:t>
      </w:r>
      <w:r w:rsidRPr="00BA394E">
        <w:rPr>
          <w:rFonts w:ascii="Times New Roman" w:hAnsi="Times New Roman"/>
          <w:sz w:val="24"/>
          <w:szCs w:val="24"/>
        </w:rPr>
        <w:lastRenderedPageBreak/>
        <w:t>di kamar mandi Masjid Miftakhul Huda yang beralamat di Dusun Mangelo RT.03 RW.10. Desa Sooko Kabupaten Mojokerto, atau setidak</w:t>
      </w:r>
      <w:r w:rsidRPr="00BA394E">
        <w:rPr>
          <w:rFonts w:ascii="Times New Roman" w:hAnsi="Times New Roman"/>
          <w:sz w:val="24"/>
          <w:szCs w:val="24"/>
          <w:lang w:val="en-US"/>
        </w:rPr>
        <w:t>-</w:t>
      </w:r>
      <w:r w:rsidRPr="00BA394E">
        <w:rPr>
          <w:rFonts w:ascii="Times New Roman" w:hAnsi="Times New Roman"/>
          <w:sz w:val="24"/>
          <w:szCs w:val="24"/>
        </w:rPr>
        <w:t xml:space="preserve">tidaknya di suatu tempat lain yang masih termasuk daerah hukum Pengadilan Negeri Mojokerto, yang berhak memeriksa dan mengadilinya, </w:t>
      </w:r>
      <w:r w:rsidRPr="00BA394E">
        <w:rPr>
          <w:rFonts w:ascii="Times New Roman" w:hAnsi="Times New Roman"/>
          <w:iCs/>
          <w:sz w:val="24"/>
          <w:szCs w:val="24"/>
        </w:rPr>
        <w:t>dilarang melakukan kekerasan atau ancaman kekerasan, memaksa anak melakukan persetubuhan dengannya atau orang lain</w:t>
      </w:r>
      <w:r w:rsidRPr="00BA394E">
        <w:rPr>
          <w:rFonts w:ascii="Times New Roman" w:hAnsi="Times New Roman"/>
          <w:sz w:val="24"/>
          <w:szCs w:val="24"/>
        </w:rPr>
        <w:t xml:space="preserve">. </w:t>
      </w:r>
    </w:p>
    <w:p w:rsidR="009C7D1F" w:rsidRPr="00BA394E" w:rsidRDefault="009C7D1F" w:rsidP="009C7D1F">
      <w:pPr>
        <w:spacing w:line="480" w:lineRule="auto"/>
        <w:ind w:firstLine="720"/>
        <w:jc w:val="both"/>
        <w:rPr>
          <w:color w:val="000000"/>
        </w:rPr>
      </w:pPr>
      <w:r w:rsidRPr="00BA394E">
        <w:rPr>
          <w:color w:val="000000"/>
        </w:rPr>
        <w:t>Akibat perbuatan tersebut, maka Jaksa Penuntut Umum dalam kasus ini mendakwa terdakwa  bahwa</w:t>
      </w:r>
    </w:p>
    <w:p w:rsidR="009C7D1F" w:rsidRPr="00BA394E" w:rsidRDefault="009C7D1F" w:rsidP="001D3179">
      <w:pPr>
        <w:numPr>
          <w:ilvl w:val="4"/>
          <w:numId w:val="6"/>
        </w:numPr>
        <w:tabs>
          <w:tab w:val="clear" w:pos="3600"/>
          <w:tab w:val="left" w:pos="426"/>
        </w:tabs>
        <w:autoSpaceDE w:val="0"/>
        <w:autoSpaceDN w:val="0"/>
        <w:adjustRightInd w:val="0"/>
        <w:spacing w:line="480" w:lineRule="auto"/>
        <w:ind w:left="426" w:hanging="426"/>
        <w:jc w:val="both"/>
      </w:pPr>
      <w:r w:rsidRPr="00BA394E">
        <w:t>Perbuatan Terdakwa sebagaimana diatur dan diancam pidana dalam Pasal 76D jo Pasal 81 ayat (2) Undang–Undang RI Nomor 17 Tahun 2016 tentang Penetapan Peraturan Pemerintah Pengganti UU No. 1 Tahun 2016 tentang perubahan kedua atas Undang–Undang R.I. Undang–Undang Nomor 23 Tahun 2002 tentang Perlindungan Anak.</w:t>
      </w:r>
    </w:p>
    <w:p w:rsidR="009C7D1F" w:rsidRPr="00BA394E" w:rsidRDefault="009C7D1F" w:rsidP="001D3179">
      <w:pPr>
        <w:numPr>
          <w:ilvl w:val="4"/>
          <w:numId w:val="6"/>
        </w:numPr>
        <w:tabs>
          <w:tab w:val="clear" w:pos="3600"/>
          <w:tab w:val="left" w:pos="426"/>
        </w:tabs>
        <w:autoSpaceDE w:val="0"/>
        <w:autoSpaceDN w:val="0"/>
        <w:adjustRightInd w:val="0"/>
        <w:spacing w:line="480" w:lineRule="auto"/>
        <w:ind w:left="426" w:hanging="426"/>
        <w:jc w:val="both"/>
      </w:pPr>
      <w:r w:rsidRPr="00BA394E">
        <w:t>Perbuatan Terdakwa sebagaimana diatur dan diancam pidana dalam Pasal 76 E jo Pasal 82 ayat (1) Undang–Undang RI Nomor 17 Tahun 2016 tentang Penetapan Peraturan Pemerintah Pengganti UU No. 1 Tahun 2016 tentang perubahan kedua atas Undang–Undang R.I. Undang–Undang Nomor 23 Tahun 2002 tentang Perlindungan Anak.</w:t>
      </w:r>
    </w:p>
    <w:p w:rsidR="009C7D1F" w:rsidRPr="00BA394E" w:rsidRDefault="009C7D1F" w:rsidP="009C7D1F">
      <w:pPr>
        <w:spacing w:line="456" w:lineRule="auto"/>
        <w:ind w:firstLine="720"/>
        <w:jc w:val="both"/>
        <w:rPr>
          <w:color w:val="000000"/>
        </w:rPr>
      </w:pPr>
      <w:r w:rsidRPr="00BA394E">
        <w:rPr>
          <w:color w:val="000000"/>
        </w:rPr>
        <w:t xml:space="preserve">Tuntutan pidana Jaksa Penuntut Umum pada Kejaksaan Negeri </w:t>
      </w:r>
      <w:r w:rsidRPr="00BA394E">
        <w:t>Mojokerto</w:t>
      </w:r>
      <w:r w:rsidRPr="00BA394E">
        <w:rPr>
          <w:color w:val="000000"/>
        </w:rPr>
        <w:t xml:space="preserve"> sebagai berikut :</w:t>
      </w:r>
    </w:p>
    <w:p w:rsidR="009C7D1F" w:rsidRPr="00BA394E" w:rsidRDefault="009C7D1F" w:rsidP="001D3179">
      <w:pPr>
        <w:numPr>
          <w:ilvl w:val="7"/>
          <w:numId w:val="6"/>
        </w:numPr>
        <w:tabs>
          <w:tab w:val="clear" w:pos="5760"/>
        </w:tabs>
        <w:autoSpaceDE w:val="0"/>
        <w:autoSpaceDN w:val="0"/>
        <w:adjustRightInd w:val="0"/>
        <w:spacing w:line="456" w:lineRule="auto"/>
        <w:ind w:left="284" w:hanging="284"/>
        <w:jc w:val="both"/>
      </w:pPr>
      <w:r w:rsidRPr="00BA394E">
        <w:t xml:space="preserve">Menyatakan Terdakwa Muh Aris Bin Syukur terbukti secara sah dan meyakinkan bersalah sebagaimana diatur dan diancam pidana dalam Pasal 76 D Jo Pasal 81 ayat (2) Undang–Undang R.I. Nomor 17 Tahun 2016 tentang Penetapan Pearturan Pemerintah Pengganti UU No. 1 Tahun 2016 tentang </w:t>
      </w:r>
      <w:r w:rsidRPr="00BA394E">
        <w:lastRenderedPageBreak/>
        <w:t>perubahan kedua atas Undang–Undang Nomor 23 Tahun 2002 tentang Perlindungan Anak sebagaimana dalam dakwaan Primair Penuntut Umum.</w:t>
      </w:r>
    </w:p>
    <w:p w:rsidR="009C7D1F" w:rsidRPr="00BA394E" w:rsidRDefault="009C7D1F" w:rsidP="001D3179">
      <w:pPr>
        <w:numPr>
          <w:ilvl w:val="7"/>
          <w:numId w:val="6"/>
        </w:numPr>
        <w:tabs>
          <w:tab w:val="clear" w:pos="5760"/>
        </w:tabs>
        <w:autoSpaceDE w:val="0"/>
        <w:autoSpaceDN w:val="0"/>
        <w:adjustRightInd w:val="0"/>
        <w:spacing w:line="456" w:lineRule="auto"/>
        <w:ind w:left="284" w:hanging="284"/>
        <w:jc w:val="both"/>
      </w:pPr>
      <w:r w:rsidRPr="00BA394E">
        <w:t>Menjatuhkan Pidana terhadap Terdakwa Muh Aris Bin Syukur dengan pidana penjara selama 17 (tujuh belas) tahun, dengan ketentuan lamanya pidana penjara itu akan dikurangi sepenuhnya dengan waktu selama Terdakwa ditangkap dan ditahan, dengan perintah agar Terdakwa tetap ditahan dan pidana denda sebesar Rp. 100.000.000,00 (seratus juta rupiah) subsidair 6 (enam) bulan kurungan.</w:t>
      </w:r>
    </w:p>
    <w:p w:rsidR="009C7D1F" w:rsidRPr="00BA394E" w:rsidRDefault="009C7D1F" w:rsidP="001D3179">
      <w:pPr>
        <w:numPr>
          <w:ilvl w:val="7"/>
          <w:numId w:val="6"/>
        </w:numPr>
        <w:tabs>
          <w:tab w:val="clear" w:pos="5760"/>
          <w:tab w:val="num" w:pos="284"/>
        </w:tabs>
        <w:autoSpaceDE w:val="0"/>
        <w:autoSpaceDN w:val="0"/>
        <w:adjustRightInd w:val="0"/>
        <w:spacing w:line="480" w:lineRule="auto"/>
        <w:ind w:left="284" w:hanging="284"/>
        <w:jc w:val="both"/>
      </w:pPr>
      <w:r w:rsidRPr="00BA394E">
        <w:t>Menghukum Terdakwa Muh Aris Bin Syukur membayar biaya perkara sebesar Rp.5.000,- (lima ribu rupiah)</w:t>
      </w:r>
    </w:p>
    <w:p w:rsidR="009C7D1F" w:rsidRPr="00BA394E" w:rsidRDefault="009C7D1F" w:rsidP="009C7D1F">
      <w:pPr>
        <w:pStyle w:val="ListParagraph"/>
        <w:autoSpaceDE w:val="0"/>
        <w:autoSpaceDN w:val="0"/>
        <w:adjustRightInd w:val="0"/>
        <w:spacing w:after="0" w:line="480" w:lineRule="auto"/>
        <w:ind w:left="0" w:firstLine="709"/>
        <w:contextualSpacing w:val="0"/>
        <w:jc w:val="both"/>
        <w:rPr>
          <w:rFonts w:ascii="Times New Roman" w:hAnsi="Times New Roman"/>
          <w:sz w:val="24"/>
          <w:szCs w:val="24"/>
          <w:lang w:val="en-US"/>
        </w:rPr>
      </w:pPr>
      <w:r w:rsidRPr="00BA394E">
        <w:rPr>
          <w:rFonts w:ascii="Times New Roman" w:hAnsi="Times New Roman"/>
          <w:color w:val="000000"/>
          <w:sz w:val="24"/>
          <w:szCs w:val="24"/>
          <w:lang w:val="en-US"/>
        </w:rPr>
        <w:t xml:space="preserve">Berdasarkan tuntutan </w:t>
      </w:r>
      <w:r w:rsidRPr="00BA394E">
        <w:rPr>
          <w:rFonts w:ascii="Times New Roman" w:hAnsi="Times New Roman"/>
          <w:color w:val="000000"/>
          <w:sz w:val="24"/>
          <w:szCs w:val="24"/>
        </w:rPr>
        <w:t xml:space="preserve">Jaksa Penuntut Umum pada Kejaksaan Negeri </w:t>
      </w:r>
      <w:r w:rsidRPr="00BA394E">
        <w:rPr>
          <w:rFonts w:ascii="Times New Roman" w:hAnsi="Times New Roman"/>
          <w:sz w:val="24"/>
          <w:szCs w:val="24"/>
        </w:rPr>
        <w:t>Mojokerto</w:t>
      </w:r>
      <w:r w:rsidRPr="00BA394E">
        <w:rPr>
          <w:rFonts w:ascii="Times New Roman" w:hAnsi="Times New Roman"/>
          <w:sz w:val="24"/>
          <w:szCs w:val="24"/>
          <w:lang w:val="en-US"/>
        </w:rPr>
        <w:t xml:space="preserve"> dapat diketahui bahwa</w:t>
      </w:r>
      <w:r w:rsidRPr="00BA394E">
        <w:rPr>
          <w:rFonts w:ascii="Times New Roman" w:hAnsi="Times New Roman"/>
          <w:sz w:val="24"/>
          <w:szCs w:val="24"/>
        </w:rPr>
        <w:t xml:space="preserve"> jaksa dalam hal ini mendakwakan </w:t>
      </w:r>
      <w:r w:rsidRPr="00BA394E">
        <w:rPr>
          <w:rFonts w:ascii="Times New Roman" w:hAnsi="Times New Roman"/>
          <w:sz w:val="24"/>
          <w:szCs w:val="24"/>
          <w:lang w:val="en-US"/>
        </w:rPr>
        <w:t>terdakwa</w:t>
      </w:r>
      <w:r w:rsidRPr="00BA394E">
        <w:rPr>
          <w:rFonts w:ascii="Times New Roman" w:hAnsi="Times New Roman"/>
          <w:sz w:val="24"/>
          <w:szCs w:val="24"/>
        </w:rPr>
        <w:t xml:space="preserve"> secara subsidiritas primer Pasal 81 76d Pasal 81 ayat </w:t>
      </w:r>
      <w:r w:rsidRPr="00BA394E">
        <w:rPr>
          <w:rFonts w:ascii="Times New Roman" w:hAnsi="Times New Roman"/>
          <w:sz w:val="24"/>
          <w:szCs w:val="24"/>
          <w:lang w:val="en-US"/>
        </w:rPr>
        <w:t>(</w:t>
      </w:r>
      <w:r w:rsidRPr="00BA394E">
        <w:rPr>
          <w:rFonts w:ascii="Times New Roman" w:hAnsi="Times New Roman"/>
          <w:sz w:val="24"/>
          <w:szCs w:val="24"/>
        </w:rPr>
        <w:t>1</w:t>
      </w:r>
      <w:r w:rsidRPr="00BA394E">
        <w:rPr>
          <w:rFonts w:ascii="Times New Roman" w:hAnsi="Times New Roman"/>
          <w:sz w:val="24"/>
          <w:szCs w:val="24"/>
          <w:lang w:val="en-US"/>
        </w:rPr>
        <w:t>)</w:t>
      </w:r>
      <w:r w:rsidRPr="00BA394E">
        <w:rPr>
          <w:rFonts w:ascii="Times New Roman" w:hAnsi="Times New Roman"/>
          <w:sz w:val="24"/>
          <w:szCs w:val="24"/>
        </w:rPr>
        <w:t xml:space="preserve"> sub 76e Pasal 81 ayat </w:t>
      </w:r>
      <w:r w:rsidRPr="00BA394E">
        <w:rPr>
          <w:rFonts w:ascii="Times New Roman" w:hAnsi="Times New Roman"/>
          <w:sz w:val="24"/>
          <w:szCs w:val="24"/>
          <w:lang w:val="en-US"/>
        </w:rPr>
        <w:t>(</w:t>
      </w:r>
      <w:r w:rsidRPr="00BA394E">
        <w:rPr>
          <w:rFonts w:ascii="Times New Roman" w:hAnsi="Times New Roman"/>
          <w:sz w:val="24"/>
          <w:szCs w:val="24"/>
        </w:rPr>
        <w:t>1</w:t>
      </w:r>
      <w:r w:rsidRPr="00BA394E">
        <w:rPr>
          <w:rFonts w:ascii="Times New Roman" w:hAnsi="Times New Roman"/>
          <w:sz w:val="24"/>
          <w:szCs w:val="24"/>
          <w:lang w:val="en-US"/>
        </w:rPr>
        <w:t>) dan majelis hakim</w:t>
      </w:r>
      <w:r w:rsidRPr="00BA394E">
        <w:rPr>
          <w:rFonts w:ascii="Times New Roman" w:hAnsi="Times New Roman"/>
          <w:sz w:val="24"/>
          <w:szCs w:val="24"/>
        </w:rPr>
        <w:t xml:space="preserve"> PN Mojokerto sependapat dengan penuntut umum,  terdakwa dalam perkara melanggar ketentuan Pasal 76d D Jo Pasal 81 ayat (2) Undang–Undang Nomor 17 Tahun 2016 tentang Perlindungan Anak</w:t>
      </w:r>
      <w:r w:rsidRPr="00BA394E">
        <w:rPr>
          <w:rFonts w:ascii="Times New Roman" w:hAnsi="Times New Roman"/>
          <w:sz w:val="24"/>
          <w:szCs w:val="24"/>
          <w:lang w:val="en-US"/>
        </w:rPr>
        <w:t>.</w:t>
      </w:r>
    </w:p>
    <w:p w:rsidR="009C7D1F" w:rsidRPr="00BA394E" w:rsidRDefault="009C7D1F" w:rsidP="009C7D1F">
      <w:pPr>
        <w:pStyle w:val="ListParagraph"/>
        <w:autoSpaceDE w:val="0"/>
        <w:autoSpaceDN w:val="0"/>
        <w:adjustRightInd w:val="0"/>
        <w:spacing w:after="0" w:line="480" w:lineRule="auto"/>
        <w:ind w:left="0" w:firstLine="709"/>
        <w:contextualSpacing w:val="0"/>
        <w:jc w:val="both"/>
        <w:rPr>
          <w:rFonts w:ascii="Times New Roman" w:hAnsi="Times New Roman"/>
          <w:color w:val="000000"/>
          <w:sz w:val="24"/>
          <w:szCs w:val="24"/>
          <w:lang w:val="en-US"/>
        </w:rPr>
      </w:pPr>
      <w:r w:rsidRPr="00BA394E">
        <w:rPr>
          <w:rFonts w:ascii="Times New Roman" w:hAnsi="Times New Roman"/>
          <w:color w:val="000000"/>
          <w:sz w:val="24"/>
          <w:szCs w:val="24"/>
          <w:lang w:val="en-US"/>
        </w:rPr>
        <w:t xml:space="preserve">Menurut </w:t>
      </w:r>
      <w:r w:rsidRPr="00BA394E">
        <w:rPr>
          <w:rFonts w:ascii="Times New Roman" w:hAnsi="Times New Roman"/>
          <w:color w:val="000000"/>
          <w:sz w:val="24"/>
          <w:szCs w:val="24"/>
        </w:rPr>
        <w:t>Jaksa Penuntut Umum</w:t>
      </w:r>
      <w:r w:rsidRPr="00BA394E">
        <w:rPr>
          <w:rFonts w:ascii="Times New Roman" w:hAnsi="Times New Roman"/>
          <w:color w:val="000000"/>
          <w:sz w:val="24"/>
          <w:szCs w:val="24"/>
          <w:lang w:val="en-US"/>
        </w:rPr>
        <w:t xml:space="preserve"> </w:t>
      </w:r>
      <w:r w:rsidRPr="00BA394E">
        <w:rPr>
          <w:rFonts w:ascii="Times New Roman" w:hAnsi="Times New Roman"/>
          <w:sz w:val="24"/>
          <w:szCs w:val="24"/>
        </w:rPr>
        <w:t>Muhammad Aris (20) telah melakukan kekerasan seksual terhadap sembilan anak yang rata rata masih berusia berusia di bawah umur</w:t>
      </w:r>
      <w:r w:rsidRPr="00BA394E">
        <w:rPr>
          <w:rFonts w:ascii="Times New Roman" w:hAnsi="Times New Roman"/>
          <w:sz w:val="24"/>
          <w:szCs w:val="24"/>
          <w:lang w:val="en-US"/>
        </w:rPr>
        <w:t xml:space="preserve"> sehingga a</w:t>
      </w:r>
      <w:r w:rsidRPr="00BA394E">
        <w:rPr>
          <w:rFonts w:ascii="Times New Roman" w:hAnsi="Times New Roman"/>
          <w:sz w:val="24"/>
          <w:szCs w:val="24"/>
        </w:rPr>
        <w:t xml:space="preserve">tas perbuatan tersebut mendapatkan hukuman penjara dan </w:t>
      </w:r>
      <w:r w:rsidRPr="00BA394E">
        <w:rPr>
          <w:rFonts w:ascii="Times New Roman" w:hAnsi="Times New Roman"/>
          <w:sz w:val="24"/>
          <w:szCs w:val="24"/>
          <w:lang w:val="en-US"/>
        </w:rPr>
        <w:t xml:space="preserve">hukuman tambahan berupa </w:t>
      </w:r>
      <w:hyperlink r:id="rId8" w:tooltip="kebiri kimia" w:history="1">
        <w:r w:rsidRPr="00BA394E">
          <w:rPr>
            <w:rStyle w:val="Hyperlink"/>
            <w:rFonts w:ascii="Times New Roman" w:hAnsi="Times New Roman"/>
            <w:color w:val="000000"/>
            <w:sz w:val="24"/>
            <w:szCs w:val="24"/>
            <w:u w:val="none"/>
          </w:rPr>
          <w:t>kebiri kimia</w:t>
        </w:r>
      </w:hyperlink>
      <w:r w:rsidRPr="00BA394E">
        <w:rPr>
          <w:rFonts w:ascii="Times New Roman" w:hAnsi="Times New Roman"/>
          <w:color w:val="000000"/>
          <w:sz w:val="24"/>
          <w:szCs w:val="24"/>
        </w:rPr>
        <w:t>.</w:t>
      </w:r>
    </w:p>
    <w:p w:rsidR="009C7D1F" w:rsidRPr="00BA394E" w:rsidRDefault="009C7D1F" w:rsidP="009C7D1F">
      <w:pPr>
        <w:spacing w:line="480" w:lineRule="auto"/>
        <w:ind w:firstLine="720"/>
        <w:jc w:val="both"/>
        <w:rPr>
          <w:color w:val="000000"/>
          <w:lang w:val="id-ID" w:eastAsia="id-ID"/>
        </w:rPr>
      </w:pPr>
      <w:r w:rsidRPr="00BA394E">
        <w:rPr>
          <w:color w:val="000000"/>
        </w:rPr>
        <w:t xml:space="preserve">Berdasarkan tuntutan Jaksa Penuntut Umum, Hakim Pengadilan Negeri </w:t>
      </w:r>
      <w:r w:rsidRPr="00BA394E">
        <w:rPr>
          <w:color w:val="000000"/>
          <w:lang w:eastAsia="id-ID"/>
        </w:rPr>
        <w:t>Mojokerto</w:t>
      </w:r>
      <w:r w:rsidRPr="00BA394E">
        <w:rPr>
          <w:color w:val="000000"/>
          <w:lang w:val="id-ID" w:eastAsia="id-ID"/>
        </w:rPr>
        <w:t xml:space="preserve"> memberikan putusan yang amar lengkapnya sebagai berikut :</w:t>
      </w:r>
    </w:p>
    <w:p w:rsidR="009C7D1F" w:rsidRPr="00BA394E" w:rsidRDefault="009C7D1F" w:rsidP="001D3179">
      <w:pPr>
        <w:numPr>
          <w:ilvl w:val="1"/>
          <w:numId w:val="18"/>
        </w:numPr>
        <w:tabs>
          <w:tab w:val="left" w:pos="284"/>
        </w:tabs>
        <w:autoSpaceDE w:val="0"/>
        <w:autoSpaceDN w:val="0"/>
        <w:adjustRightInd w:val="0"/>
        <w:spacing w:line="480" w:lineRule="auto"/>
        <w:ind w:left="284" w:hanging="284"/>
        <w:jc w:val="both"/>
      </w:pPr>
      <w:r w:rsidRPr="00BA394E">
        <w:t xml:space="preserve">Menyatakan Terdakwa Muh Aris Bin Syukur telah terbukti secara sah dan meyakinkan bersalah melakukan Tindak Pidana “dengan sengaja melakukan </w:t>
      </w:r>
      <w:r w:rsidRPr="00BA394E">
        <w:lastRenderedPageBreak/>
        <w:t>kekerasan memaksa anak melakukan persetubuhan dengannya atau dengan orang lain”;</w:t>
      </w:r>
    </w:p>
    <w:p w:rsidR="009C7D1F" w:rsidRPr="00BA394E" w:rsidRDefault="009C7D1F" w:rsidP="001D3179">
      <w:pPr>
        <w:numPr>
          <w:ilvl w:val="1"/>
          <w:numId w:val="18"/>
        </w:numPr>
        <w:tabs>
          <w:tab w:val="left" w:pos="284"/>
        </w:tabs>
        <w:autoSpaceDE w:val="0"/>
        <w:autoSpaceDN w:val="0"/>
        <w:adjustRightInd w:val="0"/>
        <w:spacing w:line="480" w:lineRule="auto"/>
        <w:ind w:left="284" w:hanging="284"/>
        <w:jc w:val="both"/>
      </w:pPr>
      <w:r w:rsidRPr="00BA394E">
        <w:t>Menjatuhkan pidana terhadap terdakwa Muh Aris Bin Syukur dengan pidana penjara selama 12 (dua belas) tahun dan denda sebesar Rp.100.000.000,00 (seratus juta rupiah) dengan ketentuan apabila tidak dibayar diganti dengan pidana kurungan selama 6 (enam) bulan;</w:t>
      </w:r>
    </w:p>
    <w:p w:rsidR="009C7D1F" w:rsidRPr="00BA394E" w:rsidRDefault="009C7D1F" w:rsidP="001D3179">
      <w:pPr>
        <w:numPr>
          <w:ilvl w:val="1"/>
          <w:numId w:val="18"/>
        </w:numPr>
        <w:tabs>
          <w:tab w:val="left" w:pos="284"/>
        </w:tabs>
        <w:autoSpaceDE w:val="0"/>
        <w:autoSpaceDN w:val="0"/>
        <w:adjustRightInd w:val="0"/>
        <w:spacing w:line="480" w:lineRule="auto"/>
        <w:ind w:left="284" w:hanging="284"/>
        <w:jc w:val="both"/>
      </w:pPr>
      <w:r w:rsidRPr="00BA394E">
        <w:t>Menjatuhkan pidana tambahan berupa pidana kebiri kimia kepada Terdakwa;</w:t>
      </w:r>
    </w:p>
    <w:p w:rsidR="009C7D1F" w:rsidRPr="00BA394E" w:rsidRDefault="009C7D1F" w:rsidP="001D3179">
      <w:pPr>
        <w:numPr>
          <w:ilvl w:val="1"/>
          <w:numId w:val="18"/>
        </w:numPr>
        <w:tabs>
          <w:tab w:val="left" w:pos="284"/>
        </w:tabs>
        <w:autoSpaceDE w:val="0"/>
        <w:autoSpaceDN w:val="0"/>
        <w:adjustRightInd w:val="0"/>
        <w:spacing w:line="480" w:lineRule="auto"/>
        <w:ind w:left="284" w:hanging="284"/>
        <w:jc w:val="both"/>
      </w:pPr>
      <w:r w:rsidRPr="00BA394E">
        <w:t>Menetapkan lamanya masa penangkapan dan penahanan yang telah dijalani oleh Terdakwa dikurangkan seluruhnya dari pidana yang dijatuhkan;</w:t>
      </w:r>
    </w:p>
    <w:p w:rsidR="009C7D1F" w:rsidRPr="00BA394E" w:rsidRDefault="009C7D1F" w:rsidP="001D3179">
      <w:pPr>
        <w:numPr>
          <w:ilvl w:val="1"/>
          <w:numId w:val="18"/>
        </w:numPr>
        <w:tabs>
          <w:tab w:val="left" w:pos="284"/>
        </w:tabs>
        <w:autoSpaceDE w:val="0"/>
        <w:autoSpaceDN w:val="0"/>
        <w:adjustRightInd w:val="0"/>
        <w:spacing w:line="516" w:lineRule="auto"/>
        <w:ind w:left="284" w:hanging="284"/>
        <w:jc w:val="both"/>
      </w:pPr>
      <w:r w:rsidRPr="00BA394E">
        <w:t>Memerintahkan agar Terdakwa tetap berada dalam tahanan;</w:t>
      </w:r>
    </w:p>
    <w:p w:rsidR="009C7D1F" w:rsidRPr="00BA394E" w:rsidRDefault="009C7D1F" w:rsidP="001D3179">
      <w:pPr>
        <w:numPr>
          <w:ilvl w:val="1"/>
          <w:numId w:val="18"/>
        </w:numPr>
        <w:autoSpaceDE w:val="0"/>
        <w:autoSpaceDN w:val="0"/>
        <w:adjustRightInd w:val="0"/>
        <w:spacing w:line="516" w:lineRule="auto"/>
        <w:ind w:left="360"/>
        <w:jc w:val="both"/>
      </w:pPr>
      <w:r w:rsidRPr="00BA394E">
        <w:t>Menghukum Terdakwa Muh Aris Bin Syukur membayar biaya perkara sebesar Rp.5.000,- (lima ribu rupiah)</w:t>
      </w:r>
    </w:p>
    <w:p w:rsidR="009C7D1F" w:rsidRPr="00BA394E" w:rsidRDefault="009C7D1F" w:rsidP="009C7D1F">
      <w:pPr>
        <w:autoSpaceDE w:val="0"/>
        <w:autoSpaceDN w:val="0"/>
        <w:adjustRightInd w:val="0"/>
        <w:spacing w:line="516" w:lineRule="auto"/>
        <w:ind w:firstLine="709"/>
        <w:jc w:val="both"/>
        <w:rPr>
          <w:color w:val="000000"/>
        </w:rPr>
      </w:pPr>
      <w:r w:rsidRPr="00BA394E">
        <w:rPr>
          <w:color w:val="000000"/>
        </w:rPr>
        <w:t>Pengadilan Tinggi Surabaya dalam tingkat banding memberikan putusan sebagai berikut :</w:t>
      </w:r>
    </w:p>
    <w:p w:rsidR="009C7D1F" w:rsidRPr="00BA394E" w:rsidRDefault="009C7D1F" w:rsidP="001D3179">
      <w:pPr>
        <w:numPr>
          <w:ilvl w:val="3"/>
          <w:numId w:val="7"/>
        </w:numPr>
        <w:autoSpaceDE w:val="0"/>
        <w:autoSpaceDN w:val="0"/>
        <w:adjustRightInd w:val="0"/>
        <w:spacing w:line="516" w:lineRule="auto"/>
        <w:ind w:left="284" w:hanging="284"/>
        <w:jc w:val="both"/>
      </w:pPr>
      <w:r w:rsidRPr="00BA394E">
        <w:t>Menerima permintaan banding yang diajukan oleh Terdakwa Muh Aris Bin Syukur tersebut;</w:t>
      </w:r>
    </w:p>
    <w:p w:rsidR="009C7D1F" w:rsidRPr="00BA394E" w:rsidRDefault="009C7D1F" w:rsidP="001D3179">
      <w:pPr>
        <w:numPr>
          <w:ilvl w:val="3"/>
          <w:numId w:val="7"/>
        </w:numPr>
        <w:autoSpaceDE w:val="0"/>
        <w:autoSpaceDN w:val="0"/>
        <w:adjustRightInd w:val="0"/>
        <w:spacing w:line="516" w:lineRule="auto"/>
        <w:ind w:left="284" w:hanging="284"/>
        <w:jc w:val="both"/>
      </w:pPr>
      <w:r w:rsidRPr="00BA394E">
        <w:t>Menguatkan Putusan Pengadilan Negeri Mojokerto tanggal 2 Mei 2019 Nomor 69/Pid.Sus/2019/PN Mjk yang di mintakan banding;</w:t>
      </w:r>
    </w:p>
    <w:p w:rsidR="009C7D1F" w:rsidRPr="00BA394E" w:rsidRDefault="009C7D1F" w:rsidP="001D3179">
      <w:pPr>
        <w:numPr>
          <w:ilvl w:val="3"/>
          <w:numId w:val="7"/>
        </w:numPr>
        <w:autoSpaceDE w:val="0"/>
        <w:autoSpaceDN w:val="0"/>
        <w:adjustRightInd w:val="0"/>
        <w:spacing w:line="516" w:lineRule="auto"/>
        <w:ind w:left="284" w:hanging="284"/>
        <w:jc w:val="both"/>
      </w:pPr>
      <w:r w:rsidRPr="00BA394E">
        <w:t>Menyatakan bahwa masa penahanan yang telah dijalani oleh Terdakwa dikurangkan seluruhnya dari pidana yang dijatuhkan itu;</w:t>
      </w:r>
    </w:p>
    <w:p w:rsidR="009C7D1F" w:rsidRPr="00BA394E" w:rsidRDefault="009C7D1F" w:rsidP="001D3179">
      <w:pPr>
        <w:numPr>
          <w:ilvl w:val="3"/>
          <w:numId w:val="7"/>
        </w:numPr>
        <w:autoSpaceDE w:val="0"/>
        <w:autoSpaceDN w:val="0"/>
        <w:adjustRightInd w:val="0"/>
        <w:spacing w:line="516" w:lineRule="auto"/>
        <w:ind w:left="284" w:hanging="284"/>
        <w:jc w:val="both"/>
      </w:pPr>
      <w:r w:rsidRPr="00BA394E">
        <w:t xml:space="preserve">Menetapkan agar Terdakwa tetap ditahan; </w:t>
      </w:r>
    </w:p>
    <w:p w:rsidR="009C7D1F" w:rsidRPr="00BA394E" w:rsidRDefault="009C7D1F" w:rsidP="001D3179">
      <w:pPr>
        <w:numPr>
          <w:ilvl w:val="3"/>
          <w:numId w:val="7"/>
        </w:numPr>
        <w:autoSpaceDE w:val="0"/>
        <w:autoSpaceDN w:val="0"/>
        <w:adjustRightInd w:val="0"/>
        <w:spacing w:line="516" w:lineRule="auto"/>
        <w:ind w:left="284" w:hanging="284"/>
        <w:jc w:val="both"/>
      </w:pPr>
      <w:r w:rsidRPr="00BA394E">
        <w:lastRenderedPageBreak/>
        <w:t>Membebankan biaya perkara kepada Terdakwa dalam kedua tingkat peradilan, yang untuk tingkat banding di tetapkan sebesar Rp.2.500.00 (dua ribu lima ratus rupiah);</w:t>
      </w:r>
    </w:p>
    <w:p w:rsidR="009C7D1F" w:rsidRPr="00BA394E" w:rsidRDefault="009C7D1F" w:rsidP="009C7D1F">
      <w:pPr>
        <w:spacing w:line="480" w:lineRule="auto"/>
        <w:ind w:firstLine="720"/>
        <w:jc w:val="both"/>
      </w:pPr>
      <w:r w:rsidRPr="00BA394E">
        <w:t>69/Pid.Sus/2019/PN. Mjk</w:t>
      </w:r>
      <w:r w:rsidRPr="00BA394E">
        <w:rPr>
          <w:color w:val="000000"/>
        </w:rPr>
        <w:t xml:space="preserve"> Jo. Putusan </w:t>
      </w:r>
      <w:r w:rsidRPr="00BA394E">
        <w:rPr>
          <w:color w:val="000000"/>
          <w:lang w:val="id-ID"/>
        </w:rPr>
        <w:t xml:space="preserve"> </w:t>
      </w:r>
      <w:r w:rsidRPr="00BA394E">
        <w:rPr>
          <w:bCs/>
        </w:rPr>
        <w:t>No.695/Pid.Sus/2019/PT. Sby</w:t>
      </w:r>
      <w:r w:rsidRPr="00BA394E">
        <w:rPr>
          <w:color w:val="000000"/>
        </w:rPr>
        <w:t>, surat dakwaan yang telah diuraikan Penuntut Umum dalam putusan Pengadilan Negeri Mojokerto</w:t>
      </w:r>
      <w:r w:rsidRPr="00BA394E">
        <w:rPr>
          <w:color w:val="000000"/>
          <w:lang w:val="id-ID"/>
        </w:rPr>
        <w:t xml:space="preserve"> </w:t>
      </w:r>
      <w:r w:rsidRPr="00BA394E">
        <w:rPr>
          <w:color w:val="000000"/>
        </w:rPr>
        <w:t xml:space="preserve">telah sesuai dengan ketentuan Pasal 143 ayat (2) KUHAP dan hukum pidana materiil sebagaimana didakwakan pada dakwaan pertama yakni  </w:t>
      </w:r>
      <w:r w:rsidRPr="00BA394E">
        <w:t>Perbuatan Terdakwa sebagaimana diatur dan diancam pidana dalam Pasal 76D jo Pasal 81 ayat (2) Undang–Undang RI Nomor 17 Tahun 2016 tentang Penetapan Peraturan Pemerintah Pengganti UU No. 1 Tahun 2016 tentang perubahan kedua atas Undang–Undang R.I. Undang–Undang Nomor 23 Tahun 2002 tentang Perlindungan Anak.</w:t>
      </w:r>
    </w:p>
    <w:p w:rsidR="009C7D1F" w:rsidRPr="00BA394E" w:rsidRDefault="009C7D1F" w:rsidP="009C7D1F">
      <w:pPr>
        <w:spacing w:line="480" w:lineRule="auto"/>
        <w:ind w:firstLine="720"/>
        <w:jc w:val="both"/>
      </w:pPr>
      <w:r w:rsidRPr="00BA394E">
        <w:rPr>
          <w:color w:val="000000"/>
        </w:rPr>
        <w:t xml:space="preserve">Penerapan hukum materiil yang dilakukan oleh Jaksa penuntut Umum yang dijadikan acuan </w:t>
      </w:r>
      <w:r w:rsidRPr="00BA394E">
        <w:rPr>
          <w:color w:val="000000"/>
          <w:lang w:val="id-ID"/>
        </w:rPr>
        <w:t>adalah berdasarkan</w:t>
      </w:r>
      <w:r w:rsidRPr="00BA394E">
        <w:rPr>
          <w:color w:val="000000"/>
        </w:rPr>
        <w:t xml:space="preserve"> penyidikan dan keterangan saksi serta pengakuan dari terdakwa, telah terbukti terdakwa </w:t>
      </w:r>
      <w:r w:rsidRPr="00BA394E">
        <w:rPr>
          <w:color w:val="000000"/>
          <w:lang w:val="id-ID" w:eastAsia="id-ID"/>
        </w:rPr>
        <w:t>secara sah dan meyakinkan bersalah</w:t>
      </w:r>
      <w:r w:rsidRPr="00BA394E">
        <w:rPr>
          <w:color w:val="000000"/>
          <w:lang w:eastAsia="id-ID"/>
        </w:rPr>
        <w:t xml:space="preserve"> </w:t>
      </w:r>
      <w:r w:rsidRPr="00BA394E">
        <w:rPr>
          <w:iCs/>
        </w:rPr>
        <w:t>melakukan kekerasan atau ancaman kekerasan, memaksa anak melakukan persetubuhan dengannya atau orang lain</w:t>
      </w:r>
      <w:r w:rsidRPr="00BA394E">
        <w:t xml:space="preserve">. </w:t>
      </w:r>
    </w:p>
    <w:p w:rsidR="009C7D1F" w:rsidRPr="00BA394E" w:rsidRDefault="009C7D1F" w:rsidP="009C7D1F">
      <w:pPr>
        <w:autoSpaceDE w:val="0"/>
        <w:autoSpaceDN w:val="0"/>
        <w:adjustRightInd w:val="0"/>
        <w:spacing w:line="480" w:lineRule="auto"/>
        <w:ind w:firstLine="720"/>
        <w:jc w:val="both"/>
        <w:rPr>
          <w:color w:val="000000"/>
        </w:rPr>
      </w:pPr>
      <w:r w:rsidRPr="00BA394E">
        <w:rPr>
          <w:color w:val="000000"/>
        </w:rPr>
        <w:t xml:space="preserve">Majelis hakim yang melakukan pemeriksaan kasus ini memutuskan untuk memilih dakwaan pertama (primair) sebagai dasar pengambilan putusan. Pertimbangan-pertimbangan hukum yang dijadikan dasar Majelis Hakim dalam putusan pemilihan dakwaan pertama (primair) adalah semua unsur dari </w:t>
      </w:r>
      <w:r w:rsidRPr="00BA394E">
        <w:t xml:space="preserve">Pasal 76D jo Pasal 81 ayat (2) Undang–Undang RI Nomor 17 Tahun 2016 tentang Penetapan Peraturan Pemerintah Pengganti UU No. 1 Tahun 2016 tentang perubahan kedua </w:t>
      </w:r>
      <w:r w:rsidRPr="00BA394E">
        <w:lastRenderedPageBreak/>
        <w:t xml:space="preserve">atas Undang–Undang R.I. Undang-Undang Nomor 23 Tahun 2002 tentang Perlindungan Anak </w:t>
      </w:r>
      <w:r w:rsidRPr="00BA394E">
        <w:rPr>
          <w:color w:val="000000"/>
        </w:rPr>
        <w:t>telah terpenuhi.</w:t>
      </w:r>
    </w:p>
    <w:p w:rsidR="009C7D1F" w:rsidRPr="00BA394E" w:rsidRDefault="009C7D1F" w:rsidP="009C7D1F">
      <w:pPr>
        <w:autoSpaceDE w:val="0"/>
        <w:autoSpaceDN w:val="0"/>
        <w:adjustRightInd w:val="0"/>
        <w:spacing w:line="480" w:lineRule="auto"/>
        <w:ind w:firstLine="720"/>
        <w:jc w:val="both"/>
      </w:pPr>
      <w:r w:rsidRPr="00BA394E">
        <w:rPr>
          <w:color w:val="000000"/>
        </w:rPr>
        <w:t xml:space="preserve">Berdasarkan uraian tersebut maka </w:t>
      </w:r>
      <w:r w:rsidRPr="00BA394E">
        <w:rPr>
          <w:color w:val="000000"/>
          <w:lang w:val="id-ID"/>
        </w:rPr>
        <w:t xml:space="preserve">majelis hakim </w:t>
      </w:r>
      <w:r w:rsidRPr="00BA394E">
        <w:rPr>
          <w:color w:val="000000"/>
        </w:rPr>
        <w:t xml:space="preserve">berpendapat bahwa perbuatan yang dilakukan oleh terdakwa telah memenuhi unsur </w:t>
      </w:r>
      <w:r w:rsidRPr="00BA394E">
        <w:rPr>
          <w:color w:val="000000"/>
          <w:lang w:val="id-ID"/>
        </w:rPr>
        <w:t xml:space="preserve"> </w:t>
      </w:r>
      <w:r w:rsidRPr="00BA394E">
        <w:t>Ketentuan Pasal 76D juncto Pasal 81 ayat (2) Undang- Undang Nomor 17 Tahun 2016 tentang Penetapan Peraturan Pemerintah Pengganti Undang-Undang Nomor 1 Tahun 2016 tentang Perubahan Kedua Atas Undang-Undang Nomor 23 Tahun 2002 tentang Perlindungan Anak Menjadi Undang-Undang, memiliki ancaman hukuman yang kumulatif, yakni pidana penjara dengan minimal pemidanaan selama 5 (lima) tahun dan maksimal pemidanaan selama 15 (lima) belas tahun serta denda sebesar Rp 5.000.000.000,00 (lima miliar rupiah). Dalam Putusan Nomor 69/Pid.Sus/2019/PN.Mjk hakim menjatuhkan hukuman pidana pokok terhadap Terdakwa Muh Aris Bin Syukur berupa pidana penjara selama 12 (lima belas) tahun dan denda sebesar Rp. 100.000.000,00 (seratus juta rupiah) subsidair 6 (enam) bulan kurungan. Hakim dalam memutus pemidanaan tersebut tidak melibihi batas minimum dan maksimum pidana dari pasal yang didakwakan, sehingga hakim tidak menyimpangi asas legalitas dan telah memenuhi kepastian hukum yang terkandung dalam undang-undang itu sendiri.</w:t>
      </w:r>
    </w:p>
    <w:p w:rsidR="009C7D1F" w:rsidRPr="00BA394E" w:rsidRDefault="009C7D1F" w:rsidP="009C7D1F">
      <w:pPr>
        <w:autoSpaceDE w:val="0"/>
        <w:autoSpaceDN w:val="0"/>
        <w:adjustRightInd w:val="0"/>
        <w:spacing w:line="480" w:lineRule="auto"/>
        <w:ind w:firstLine="720"/>
        <w:jc w:val="both"/>
      </w:pPr>
      <w:r w:rsidRPr="00BA394E">
        <w:t xml:space="preserve">Berdasarkan pertimbangan yuridis, hakim dalam memutus hukuman tambahan kebiri kimia terhadap Terdakwa Muh Aris Bin Syukur telah melihat peraturan perundang-undangan sebagai acuan atau pedoman dalam penjatuhan pidana, jika dilihat dari segi kepastian hukum maka telah sesuai. Putusan Majelis Hakim Pengadilan Negeri Mojokerto Nomor 69/Pid.Sus/2019/PN.Mjk telah </w:t>
      </w:r>
      <w:r w:rsidRPr="00BA394E">
        <w:lastRenderedPageBreak/>
        <w:t>sesuai dengan prosedur penjatuhan pidana yang dikehendaki oleh undang-undang, secara normatif hukuman pidana pokok dan tambahan kebiri kimia terhadap pelaku kekerasan seksual kepada anak dapat diterima oleh para pihak yaitu Terdakwa dan Korban.</w:t>
      </w:r>
    </w:p>
    <w:p w:rsidR="009C7D1F" w:rsidRPr="00BA394E" w:rsidRDefault="009C7D1F" w:rsidP="009C7D1F">
      <w:pPr>
        <w:autoSpaceDE w:val="0"/>
        <w:autoSpaceDN w:val="0"/>
        <w:adjustRightInd w:val="0"/>
        <w:spacing w:line="480" w:lineRule="auto"/>
        <w:ind w:firstLine="720"/>
        <w:jc w:val="both"/>
      </w:pPr>
      <w:r w:rsidRPr="00BA394E">
        <w:t>Hukuman tambahan berupa kebiri kimia yang dijatuhkan oleh Majelis Hakim PN. Mojokerto dalam putusannya kepada Terdakwa Muh Aris Bin Syukur dimana Penuntut Umum tidak menyertakan hukuman kebiri kimia dalam tuntutannya. Kebiri disebut juga pengebirian atau kastrasi adalah tindakan bedah dan/atau menggunakan bahan kimia yang bertujuan untuk menghilangkan fungsi testis pada jantan atau fungsi ovarium pada betina dan pengebirian dapat dilakukan baik pada hewan ataupun manusia.</w:t>
      </w:r>
    </w:p>
    <w:p w:rsidR="009C7D1F" w:rsidRPr="00BA394E" w:rsidRDefault="009C7D1F" w:rsidP="009C7D1F">
      <w:pPr>
        <w:autoSpaceDE w:val="0"/>
        <w:autoSpaceDN w:val="0"/>
        <w:adjustRightInd w:val="0"/>
        <w:spacing w:line="480" w:lineRule="auto"/>
        <w:ind w:firstLine="720"/>
        <w:jc w:val="both"/>
      </w:pPr>
      <w:r w:rsidRPr="00BA394E">
        <w:t xml:space="preserve">Secara normatif tidak ada satu pasal pun dalam KUHAP yang mengharuskan hakim memutus pemidanaan sesuai dengan tuntutan Jaksa Penuntut Umum. Rujukan majelis hakim dalam memutus perkara adalah surat dakwaan Jaksa Penuntut Umum, bukan surat tuntutan. Penjatuhan hukuman tambahan kebiri kimia di luar tuntutan Jaksa Penuntut Umum oleh hakim didasarkan atas pertimbangan yuridis, bahwa berdasarkam keterangan Terdakwa perbuatan Terdakwa sudah dilakukan terhadap sekitar 9 (sembilan) orang anak yang menjadi korban kekerasan seksual Terdakwa. Perbuatan terdakwa tersebut telah memenuhi ketentuan Pasal 81 ayat (7) Undang-Undang Nomor 17 Tahun 2016 tentang Penetapan Peraturan Pemerintah Pengganti Undang-Undang Nomor 1 Tahun 2016 tentang perubahan kedua atas Undang- Undang Nomor 23 Tahun 2002 tentang Perlindungan Anak Menjadi Undang-Undang, yang menerangkan </w:t>
      </w:r>
      <w:r w:rsidRPr="00BA394E">
        <w:lastRenderedPageBreak/>
        <w:t xml:space="preserve">bahwa dalam hal tindak pidana dalam Pasal 76D menimbulkan korban lebih dari 1 (satu) orang dapat dikenai tindakan berupa kebiri kimia dan pemasangan alat pendeteksi elektronik. Berdasarkan pertimbangan yuridis tersebut, hakim dalam memutus hukuman tambahan kebiri kimia terhadap Terdakwa Muh Aris Bin Syukur telah melihat peraturan perundang-undangan sebagai acuan atau pedoman dalam penjatuhan pidana, jika dilihat dari segi kepastian hukum maka telah sesuai. </w:t>
      </w:r>
    </w:p>
    <w:p w:rsidR="009C7D1F" w:rsidRPr="00BA394E" w:rsidRDefault="009C7D1F" w:rsidP="009C7D1F">
      <w:pPr>
        <w:autoSpaceDE w:val="0"/>
        <w:autoSpaceDN w:val="0"/>
        <w:adjustRightInd w:val="0"/>
        <w:spacing w:line="480" w:lineRule="auto"/>
        <w:ind w:firstLine="720"/>
        <w:jc w:val="both"/>
      </w:pPr>
      <w:r w:rsidRPr="00BA394E">
        <w:t>Berdasarkan pertimbangan non yuridis, penjatuhan hukuman tambahan kebiri kimia oleh hakim sebagai langkah-langkah yang optimal dan komperhensif dengan tidak hanya memberikan pemberatan sanksi pidana tetapi juga sebagai bentuk pencegahan (</w:t>
      </w:r>
      <w:r w:rsidRPr="00BA394E">
        <w:rPr>
          <w:i/>
          <w:iCs/>
        </w:rPr>
        <w:t>preventif</w:t>
      </w:r>
      <w:r w:rsidRPr="00BA394E">
        <w:t>) sehingga hukuman tambahan berupa kebiri kimia bagi Terdakwa selain memberikan kepastian hukum juga menjadi hukuman yang paling adil untuk terdakwa, korban, dan memberikan kemanfaatan berupa pendidikan pada masyarakat agar ada efek jera. Putusan Majelis Hakim Pengadilan Negeri Mojokerto Nomor 69/Pid.Sus/2019/PN.Mjk telah sesuai dengan prosedur penjatuhan pidana yang dikehendaki oleh undang-undang, secara normatif hukuman pidana pokok dan tambahan kebiri kimia terhadap pelaku kekerasan seksual kepada anak dapat diterima oleh para pihak yaitu Terdakwa dan Korban.</w:t>
      </w:r>
    </w:p>
    <w:p w:rsidR="009C7D1F" w:rsidRPr="00BA394E" w:rsidRDefault="009C7D1F" w:rsidP="009C7D1F">
      <w:pPr>
        <w:autoSpaceDE w:val="0"/>
        <w:autoSpaceDN w:val="0"/>
        <w:adjustRightInd w:val="0"/>
        <w:spacing w:line="480" w:lineRule="auto"/>
        <w:ind w:firstLine="720"/>
        <w:jc w:val="both"/>
      </w:pPr>
      <w:r w:rsidRPr="00BA394E">
        <w:t xml:space="preserve">Pertimbangan non yuridis berupa keadaan terdakwa yang memberatkan yaitu perbuatan Terdakwa telah menimbulkan perasaan sedih yang mendalam pada keluarga korban serta meresahkan masyarakat, adapun keadaan yang dapat meringankan terdakwa tidak ada. Dengan demikian, Terdakwa perlulah dijatuhi pidana tambahan kebiri untuk mengekang kecenderungan (hasrat) Terdakwa </w:t>
      </w:r>
      <w:r w:rsidRPr="00BA394E">
        <w:lastRenderedPageBreak/>
        <w:t>untuk melakukan perbuatan (tindak pidana) yang berkaitan dengan kejahatan seksual terhadap anak-anak.</w:t>
      </w:r>
    </w:p>
    <w:p w:rsidR="009C7D1F" w:rsidRPr="00BA394E" w:rsidRDefault="009C7D1F" w:rsidP="009C7D1F">
      <w:pPr>
        <w:autoSpaceDE w:val="0"/>
        <w:autoSpaceDN w:val="0"/>
        <w:adjustRightInd w:val="0"/>
        <w:spacing w:line="480" w:lineRule="auto"/>
        <w:ind w:firstLine="720"/>
        <w:jc w:val="both"/>
      </w:pPr>
      <w:r w:rsidRPr="00BA394E">
        <w:t>Penulis tidak setuju dengan hukuman kebiri sebab hukuman kebiri tidak berhasil dalam menanggulangi tindak pidana kekerasan seksual terhadap anak. Salah satu Indikasi bahwa tujuan hukuman kebiri dikatakan telah berhasil dicapai adalah apabila kasus kekerasan seksual terhadap anak tidak terjadi lagi atau paling tidak terjadi penurunan jumlah yang signifikan. Kenyataan kasus kekerasan seksual terhadap anak hingga saat ini bisa dikatakan masih sering menghiasi pemberitaan di media masa di tingkat lokal, regional maupun nasional. Dengan demikian meski telah ada putusan hakim yang menjatuhkan hukuman kebiri ternyata belum bisa diharapkan memberi efek jera pada pelaku, apalagi mencegah pelaku lain, dan belum bisa memberi jaminan perlindungan bagi anak dari kejahatan seksual. Hal ini sedikit banyak dipengaruhi dari belum ada eksekusi terhadap terpidana yang dijatuhi hukuman kebiri, disebabkan karena undang-undangnya menetapkan bahwa eksekusi baru dilaksanakan setelah terpidana selesai menjalani pidana penjara sebagai pidana pokoknya. Namun demikian penulis berharap demi terwujudnya perlindungan anak semoga makin banyak hakim yang mendukung keinginan pemerintah, maupun pegiat dan pecinta anak, dengan menjatuhkan vonis hukuman yang berat kepada pelaku kejahatan seksual kepada anak, khususnya menjatuhkan pidana tambahan berupa hukuman kebiri. Meski banyak yang tidak setuju hukuman kebiri karena menganggap kebiri itu melanggar HAM, tetapi bukankah pelaku kejahatan tersebut lebih dahulu melanggar HAM juga.</w:t>
      </w:r>
    </w:p>
    <w:p w:rsidR="009C7D1F" w:rsidRPr="00BA394E" w:rsidRDefault="009C7D1F" w:rsidP="001D3179">
      <w:pPr>
        <w:numPr>
          <w:ilvl w:val="0"/>
          <w:numId w:val="10"/>
        </w:numPr>
        <w:spacing w:line="480" w:lineRule="auto"/>
        <w:ind w:left="360"/>
        <w:jc w:val="both"/>
        <w:rPr>
          <w:b/>
          <w:lang w:val="sv-SE"/>
        </w:rPr>
      </w:pPr>
      <w:r w:rsidRPr="00BA394E">
        <w:rPr>
          <w:b/>
          <w:color w:val="000000"/>
        </w:rPr>
        <w:lastRenderedPageBreak/>
        <w:t xml:space="preserve">Kendala Dalam Penerapan Tindakan Kebiri Kimia Bagi </w:t>
      </w:r>
      <w:r w:rsidRPr="00BA394E">
        <w:rPr>
          <w:b/>
          <w:lang w:val="sv-SE"/>
        </w:rPr>
        <w:t xml:space="preserve"> </w:t>
      </w:r>
      <w:r w:rsidRPr="00BA394E">
        <w:rPr>
          <w:b/>
          <w:color w:val="000000"/>
        </w:rPr>
        <w:t>Pelaku Kejahatan Seksual Terhadap Anak</w:t>
      </w:r>
      <w:r w:rsidRPr="00BA394E">
        <w:rPr>
          <w:b/>
        </w:rPr>
        <w:t xml:space="preserve">  </w:t>
      </w:r>
    </w:p>
    <w:p w:rsidR="009C7D1F" w:rsidRPr="00BA394E" w:rsidRDefault="009C7D1F" w:rsidP="009C7D1F">
      <w:pPr>
        <w:pStyle w:val="BodyTextIndent"/>
        <w:tabs>
          <w:tab w:val="clear" w:pos="0"/>
        </w:tabs>
        <w:ind w:firstLine="709"/>
        <w:rPr>
          <w:szCs w:val="24"/>
        </w:rPr>
      </w:pPr>
      <w:r w:rsidRPr="00BA394E">
        <w:rPr>
          <w:szCs w:val="24"/>
        </w:rPr>
        <w:t>Hukuman kebiri kimia yang tercantum dalam amar putusan No; 69/Pid.Sus/2019/Pn.Mjk pada hari Kamis 13 Juni 2019 oleh Majleis Hakim pemeriksa perkara tersebut di Pengadilan Negeri Mojokerto telah memperoleh kekuatan hukum tetap.</w:t>
      </w:r>
      <w:r w:rsidRPr="00BA394E">
        <w:rPr>
          <w:rStyle w:val="FootnoteReference"/>
          <w:szCs w:val="24"/>
        </w:rPr>
        <w:footnoteReference w:id="9"/>
      </w:r>
      <w:r w:rsidRPr="00BA394E">
        <w:rPr>
          <w:szCs w:val="24"/>
        </w:rPr>
        <w:t xml:space="preserve"> Hukuman tersebut terdapat dalam Undang-Undang Nomor 17 Tahun 2016 tentang penetapan Perppu No. 1 Tahun 2016 tentang perubahan kedua atas UU No. 23 Tahun 2002 tentang perlindungan anak menjadi Undang-Undang, yaitu pada pasal 81 ayat (7). Dalam lembaran negara nomor 5882 tentang penjelasan Undang-undang No. 17 Tahun 2016, dalam penjelasan pasal 81 ayat (7) tidak menjelaskan secara spesifik bagaimana kebiri kimia dijalankan oleh eksekutor, apa tujuan hukuman kebiri kimia dijalankan selain hanya memberikan efek jera kepada pelaku.</w:t>
      </w:r>
    </w:p>
    <w:p w:rsidR="009C7D1F" w:rsidRPr="00BA394E" w:rsidRDefault="009C7D1F" w:rsidP="009C7D1F">
      <w:pPr>
        <w:pStyle w:val="BodyTextIndent"/>
        <w:tabs>
          <w:tab w:val="clear" w:pos="0"/>
        </w:tabs>
        <w:ind w:firstLine="709"/>
        <w:rPr>
          <w:szCs w:val="24"/>
        </w:rPr>
      </w:pPr>
      <w:r w:rsidRPr="00BA394E">
        <w:rPr>
          <w:szCs w:val="24"/>
        </w:rPr>
        <w:t>Dalam teori pemidanaan yang dikenal dalam system hukum civil law atau europian continental adalah teori absolut dan teori relatif,</w:t>
      </w:r>
      <w:r w:rsidRPr="00BA394E">
        <w:rPr>
          <w:rStyle w:val="FootnoteReference"/>
          <w:szCs w:val="24"/>
        </w:rPr>
        <w:footnoteReference w:id="10"/>
      </w:r>
      <w:r w:rsidRPr="00BA394E">
        <w:rPr>
          <w:szCs w:val="24"/>
        </w:rPr>
        <w:t xml:space="preserve"> teori absolut yang memandang bahwa pemidanaan merupakan pembalasan atas kesalahan yang telah dilakukan sehingga berorientasi pada perbuatan dan terletak pada terjadinya kejahatan itu sendiri.</w:t>
      </w:r>
      <w:r w:rsidRPr="00BA394E">
        <w:rPr>
          <w:rStyle w:val="FootnoteReference"/>
          <w:szCs w:val="24"/>
        </w:rPr>
        <w:footnoteReference w:id="11"/>
      </w:r>
      <w:r w:rsidRPr="00BA394E">
        <w:rPr>
          <w:szCs w:val="24"/>
        </w:rPr>
        <w:t xml:space="preserve"> Sedangkan teori relatif bukan berorientasi pada kesalahan melainkan bertujuan untuk mencapai tujuan yang bermanfaat untuk melindungi masyarakat menuju kesejahteraan.</w:t>
      </w:r>
      <w:r w:rsidRPr="00BA394E">
        <w:rPr>
          <w:rStyle w:val="FootnoteReference"/>
          <w:szCs w:val="24"/>
        </w:rPr>
        <w:t xml:space="preserve"> </w:t>
      </w:r>
      <w:r w:rsidRPr="00BA394E">
        <w:rPr>
          <w:rStyle w:val="FootnoteReference"/>
          <w:szCs w:val="24"/>
        </w:rPr>
        <w:footnoteReference w:id="12"/>
      </w:r>
      <w:r w:rsidRPr="00BA394E">
        <w:rPr>
          <w:szCs w:val="24"/>
        </w:rPr>
        <w:t xml:space="preserve"> Namun dalam perkembangannya tujuan pemidanaan bertambah yaitu teori gabungan yaitu teori yang bertujuan plural </w:t>
      </w:r>
      <w:r w:rsidRPr="00BA394E">
        <w:rPr>
          <w:szCs w:val="24"/>
        </w:rPr>
        <w:lastRenderedPageBreak/>
        <w:t>yakni menggabungkan antara teori absolut dan relative, teori ini dikemukakan oleh Pins, Vans Hamel dan Van List.</w:t>
      </w:r>
      <w:r w:rsidRPr="00BA394E">
        <w:rPr>
          <w:rStyle w:val="FootnoteReference"/>
          <w:szCs w:val="24"/>
        </w:rPr>
        <w:footnoteReference w:id="13"/>
      </w:r>
      <w:r w:rsidRPr="00BA394E">
        <w:rPr>
          <w:szCs w:val="24"/>
        </w:rPr>
        <w:t xml:space="preserve"> Tujuan pemidanaan dalam KUHP jika kita cermati mengacu pada teori gabungan, dalam KUHP secara singkat, pemidanaan bertujuan untuk mencegah terjadinya pidana disamping tujuan pidana adalah membalas perbuatan pelaku kejahatan. Karena ada banyak macam pidana yang ada di Indonesia.</w:t>
      </w:r>
    </w:p>
    <w:p w:rsidR="009C7D1F" w:rsidRPr="00BA394E" w:rsidRDefault="009C7D1F" w:rsidP="009C7D1F">
      <w:pPr>
        <w:pStyle w:val="BodyTextIndent"/>
        <w:tabs>
          <w:tab w:val="clear" w:pos="0"/>
        </w:tabs>
        <w:ind w:firstLine="709"/>
        <w:rPr>
          <w:szCs w:val="24"/>
        </w:rPr>
      </w:pPr>
      <w:r w:rsidRPr="00BA394E">
        <w:rPr>
          <w:szCs w:val="24"/>
        </w:rPr>
        <w:t>Hukuman kebiri kimia sebagai sebuah terobosan baru yang diharapkan mampu meredam laju kejahatan pedofil yang marak dilakukan. Namun dalam praktiknya belum mendapat titik temu siapakah badan yang berwenang menjalankan eksekusi hukuman kebiri kimia tersebut. Dalam konsideran Undang-undang No. 17 Tahun 2016 menyebutkan bahwa pengesahan Undang-undang tersebut bertujuan untuk mengurangi kejahatan pada anak.</w:t>
      </w:r>
    </w:p>
    <w:p w:rsidR="009C7D1F" w:rsidRPr="00BA394E" w:rsidRDefault="009C7D1F" w:rsidP="009C7D1F">
      <w:pPr>
        <w:pStyle w:val="BodyTextIndent"/>
        <w:tabs>
          <w:tab w:val="clear" w:pos="0"/>
        </w:tabs>
        <w:ind w:firstLine="709"/>
        <w:rPr>
          <w:szCs w:val="24"/>
        </w:rPr>
      </w:pPr>
      <w:r w:rsidRPr="00BA394E">
        <w:rPr>
          <w:szCs w:val="24"/>
        </w:rPr>
        <w:t>Kendala yang ditemui dalam pelaksanaan hukuman kebiri kimia adalah sebagai berikut :</w:t>
      </w:r>
      <w:r w:rsidRPr="00BA394E">
        <w:rPr>
          <w:rStyle w:val="FootnoteReference"/>
          <w:szCs w:val="24"/>
        </w:rPr>
        <w:footnoteReference w:id="14"/>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Kebiri kimia merupakan aturan hukuman yang baru pertama kali dilegalkan di  Indonesia, sehingga perlu adanya penelitian lebih lanjut tentang untung dan rugi pemberlakuan hukuman kebiri kimia.</w:t>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Dalam lembaran negara Nomor 5882 tidak memuat penjelasan yang jelas mengenai petunjuk teknis ekseekusi hukuman kebiri kimia.</w:t>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Kejaksaan Negeri Mojokerto masih menunggu turunan putusan dari Kementria Kesehatan terkait mekanisme eksekusi hukuman kebiri kimia.</w:t>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Penolakan dari Ikatan Dokter Indonesia untuk melakukan eksekusi karena melanggar Sumpah Dokter, Kode Etik Kedokteran Indonesia dan Hak Asasi Manusia.</w:t>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 xml:space="preserve">Kejaksaan Negeri Mojokerto sendiri menilai hukuman kebiri kimia merupakan hukuman yang tidak manusiawi sehingga Kejaksaan Negeri </w:t>
      </w:r>
      <w:r w:rsidRPr="00BA394E">
        <w:lastRenderedPageBreak/>
        <w:t>Mojokerto bersifat pasif dalam kasus ini, menunggu instruksi dari Negara dalam hal pelaksanaan hukuman kebiri kimia.</w:t>
      </w:r>
    </w:p>
    <w:p w:rsidR="009C7D1F" w:rsidRPr="00BA394E" w:rsidRDefault="009C7D1F" w:rsidP="001D3179">
      <w:pPr>
        <w:numPr>
          <w:ilvl w:val="7"/>
          <w:numId w:val="8"/>
        </w:numPr>
        <w:tabs>
          <w:tab w:val="clear" w:pos="5760"/>
          <w:tab w:val="left" w:pos="993"/>
        </w:tabs>
        <w:autoSpaceDE w:val="0"/>
        <w:autoSpaceDN w:val="0"/>
        <w:adjustRightInd w:val="0"/>
        <w:ind w:left="993" w:hanging="284"/>
        <w:jc w:val="both"/>
      </w:pPr>
      <w:r w:rsidRPr="00BA394E">
        <w:t>Belum adanya pihak yang bersedia ditunjuk sebagai eksekutor hukuman kebiri kimia, karena pada dasarnya jaksa berwenang dalam eksekusi tetapi tidak berwenang mengekseskusi bila hukuman diluar tugas jaksa.</w:t>
      </w:r>
    </w:p>
    <w:p w:rsidR="009C7D1F" w:rsidRPr="00BA394E" w:rsidRDefault="009C7D1F" w:rsidP="009C7D1F">
      <w:pPr>
        <w:tabs>
          <w:tab w:val="left" w:pos="993"/>
        </w:tabs>
        <w:autoSpaceDE w:val="0"/>
        <w:autoSpaceDN w:val="0"/>
        <w:adjustRightInd w:val="0"/>
        <w:ind w:left="993"/>
        <w:jc w:val="both"/>
      </w:pPr>
    </w:p>
    <w:p w:rsidR="009C7D1F" w:rsidRPr="00BA394E" w:rsidRDefault="009C7D1F" w:rsidP="009C7D1F">
      <w:pPr>
        <w:pStyle w:val="BodyTextIndent"/>
        <w:tabs>
          <w:tab w:val="clear" w:pos="0"/>
        </w:tabs>
        <w:ind w:firstLine="709"/>
        <w:rPr>
          <w:szCs w:val="24"/>
        </w:rPr>
      </w:pPr>
      <w:r w:rsidRPr="00BA394E">
        <w:rPr>
          <w:szCs w:val="24"/>
        </w:rPr>
        <w:t>Sebagai lembaga negara yang diberikan tugas dan wewenang, Kejaksaan harus mampu menjalankan tugas dan wewenangnya secara serius dan konsekuen. Karena tugas dan wewenang jaksa adalah sebagai pelaksana putusan pengadilan, maka jaksa juga menjalankan hukuman kebiri kimia yang telah diputuskan secara sah di Pengadilan Negeri Mojokerto yang dikuatkan oleh Pengadilan Tinggi Surabaya.</w:t>
      </w:r>
    </w:p>
    <w:p w:rsidR="009C7D1F" w:rsidRPr="00BA394E" w:rsidRDefault="009C7D1F" w:rsidP="009C7D1F">
      <w:pPr>
        <w:pStyle w:val="BodyTextIndent"/>
        <w:tabs>
          <w:tab w:val="clear" w:pos="0"/>
        </w:tabs>
        <w:ind w:firstLine="709"/>
        <w:rPr>
          <w:szCs w:val="24"/>
        </w:rPr>
      </w:pPr>
      <w:r w:rsidRPr="00BA394E">
        <w:rPr>
          <w:szCs w:val="24"/>
        </w:rPr>
        <w:t xml:space="preserve">Kejaksaan dalam menjalankan tugasnya melaksanakan putusan pengadilan yang memperoleh kekuatan hukum tetap, jaksa tidak serta merta dapat melaksanakannya secara independen, karena hukuman kebiri kimia adalah dibawah wewenang badan kesehatan. Dalam hal ini, Ikatan Dokter Indonesia (IDI) adalah lembaga yang dipilih Kejaksaaan Negeri Mojokerto untuk melaksanakan eksekusi tetapi IDI melayangkan penolakan dengan berbagai alasan. </w:t>
      </w:r>
      <w:r w:rsidRPr="00BA394E">
        <w:rPr>
          <w:rStyle w:val="FootnoteReference"/>
          <w:szCs w:val="24"/>
        </w:rPr>
        <w:footnoteReference w:id="15"/>
      </w:r>
    </w:p>
    <w:p w:rsidR="009C7D1F" w:rsidRPr="00BA394E" w:rsidRDefault="009C7D1F" w:rsidP="009C7D1F">
      <w:pPr>
        <w:pStyle w:val="BodyTextIndent"/>
        <w:tabs>
          <w:tab w:val="clear" w:pos="0"/>
        </w:tabs>
        <w:ind w:firstLine="709"/>
        <w:rPr>
          <w:szCs w:val="24"/>
        </w:rPr>
      </w:pPr>
      <w:r w:rsidRPr="00BA394E">
        <w:rPr>
          <w:szCs w:val="24"/>
        </w:rPr>
        <w:t xml:space="preserve">Akibat penolakan ini, pihak kejaksaan sudah berusaha mencari badan lain yang bersedia untuk melakukan eksekusi ini, tetapi tidak membuahkan hasil, sehingga hukuman ini belum dapat dilaksanakan. Dalam wawancara yang dilakukan oleh penulis, pihak Kejaksaan melakukan tindak lanjut untuk memnunggu petunjuk teknis yang dibuat oleh kementrian kesehatan, atau amandemen dari Undang-Undang No. 17 Tahun 2016 dengan menambahkan </w:t>
      </w:r>
      <w:r w:rsidRPr="00BA394E">
        <w:rPr>
          <w:szCs w:val="24"/>
        </w:rPr>
        <w:lastRenderedPageBreak/>
        <w:t>petunjuk teknis pelaksanaan hukuman kebiri kimia sedangkan upaya hukum yang dapat ditempuh satu-satunya adalah Peninjauan Kembail (PK) ke Mahkamah Agung untuk diperiksa kembali putusan tersebut tetapi pihak Kejaksaan belum berupaya untuk melakukan PK ke Mahkamah Agung.</w:t>
      </w:r>
      <w:r w:rsidRPr="00BA394E">
        <w:rPr>
          <w:rStyle w:val="FootnoteReference"/>
          <w:szCs w:val="24"/>
        </w:rPr>
        <w:footnoteReference w:id="16"/>
      </w:r>
    </w:p>
    <w:p w:rsidR="009C7D1F" w:rsidRPr="00BA394E" w:rsidRDefault="009C7D1F" w:rsidP="009C7D1F">
      <w:pPr>
        <w:pStyle w:val="BodyTextIndent"/>
        <w:tabs>
          <w:tab w:val="clear" w:pos="0"/>
        </w:tabs>
        <w:ind w:firstLine="709"/>
        <w:rPr>
          <w:szCs w:val="24"/>
        </w:rPr>
      </w:pPr>
      <w:r w:rsidRPr="00BA394E">
        <w:rPr>
          <w:szCs w:val="24"/>
        </w:rPr>
        <w:t>Terlepas dari upaya yang dilakukan oleh Kejaksaaan Negeri Mojokerto, terdapat kewenangan hakim pengawas untuk mengawasi dan mengamati terhadap pemidaan yang terlaksana kepada pelaku kejahatan. Pengawasan tersebut bersifat administratif, yakni jaksa dan kepala Lapas mengirimkan laporan secara berkala kepada hakim pengawas yang berguna untuk kepentingan hakim dalam menjatuhkan hukuman selanjutnya terhadap terdakwa yang lain.</w:t>
      </w:r>
      <w:r w:rsidRPr="00BA394E">
        <w:rPr>
          <w:rStyle w:val="FootnoteReference"/>
          <w:szCs w:val="24"/>
        </w:rPr>
        <w:footnoteReference w:id="17"/>
      </w:r>
    </w:p>
    <w:p w:rsidR="009C7D1F" w:rsidRPr="00BA394E" w:rsidRDefault="009C7D1F" w:rsidP="009C7D1F">
      <w:pPr>
        <w:pStyle w:val="BodyTextIndent"/>
        <w:tabs>
          <w:tab w:val="clear" w:pos="0"/>
        </w:tabs>
        <w:ind w:firstLine="709"/>
        <w:rPr>
          <w:szCs w:val="24"/>
        </w:rPr>
      </w:pPr>
      <w:r w:rsidRPr="00BA394E">
        <w:rPr>
          <w:szCs w:val="24"/>
        </w:rPr>
        <w:t>Apabila hukuman kebiri kimia tidak dapat terlaksana maka akan terjadi ketidakpastian hukum. Tanpa adanya kepastian hukum, orang tidak tau apa yang harus diperbuatnya dan akhirnya akan menimbulkan kekerasan (</w:t>
      </w:r>
      <w:r w:rsidRPr="00BA394E">
        <w:rPr>
          <w:i/>
          <w:iCs/>
          <w:szCs w:val="24"/>
        </w:rPr>
        <w:t>chaos</w:t>
      </w:r>
      <w:r w:rsidRPr="00BA394E">
        <w:rPr>
          <w:szCs w:val="24"/>
        </w:rPr>
        <w:t>) akibat ketidaktegasan system hukum.</w:t>
      </w:r>
      <w:r w:rsidRPr="00BA394E">
        <w:rPr>
          <w:rStyle w:val="FootnoteReference"/>
          <w:szCs w:val="24"/>
        </w:rPr>
        <w:footnoteReference w:id="18"/>
      </w:r>
      <w:r w:rsidRPr="00BA394E">
        <w:rPr>
          <w:szCs w:val="24"/>
        </w:rPr>
        <w:t xml:space="preserve"> Sehingga dengan demikian kepastian hukum merujuk pada pemberlakuan hukum yang jelas, tetap dan konsisten dimana pelaksanaanya tidak dapat dipengaruhi oleh keadaan-keadaan yang sifatnya subjektif.</w:t>
      </w:r>
      <w:r w:rsidRPr="00BA394E">
        <w:rPr>
          <w:rStyle w:val="FootnoteReference"/>
          <w:szCs w:val="24"/>
        </w:rPr>
        <w:footnoteReference w:id="19"/>
      </w:r>
    </w:p>
    <w:p w:rsidR="009C7D1F" w:rsidRPr="00BA394E" w:rsidRDefault="009C7D1F" w:rsidP="009C7D1F">
      <w:pPr>
        <w:pStyle w:val="BodyTextIndent"/>
        <w:tabs>
          <w:tab w:val="clear" w:pos="0"/>
        </w:tabs>
        <w:ind w:firstLine="709"/>
        <w:rPr>
          <w:szCs w:val="24"/>
        </w:rPr>
      </w:pPr>
      <w:r w:rsidRPr="00BA394E">
        <w:rPr>
          <w:szCs w:val="24"/>
        </w:rPr>
        <w:t xml:space="preserve">Hukuman kebiri kimia yang belum menemukan titik terang dalam eksekusinya, sebagai upaya hukum luar biasa dapat dimintakan grasi kepada </w:t>
      </w:r>
      <w:r w:rsidRPr="00BA394E">
        <w:rPr>
          <w:szCs w:val="24"/>
        </w:rPr>
        <w:lastRenderedPageBreak/>
        <w:t>presiden. grasi merupakan pengampunan berupa perubahan, peringanan, pengurangan atau penghapusan pelaksanaan pidana kepad terpidana yang diberikan oleh presidan. Aturan tentang grasi terdapat dalam Undang-Undang No. 22 Tahun 2002 tentang Grasi.</w:t>
      </w:r>
      <w:r w:rsidRPr="00BA394E">
        <w:rPr>
          <w:rStyle w:val="FootnoteReference"/>
          <w:szCs w:val="24"/>
        </w:rPr>
        <w:footnoteReference w:id="20"/>
      </w:r>
    </w:p>
    <w:p w:rsidR="00934309" w:rsidRPr="009C7D1F" w:rsidRDefault="00934309" w:rsidP="009C7D1F"/>
    <w:sectPr w:rsidR="00934309" w:rsidRPr="009C7D1F" w:rsidSect="00F12F8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5A2" w:rsidRDefault="00A125A2">
      <w:r>
        <w:separator/>
      </w:r>
    </w:p>
  </w:endnote>
  <w:endnote w:type="continuationSeparator" w:id="1">
    <w:p w:rsidR="00A125A2" w:rsidRDefault="00A12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1" w:rsidRDefault="004C44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4C4471">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5A2" w:rsidRDefault="00A125A2">
      <w:r>
        <w:separator/>
      </w:r>
    </w:p>
  </w:footnote>
  <w:footnote w:type="continuationSeparator" w:id="1">
    <w:p w:rsidR="00A125A2" w:rsidRDefault="00A125A2">
      <w:r>
        <w:continuationSeparator/>
      </w:r>
    </w:p>
  </w:footnote>
  <w:footnote w:id="2">
    <w:p w:rsidR="009C7D1F" w:rsidRPr="007F4DED" w:rsidRDefault="009C7D1F" w:rsidP="009C7D1F">
      <w:pPr>
        <w:pStyle w:val="FootnoteText"/>
        <w:ind w:firstLine="720"/>
        <w:jc w:val="both"/>
      </w:pPr>
      <w:r w:rsidRPr="007F4DED">
        <w:rPr>
          <w:rStyle w:val="FootnoteReference"/>
        </w:rPr>
        <w:footnoteRef/>
      </w:r>
      <w:r w:rsidRPr="007F4DED">
        <w:t xml:space="preserve"> </w:t>
      </w:r>
      <w:bookmarkStart w:id="0" w:name="_Hlk133184288"/>
      <w:r w:rsidRPr="007F4DED">
        <w:t xml:space="preserve">Sudarto, </w:t>
      </w:r>
      <w:r w:rsidRPr="007F4DED">
        <w:rPr>
          <w:i/>
          <w:iCs/>
        </w:rPr>
        <w:t>Hukum dan Hukum Pidana</w:t>
      </w:r>
      <w:r w:rsidRPr="007F4DED">
        <w:t>,  Alumni, Bandung, 2017</w:t>
      </w:r>
      <w:bookmarkEnd w:id="0"/>
      <w:r w:rsidRPr="007F4DED">
        <w:t xml:space="preserve">, hlm. 159  </w:t>
      </w:r>
    </w:p>
  </w:footnote>
  <w:footnote w:id="3">
    <w:p w:rsidR="009C7D1F" w:rsidRPr="007F4DED" w:rsidRDefault="009C7D1F" w:rsidP="009C7D1F">
      <w:pPr>
        <w:pStyle w:val="FootnoteText"/>
        <w:ind w:firstLine="720"/>
        <w:jc w:val="both"/>
      </w:pPr>
      <w:r w:rsidRPr="007F4DED">
        <w:rPr>
          <w:rStyle w:val="FootnoteReference"/>
        </w:rPr>
        <w:footnoteRef/>
      </w:r>
      <w:r w:rsidRPr="007F4DED">
        <w:t xml:space="preserve"> Barda Nawawi Arief, </w:t>
      </w:r>
      <w:r w:rsidRPr="007F4DED">
        <w:rPr>
          <w:i/>
          <w:iCs/>
        </w:rPr>
        <w:t xml:space="preserve">Op.Cit, </w:t>
      </w:r>
      <w:r w:rsidRPr="007F4DED">
        <w:t xml:space="preserve">hlm. 30  </w:t>
      </w:r>
    </w:p>
  </w:footnote>
  <w:footnote w:id="4">
    <w:p w:rsidR="009C7D1F" w:rsidRPr="007F4DED" w:rsidRDefault="009C7D1F" w:rsidP="009C7D1F">
      <w:pPr>
        <w:pStyle w:val="FootnoteText"/>
        <w:ind w:firstLine="720"/>
        <w:jc w:val="both"/>
        <w:rPr>
          <w:i/>
        </w:rPr>
      </w:pPr>
      <w:r w:rsidRPr="007F4DED">
        <w:rPr>
          <w:rStyle w:val="FootnoteReference"/>
        </w:rPr>
        <w:footnoteRef/>
      </w:r>
      <w:r w:rsidRPr="007F4DED">
        <w:t xml:space="preserve"> </w:t>
      </w:r>
      <w:bookmarkStart w:id="1" w:name="_Hlk133184314"/>
      <w:r w:rsidRPr="007F4DED">
        <w:rPr>
          <w:color w:val="040404"/>
        </w:rPr>
        <w:t xml:space="preserve">Bina Adhyaksa, </w:t>
      </w:r>
      <w:r w:rsidRPr="007F4DED">
        <w:rPr>
          <w:i/>
          <w:iCs/>
          <w:color w:val="040404"/>
        </w:rPr>
        <w:t xml:space="preserve">Hukuman Kebiri dan Penegakan Hukum di Indonesia, </w:t>
      </w:r>
      <w:r w:rsidRPr="007F4DED">
        <w:rPr>
          <w:i/>
          <w:color w:val="040404"/>
        </w:rPr>
        <w:t>Jurnal Ilmu Hukum</w:t>
      </w:r>
      <w:r w:rsidRPr="007F4DED">
        <w:rPr>
          <w:color w:val="040404"/>
        </w:rPr>
        <w:t xml:space="preserve">, Vol.1 No.2 (2019), </w:t>
      </w:r>
      <w:bookmarkEnd w:id="1"/>
      <w:r w:rsidRPr="007F4DED">
        <w:rPr>
          <w:color w:val="040404"/>
        </w:rPr>
        <w:t>hlm74.</w:t>
      </w:r>
      <w:r w:rsidRPr="007F4DED">
        <w:rPr>
          <w:i/>
          <w:color w:val="040404"/>
        </w:rPr>
        <w:t xml:space="preserve"> </w:t>
      </w:r>
      <w:r w:rsidRPr="007F4DED">
        <w:rPr>
          <w:i/>
        </w:rPr>
        <w:t xml:space="preserve"> </w:t>
      </w:r>
    </w:p>
  </w:footnote>
  <w:footnote w:id="5">
    <w:p w:rsidR="009C7D1F" w:rsidRPr="007F4DED" w:rsidRDefault="009C7D1F" w:rsidP="009C7D1F">
      <w:pPr>
        <w:pStyle w:val="FootnoteText"/>
        <w:ind w:firstLine="720"/>
        <w:jc w:val="both"/>
      </w:pPr>
      <w:r w:rsidRPr="007F4DED">
        <w:rPr>
          <w:rStyle w:val="FootnoteReference"/>
        </w:rPr>
        <w:footnoteRef/>
      </w:r>
      <w:r w:rsidRPr="007F4DED">
        <w:t xml:space="preserve"> </w:t>
      </w:r>
      <w:bookmarkStart w:id="2" w:name="_Hlk133184338"/>
      <w:r w:rsidRPr="007F4DED">
        <w:rPr>
          <w:rStyle w:val="markedcontent"/>
          <w:rFonts w:eastAsia="Calibri"/>
        </w:rPr>
        <w:t>Arrista Trimaya,</w:t>
      </w:r>
      <w:r w:rsidRPr="007F4DED">
        <w:rPr>
          <w:i/>
          <w:iCs/>
        </w:rPr>
        <w:t xml:space="preserve"> “</w:t>
      </w:r>
      <w:r w:rsidRPr="007F4DED">
        <w:rPr>
          <w:iCs/>
        </w:rPr>
        <w:t xml:space="preserve">Mencermati Pengaturan Hukuman Kebiri di Indonesia”, </w:t>
      </w:r>
      <w:r w:rsidRPr="007F4DED">
        <w:rPr>
          <w:i/>
        </w:rPr>
        <w:t xml:space="preserve">Jurnal Rechtvinding, </w:t>
      </w:r>
      <w:r w:rsidRPr="007F4DED">
        <w:t>Vol.1 No.1 Thn 2016</w:t>
      </w:r>
      <w:bookmarkEnd w:id="2"/>
      <w:r w:rsidRPr="007F4DED">
        <w:t>, hlm.4.</w:t>
      </w:r>
    </w:p>
  </w:footnote>
  <w:footnote w:id="6">
    <w:p w:rsidR="009C7D1F" w:rsidRPr="007F4DED" w:rsidRDefault="009C7D1F" w:rsidP="009C7D1F">
      <w:pPr>
        <w:pStyle w:val="FootnoteText"/>
        <w:ind w:firstLine="720"/>
        <w:jc w:val="both"/>
      </w:pPr>
      <w:r w:rsidRPr="007F4DED">
        <w:rPr>
          <w:rStyle w:val="FootnoteReference"/>
        </w:rPr>
        <w:footnoteRef/>
      </w:r>
      <w:r w:rsidRPr="007F4DED">
        <w:t xml:space="preserve"> </w:t>
      </w:r>
      <w:r w:rsidRPr="007F4DED">
        <w:rPr>
          <w:rStyle w:val="markedcontent"/>
          <w:rFonts w:eastAsia="Calibri"/>
          <w:i/>
        </w:rPr>
        <w:t>Op.cit</w:t>
      </w:r>
      <w:r w:rsidRPr="007F4DED">
        <w:rPr>
          <w:rStyle w:val="markedcontent"/>
          <w:rFonts w:eastAsia="Calibri"/>
        </w:rPr>
        <w:t>.</w:t>
      </w:r>
    </w:p>
  </w:footnote>
  <w:footnote w:id="7">
    <w:p w:rsidR="009C7D1F" w:rsidRPr="007F4DED" w:rsidRDefault="009C7D1F" w:rsidP="009C7D1F">
      <w:pPr>
        <w:pStyle w:val="FootnoteText"/>
        <w:ind w:firstLine="720"/>
        <w:jc w:val="both"/>
      </w:pPr>
      <w:r w:rsidRPr="007F4DED">
        <w:rPr>
          <w:rStyle w:val="FootnoteReference"/>
        </w:rPr>
        <w:footnoteRef/>
      </w:r>
      <w:r w:rsidRPr="007F4DED">
        <w:t xml:space="preserve"> </w:t>
      </w:r>
      <w:r w:rsidRPr="007F4DED">
        <w:rPr>
          <w:i/>
        </w:rPr>
        <w:t>Ibid</w:t>
      </w:r>
      <w:r w:rsidRPr="007F4DED">
        <w:t>, hlm.5</w:t>
      </w:r>
    </w:p>
  </w:footnote>
  <w:footnote w:id="8">
    <w:p w:rsidR="009C7D1F" w:rsidRPr="007F4DED" w:rsidRDefault="009C7D1F" w:rsidP="009C7D1F">
      <w:pPr>
        <w:pStyle w:val="FootnoteText"/>
        <w:ind w:firstLine="720"/>
        <w:jc w:val="both"/>
      </w:pPr>
      <w:r w:rsidRPr="007F4DED">
        <w:rPr>
          <w:rStyle w:val="FootnoteReference"/>
        </w:rPr>
        <w:footnoteRef/>
      </w:r>
      <w:r w:rsidRPr="007F4DED">
        <w:t xml:space="preserve"> </w:t>
      </w:r>
      <w:r w:rsidRPr="007F4DED">
        <w:rPr>
          <w:i/>
        </w:rPr>
        <w:t>Ibid</w:t>
      </w:r>
      <w:r w:rsidRPr="007F4DED">
        <w:t>, hlm.6</w:t>
      </w:r>
    </w:p>
  </w:footnote>
  <w:footnote w:id="9">
    <w:p w:rsidR="009C7D1F" w:rsidRPr="007F4DED" w:rsidRDefault="009C7D1F" w:rsidP="009C7D1F">
      <w:pPr>
        <w:pStyle w:val="FootnoteText"/>
        <w:ind w:firstLine="720"/>
        <w:jc w:val="both"/>
      </w:pPr>
      <w:r w:rsidRPr="007F4DED">
        <w:rPr>
          <w:rStyle w:val="FootnoteReference"/>
        </w:rPr>
        <w:footnoteRef/>
      </w:r>
      <w:r w:rsidRPr="007F4DED">
        <w:t xml:space="preserve"> Dikuatkan oleh Majelis Hakim Pengadilan Tinggi Surabaya dengan register perkara No: 695/Pid.Sus/2019/PT.Sby tertanggal 18 Juli 2019</w:t>
      </w:r>
    </w:p>
  </w:footnote>
  <w:footnote w:id="10">
    <w:p w:rsidR="009C7D1F" w:rsidRPr="007F4DED" w:rsidRDefault="009C7D1F" w:rsidP="009C7D1F">
      <w:pPr>
        <w:pStyle w:val="FootnoteText"/>
        <w:ind w:firstLine="720"/>
        <w:jc w:val="both"/>
      </w:pPr>
      <w:r w:rsidRPr="007F4DED">
        <w:rPr>
          <w:rStyle w:val="FootnoteReference"/>
        </w:rPr>
        <w:footnoteRef/>
      </w:r>
      <w:r w:rsidRPr="007F4DED">
        <w:t xml:space="preserve"> Andi Hamzah, </w:t>
      </w:r>
      <w:r w:rsidRPr="007F4DED">
        <w:rPr>
          <w:i/>
          <w:iCs/>
        </w:rPr>
        <w:t xml:space="preserve">Asas-Asas Hukum Pidana, </w:t>
      </w:r>
      <w:r w:rsidRPr="007F4DED">
        <w:rPr>
          <w:i/>
        </w:rPr>
        <w:t>Op.Cit</w:t>
      </w:r>
      <w:r w:rsidRPr="007F4DED">
        <w:t>, hlm. 20</w:t>
      </w:r>
    </w:p>
  </w:footnote>
  <w:footnote w:id="11">
    <w:p w:rsidR="009C7D1F" w:rsidRPr="007F4DED" w:rsidRDefault="009C7D1F" w:rsidP="009C7D1F">
      <w:pPr>
        <w:pStyle w:val="FootnoteText"/>
        <w:ind w:firstLine="720"/>
        <w:jc w:val="both"/>
      </w:pPr>
      <w:r w:rsidRPr="007F4DED">
        <w:rPr>
          <w:rStyle w:val="FootnoteReference"/>
        </w:rPr>
        <w:footnoteRef/>
      </w:r>
      <w:r w:rsidRPr="007F4DED">
        <w:t xml:space="preserve"> Zainal Abidin Farid,</w:t>
      </w:r>
      <w:r w:rsidRPr="007F4DED">
        <w:rPr>
          <w:i/>
          <w:iCs/>
        </w:rPr>
        <w:t>Op.Cit</w:t>
      </w:r>
      <w:r w:rsidRPr="007F4DED">
        <w:t>, hlm. 11</w:t>
      </w:r>
    </w:p>
  </w:footnote>
  <w:footnote w:id="12">
    <w:p w:rsidR="009C7D1F" w:rsidRPr="007F4DED" w:rsidRDefault="009C7D1F" w:rsidP="009C7D1F">
      <w:pPr>
        <w:pStyle w:val="FootnoteText"/>
        <w:ind w:firstLine="720"/>
        <w:jc w:val="both"/>
        <w:rPr>
          <w:i/>
        </w:rPr>
      </w:pPr>
      <w:r w:rsidRPr="007F4DED">
        <w:rPr>
          <w:rStyle w:val="FootnoteReference"/>
        </w:rPr>
        <w:footnoteRef/>
      </w:r>
      <w:r w:rsidRPr="007F4DED">
        <w:t xml:space="preserve"> </w:t>
      </w:r>
      <w:r w:rsidRPr="007F4DED">
        <w:rPr>
          <w:i/>
        </w:rPr>
        <w:t>Ibid.</w:t>
      </w:r>
    </w:p>
  </w:footnote>
  <w:footnote w:id="13">
    <w:p w:rsidR="009C7D1F" w:rsidRPr="007F4DED" w:rsidRDefault="009C7D1F" w:rsidP="009C7D1F">
      <w:pPr>
        <w:pStyle w:val="FootnoteText"/>
        <w:ind w:firstLine="720"/>
        <w:jc w:val="both"/>
        <w:rPr>
          <w:i/>
        </w:rPr>
      </w:pPr>
      <w:r w:rsidRPr="007F4DED">
        <w:rPr>
          <w:rStyle w:val="FootnoteReference"/>
        </w:rPr>
        <w:footnoteRef/>
      </w:r>
      <w:r w:rsidRPr="007F4DED">
        <w:t xml:space="preserve"> </w:t>
      </w:r>
      <w:bookmarkStart w:id="3" w:name="_Hlk133184443"/>
      <w:r w:rsidRPr="007F4DED">
        <w:t xml:space="preserve">Djoko Prakoso, </w:t>
      </w:r>
      <w:r w:rsidRPr="007F4DED">
        <w:rPr>
          <w:i/>
          <w:iCs/>
        </w:rPr>
        <w:t>Surat Dakwaan, Tuntutan Pidana dan Eksaminasi Perkara didalam Proses Pidana,</w:t>
      </w:r>
      <w:r w:rsidRPr="007F4DED">
        <w:t xml:space="preserve"> Liberty, Yohyakarta, 2015</w:t>
      </w:r>
      <w:bookmarkEnd w:id="3"/>
      <w:r w:rsidRPr="007F4DED">
        <w:t>, hlm. 47</w:t>
      </w:r>
      <w:r w:rsidRPr="007F4DED">
        <w:rPr>
          <w:i/>
        </w:rPr>
        <w:t>.</w:t>
      </w:r>
    </w:p>
  </w:footnote>
  <w:footnote w:id="14">
    <w:p w:rsidR="009C7D1F" w:rsidRPr="007F4DED" w:rsidRDefault="009C7D1F" w:rsidP="009C7D1F">
      <w:pPr>
        <w:pStyle w:val="Default"/>
        <w:ind w:firstLine="720"/>
        <w:jc w:val="both"/>
        <w:rPr>
          <w:rFonts w:ascii="Times New Roman" w:hAnsi="Times New Roman" w:cs="Times New Roman"/>
          <w:sz w:val="20"/>
          <w:szCs w:val="20"/>
          <w:lang w:val="en-US"/>
        </w:rPr>
      </w:pPr>
      <w:r w:rsidRPr="007F4DED">
        <w:rPr>
          <w:rStyle w:val="FootnoteReference"/>
          <w:rFonts w:ascii="Times New Roman" w:hAnsi="Times New Roman" w:cs="Times New Roman"/>
          <w:sz w:val="20"/>
          <w:szCs w:val="20"/>
        </w:rPr>
        <w:footnoteRef/>
      </w:r>
      <w:bookmarkStart w:id="4" w:name="_Hlk133184464"/>
      <w:r w:rsidRPr="007F4DED">
        <w:rPr>
          <w:rFonts w:ascii="Times New Roman" w:hAnsi="Times New Roman" w:cs="Times New Roman"/>
          <w:bCs/>
          <w:sz w:val="20"/>
          <w:szCs w:val="20"/>
        </w:rPr>
        <w:t>Desti Sri Utari</w:t>
      </w:r>
      <w:r w:rsidRPr="007F4DED">
        <w:rPr>
          <w:rFonts w:ascii="Times New Roman" w:hAnsi="Times New Roman" w:cs="Times New Roman"/>
          <w:bCs/>
          <w:sz w:val="20"/>
          <w:szCs w:val="20"/>
          <w:lang w:val="en-US"/>
        </w:rPr>
        <w:t>, “</w:t>
      </w:r>
      <w:r w:rsidRPr="007F4DED">
        <w:rPr>
          <w:rFonts w:ascii="Times New Roman" w:hAnsi="Times New Roman" w:cs="Times New Roman"/>
          <w:sz w:val="20"/>
          <w:szCs w:val="20"/>
          <w:lang w:val="en-US" w:eastAsia="en-US"/>
        </w:rPr>
        <w:t xml:space="preserve"> </w:t>
      </w:r>
      <w:r w:rsidRPr="007F4DED">
        <w:rPr>
          <w:rFonts w:ascii="Times New Roman" w:hAnsi="Times New Roman" w:cs="Times New Roman"/>
          <w:bCs/>
          <w:sz w:val="20"/>
          <w:szCs w:val="20"/>
          <w:lang w:val="en-US" w:eastAsia="en-US"/>
        </w:rPr>
        <w:t xml:space="preserve">Hukuman Pidana Pokok dan Tambahan Kebiri Kimia Terhadap Pelaku Kekerasan Seksual Kepada Anak”, </w:t>
      </w:r>
      <w:r w:rsidRPr="007F4DED">
        <w:rPr>
          <w:rFonts w:ascii="Times New Roman" w:hAnsi="Times New Roman" w:cs="Times New Roman"/>
          <w:bCs/>
          <w:i/>
          <w:sz w:val="20"/>
          <w:szCs w:val="20"/>
          <w:lang w:val="en-US" w:eastAsia="en-US"/>
        </w:rPr>
        <w:t xml:space="preserve">Jurnal </w:t>
      </w:r>
      <w:r w:rsidRPr="007F4DED">
        <w:rPr>
          <w:rFonts w:ascii="Times New Roman" w:hAnsi="Times New Roman" w:cs="Times New Roman"/>
          <w:bCs/>
          <w:i/>
          <w:sz w:val="20"/>
          <w:szCs w:val="20"/>
        </w:rPr>
        <w:t>S.L.R</w:t>
      </w:r>
      <w:r w:rsidRPr="007F4DED">
        <w:rPr>
          <w:rFonts w:ascii="Times New Roman" w:hAnsi="Times New Roman" w:cs="Times New Roman"/>
          <w:bCs/>
          <w:i/>
          <w:sz w:val="20"/>
          <w:szCs w:val="20"/>
          <w:lang w:val="en-US"/>
        </w:rPr>
        <w:t>,</w:t>
      </w:r>
      <w:r w:rsidRPr="007F4DED">
        <w:rPr>
          <w:rFonts w:ascii="Times New Roman" w:hAnsi="Times New Roman" w:cs="Times New Roman"/>
          <w:bCs/>
          <w:sz w:val="20"/>
          <w:szCs w:val="20"/>
          <w:lang w:val="en-US"/>
        </w:rPr>
        <w:t xml:space="preserve"> </w:t>
      </w:r>
      <w:r w:rsidRPr="007F4DED">
        <w:rPr>
          <w:rFonts w:ascii="Times New Roman" w:hAnsi="Times New Roman" w:cs="Times New Roman"/>
          <w:sz w:val="20"/>
          <w:szCs w:val="20"/>
        </w:rPr>
        <w:t xml:space="preserve">Vol.2 </w:t>
      </w:r>
      <w:r w:rsidRPr="007F4DED">
        <w:rPr>
          <w:rFonts w:ascii="Times New Roman" w:hAnsi="Times New Roman" w:cs="Times New Roman"/>
          <w:sz w:val="20"/>
          <w:szCs w:val="20"/>
          <w:lang w:val="en-US"/>
        </w:rPr>
        <w:t>N</w:t>
      </w:r>
      <w:r w:rsidRPr="007F4DED">
        <w:rPr>
          <w:rFonts w:ascii="Times New Roman" w:hAnsi="Times New Roman" w:cs="Times New Roman"/>
          <w:sz w:val="20"/>
          <w:szCs w:val="20"/>
        </w:rPr>
        <w:t>o.3</w:t>
      </w:r>
      <w:r w:rsidRPr="007F4DED">
        <w:rPr>
          <w:rFonts w:ascii="Times New Roman" w:hAnsi="Times New Roman" w:cs="Times New Roman"/>
          <w:sz w:val="20"/>
          <w:szCs w:val="20"/>
          <w:lang w:val="en-US"/>
        </w:rPr>
        <w:t xml:space="preserve"> (2020</w:t>
      </w:r>
      <w:r w:rsidRPr="007F4DED">
        <w:rPr>
          <w:rFonts w:ascii="Times New Roman" w:hAnsi="Times New Roman" w:cs="Times New Roman"/>
          <w:sz w:val="20"/>
          <w:szCs w:val="20"/>
        </w:rPr>
        <w:t>)</w:t>
      </w:r>
      <w:r w:rsidRPr="007F4DED">
        <w:rPr>
          <w:rFonts w:ascii="Times New Roman" w:hAnsi="Times New Roman" w:cs="Times New Roman"/>
          <w:sz w:val="20"/>
          <w:szCs w:val="20"/>
          <w:lang w:val="en-US"/>
        </w:rPr>
        <w:t xml:space="preserve">, </w:t>
      </w:r>
      <w:bookmarkEnd w:id="4"/>
      <w:r w:rsidRPr="007F4DED">
        <w:rPr>
          <w:rFonts w:ascii="Times New Roman" w:hAnsi="Times New Roman" w:cs="Times New Roman"/>
          <w:sz w:val="20"/>
          <w:szCs w:val="20"/>
          <w:lang w:val="en-US"/>
        </w:rPr>
        <w:t>hlm.</w:t>
      </w:r>
      <w:r w:rsidRPr="007F4DED">
        <w:rPr>
          <w:rFonts w:ascii="Times New Roman" w:hAnsi="Times New Roman" w:cs="Times New Roman"/>
          <w:sz w:val="20"/>
          <w:szCs w:val="20"/>
        </w:rPr>
        <w:t xml:space="preserve"> 575</w:t>
      </w:r>
    </w:p>
  </w:footnote>
  <w:footnote w:id="15">
    <w:p w:rsidR="009C7D1F" w:rsidRPr="007F4DED" w:rsidRDefault="009C7D1F" w:rsidP="009C7D1F">
      <w:pPr>
        <w:pStyle w:val="FootnoteText"/>
        <w:jc w:val="both"/>
      </w:pPr>
      <w:r w:rsidRPr="007F4DED">
        <w:tab/>
      </w:r>
      <w:r w:rsidRPr="007F4DED">
        <w:rPr>
          <w:rStyle w:val="FootnoteReference"/>
        </w:rPr>
        <w:footnoteRef/>
      </w:r>
      <w:r w:rsidRPr="007F4DED">
        <w:t xml:space="preserve"> </w:t>
      </w:r>
      <w:r w:rsidRPr="007F4DED">
        <w:rPr>
          <w:i/>
        </w:rPr>
        <w:t>Ibid</w:t>
      </w:r>
      <w:r w:rsidRPr="007F4DED">
        <w:t>, hlm.576.</w:t>
      </w:r>
    </w:p>
  </w:footnote>
  <w:footnote w:id="16">
    <w:p w:rsidR="009C7D1F" w:rsidRPr="007F4DED" w:rsidRDefault="009C7D1F" w:rsidP="009C7D1F">
      <w:pPr>
        <w:pStyle w:val="FootnoteText"/>
        <w:jc w:val="both"/>
        <w:rPr>
          <w:i/>
        </w:rPr>
      </w:pPr>
      <w:r w:rsidRPr="007F4DED">
        <w:tab/>
      </w:r>
      <w:r w:rsidRPr="007F4DED">
        <w:rPr>
          <w:rStyle w:val="FootnoteReference"/>
        </w:rPr>
        <w:footnoteRef/>
      </w:r>
      <w:r w:rsidRPr="007F4DED">
        <w:t xml:space="preserve"> </w:t>
      </w:r>
      <w:r w:rsidRPr="007F4DED">
        <w:rPr>
          <w:i/>
        </w:rPr>
        <w:t>Ibid.</w:t>
      </w:r>
    </w:p>
  </w:footnote>
  <w:footnote w:id="17">
    <w:p w:rsidR="009C7D1F" w:rsidRPr="007F4DED" w:rsidRDefault="009C7D1F" w:rsidP="009C7D1F">
      <w:pPr>
        <w:pStyle w:val="FootnoteText"/>
        <w:ind w:firstLine="720"/>
        <w:jc w:val="both"/>
      </w:pPr>
      <w:r w:rsidRPr="007F4DED">
        <w:rPr>
          <w:rStyle w:val="FootnoteReference"/>
        </w:rPr>
        <w:footnoteRef/>
      </w:r>
      <w:r w:rsidRPr="007F4DED">
        <w:t xml:space="preserve"> </w:t>
      </w:r>
      <w:bookmarkStart w:id="5" w:name="_Hlk133184507"/>
      <w:r w:rsidRPr="007F4DED">
        <w:t xml:space="preserve">Anang Priyanto, </w:t>
      </w:r>
      <w:r w:rsidRPr="007F4DED">
        <w:rPr>
          <w:i/>
          <w:iCs/>
        </w:rPr>
        <w:t xml:space="preserve">Hukum Acara Pidan Indonesia, </w:t>
      </w:r>
      <w:r w:rsidRPr="007F4DED">
        <w:t>Penerbit Ombak, Yogyakarta, 2012</w:t>
      </w:r>
      <w:bookmarkEnd w:id="5"/>
      <w:r w:rsidRPr="007F4DED">
        <w:t>, hlm. 107.</w:t>
      </w:r>
    </w:p>
  </w:footnote>
  <w:footnote w:id="18">
    <w:p w:rsidR="009C7D1F" w:rsidRPr="007F4DED" w:rsidRDefault="009C7D1F" w:rsidP="009C7D1F">
      <w:pPr>
        <w:pStyle w:val="FootnoteText"/>
        <w:ind w:firstLine="720"/>
        <w:jc w:val="both"/>
      </w:pPr>
      <w:r w:rsidRPr="007F4DED">
        <w:rPr>
          <w:rStyle w:val="FootnoteReference"/>
        </w:rPr>
        <w:footnoteRef/>
      </w:r>
      <w:r w:rsidRPr="007F4DED">
        <w:t xml:space="preserve"> </w:t>
      </w:r>
      <w:bookmarkStart w:id="6" w:name="_Hlk133184527"/>
      <w:r w:rsidRPr="007F4DED">
        <w:t>Mario Julyono dan Aditya Yuli Sulistyawan, “</w:t>
      </w:r>
      <w:r w:rsidRPr="007F4DED">
        <w:rPr>
          <w:iCs/>
        </w:rPr>
        <w:t>Pemahaman Terhadap Asas Kepastian Hukum Melalui Penalaran Konstruksi Penalaran Positivisme Hukum</w:t>
      </w:r>
      <w:r w:rsidRPr="007F4DED">
        <w:rPr>
          <w:i/>
          <w:iCs/>
        </w:rPr>
        <w:t xml:space="preserve">”, </w:t>
      </w:r>
      <w:r w:rsidRPr="007F4DED">
        <w:rPr>
          <w:i/>
        </w:rPr>
        <w:t>Jurnal Crepido</w:t>
      </w:r>
      <w:r w:rsidRPr="007F4DED">
        <w:t>, Volume 1 Nomer 1 Tahun 2019</w:t>
      </w:r>
      <w:bookmarkEnd w:id="6"/>
      <w:r w:rsidRPr="007F4DED">
        <w:t>, hlm. 15</w:t>
      </w:r>
    </w:p>
  </w:footnote>
  <w:footnote w:id="19">
    <w:p w:rsidR="009C7D1F" w:rsidRPr="007F4DED" w:rsidRDefault="009C7D1F" w:rsidP="009C7D1F">
      <w:pPr>
        <w:pStyle w:val="FootnoteText"/>
        <w:ind w:firstLine="720"/>
        <w:jc w:val="both"/>
      </w:pPr>
      <w:r w:rsidRPr="007F4DED">
        <w:rPr>
          <w:rStyle w:val="FootnoteReference"/>
        </w:rPr>
        <w:footnoteRef/>
      </w:r>
      <w:r w:rsidRPr="007F4DED">
        <w:t xml:space="preserve"> </w:t>
      </w:r>
      <w:bookmarkStart w:id="7" w:name="_Hlk133184545"/>
      <w:r w:rsidRPr="007F4DED">
        <w:t xml:space="preserve">R. Tony Prayoga,”Penerapan Asas Kepastian Hukum dalam peraturan Mahkamah Agung No. 1 Tahun 2011 tentang Hak Uji Materiil dan dalam Peraturan Mahkamah Konstitusi No. 06/Pmk//2005 tentang Pedoman Beracara dalam Pengujian Undang-undnag”, </w:t>
      </w:r>
      <w:r w:rsidRPr="007F4DED">
        <w:rPr>
          <w:i/>
        </w:rPr>
        <w:t>Jurnal Legislasi Indonesia</w:t>
      </w:r>
      <w:r w:rsidRPr="007F4DED">
        <w:t>, Volume 13,Nomor 2, Tahun 201</w:t>
      </w:r>
      <w:bookmarkEnd w:id="7"/>
      <w:r>
        <w:t>9</w:t>
      </w:r>
      <w:r w:rsidRPr="007F4DED">
        <w:t>, hlm. 194</w:t>
      </w:r>
    </w:p>
  </w:footnote>
  <w:footnote w:id="20">
    <w:p w:rsidR="009C7D1F" w:rsidRPr="007F4DED" w:rsidRDefault="009C7D1F" w:rsidP="009C7D1F">
      <w:pPr>
        <w:pStyle w:val="FootnoteText"/>
        <w:ind w:firstLine="720"/>
        <w:jc w:val="both"/>
      </w:pPr>
      <w:r w:rsidRPr="007F4DED">
        <w:rPr>
          <w:rStyle w:val="FootnoteReference"/>
        </w:rPr>
        <w:footnoteRef/>
      </w:r>
      <w:r w:rsidRPr="007F4DED">
        <w:t xml:space="preserve"> Anang Priyanto,</w:t>
      </w:r>
      <w:r w:rsidRPr="007F4DED">
        <w:rPr>
          <w:i/>
          <w:iCs/>
        </w:rPr>
        <w:t xml:space="preserve"> Op.Cit</w:t>
      </w:r>
      <w:r w:rsidRPr="007F4DED">
        <w:t>, hlm. 141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4C4471">
      <w:rPr>
        <w:rStyle w:val="PageNumber"/>
        <w:noProof/>
      </w:rPr>
      <w:t>108</w:t>
    </w:r>
    <w:r w:rsidR="00641F0E">
      <w:rPr>
        <w:rStyle w:val="PageNumber"/>
      </w:rPr>
      <w:fldChar w:fldCharType="end"/>
    </w:r>
  </w:p>
  <w:p w:rsidR="004C4471" w:rsidRPr="004C4471" w:rsidRDefault="004C4471" w:rsidP="004C4471">
    <w:pPr>
      <w:pStyle w:val="Header"/>
      <w:jc w:val="right"/>
      <w:rPr>
        <w:lang w:val="id-ID"/>
      </w:rPr>
    </w:pPr>
    <w:r>
      <w:rPr>
        <w:noProof/>
      </w:rPr>
      <w:pict>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F2" w:rsidRPr="004C4471" w:rsidRDefault="00CB3AF2" w:rsidP="004C4471">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1" o:spid="_x0000_s2061"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4C4471">
      <w:rPr>
        <w:lang w:val="id-ID"/>
      </w:rPr>
      <w:t>PUBLISH: 21/11/2025 10:48:29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277F"/>
    <w:multiLevelType w:val="hybridMultilevel"/>
    <w:tmpl w:val="35684738"/>
    <w:lvl w:ilvl="0" w:tplc="085C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2">
    <w:nsid w:val="2DC9382C"/>
    <w:multiLevelType w:val="singleLevel"/>
    <w:tmpl w:val="744E5658"/>
    <w:lvl w:ilvl="0">
      <w:start w:val="1"/>
      <w:numFmt w:val="decimal"/>
      <w:lvlText w:val="%1."/>
      <w:lvlJc w:val="left"/>
      <w:pPr>
        <w:tabs>
          <w:tab w:val="num" w:pos="720"/>
        </w:tabs>
        <w:ind w:left="720" w:hanging="360"/>
      </w:pPr>
    </w:lvl>
  </w:abstractNum>
  <w:abstractNum w:abstractNumId="3">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821A8"/>
    <w:multiLevelType w:val="hybridMultilevel"/>
    <w:tmpl w:val="7DF4A1E2"/>
    <w:lvl w:ilvl="0" w:tplc="B5BEC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A0CBC"/>
    <w:multiLevelType w:val="hybridMultilevel"/>
    <w:tmpl w:val="8A54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E0320CA"/>
    <w:multiLevelType w:val="hybridMultilevel"/>
    <w:tmpl w:val="28629956"/>
    <w:lvl w:ilvl="0" w:tplc="89D895E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25A0C740">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E16609B"/>
    <w:multiLevelType w:val="hybridMultilevel"/>
    <w:tmpl w:val="6E645010"/>
    <w:lvl w:ilvl="0" w:tplc="A64ADAF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4F373291"/>
    <w:multiLevelType w:val="singleLevel"/>
    <w:tmpl w:val="14C88894"/>
    <w:lvl w:ilvl="0">
      <w:start w:val="1"/>
      <w:numFmt w:val="upperLetter"/>
      <w:lvlText w:val="%1."/>
      <w:lvlJc w:val="left"/>
      <w:pPr>
        <w:tabs>
          <w:tab w:val="num" w:pos="360"/>
        </w:tabs>
        <w:ind w:left="360" w:hanging="360"/>
      </w:pPr>
    </w:lvl>
  </w:abstractNum>
  <w:abstractNum w:abstractNumId="10">
    <w:nsid w:val="4F460730"/>
    <w:multiLevelType w:val="hybridMultilevel"/>
    <w:tmpl w:val="BEC40572"/>
    <w:lvl w:ilvl="0" w:tplc="FFFFFFFF">
      <w:start w:val="1"/>
      <w:numFmt w:val="decimal"/>
      <w:lvlText w:val="%1."/>
      <w:lvlJc w:val="left"/>
      <w:pPr>
        <w:tabs>
          <w:tab w:val="num" w:pos="720"/>
        </w:tabs>
        <w:ind w:left="720" w:hanging="360"/>
      </w:pPr>
      <w:rPr>
        <w:rFonts w:cs="Times New Roman" w:hint="default"/>
      </w:rPr>
    </w:lvl>
    <w:lvl w:ilvl="1" w:tplc="5BFA20A4">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565410EA"/>
    <w:multiLevelType w:val="singleLevel"/>
    <w:tmpl w:val="0409000F"/>
    <w:lvl w:ilvl="0">
      <w:start w:val="1"/>
      <w:numFmt w:val="decimal"/>
      <w:lvlText w:val="%1."/>
      <w:lvlJc w:val="left"/>
      <w:pPr>
        <w:tabs>
          <w:tab w:val="num" w:pos="360"/>
        </w:tabs>
        <w:ind w:left="360" w:hanging="360"/>
      </w:pPr>
    </w:lvl>
  </w:abstractNum>
  <w:abstractNum w:abstractNumId="12">
    <w:nsid w:val="63B56A52"/>
    <w:multiLevelType w:val="multilevel"/>
    <w:tmpl w:val="7A7A127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i w:val="0"/>
      </w:rPr>
    </w:lvl>
    <w:lvl w:ilvl="6">
      <w:start w:val="1"/>
      <w:numFmt w:val="decimal"/>
      <w:lvlText w:val="%7."/>
      <w:lvlJc w:val="left"/>
      <w:pPr>
        <w:tabs>
          <w:tab w:val="num" w:pos="5040"/>
        </w:tabs>
        <w:ind w:left="5040" w:hanging="360"/>
      </w:pPr>
      <w:rPr>
        <w:rFonts w:cs="Times New Roman"/>
        <w:b w:val="0"/>
        <w:i w:val="0"/>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3E64ABD"/>
    <w:multiLevelType w:val="hybridMultilevel"/>
    <w:tmpl w:val="574EE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E47FD"/>
    <w:multiLevelType w:val="hybridMultilevel"/>
    <w:tmpl w:val="400A3F9E"/>
    <w:lvl w:ilvl="0" w:tplc="FFFFFFFF">
      <w:start w:val="1"/>
      <w:numFmt w:val="decimal"/>
      <w:lvlText w:val="%1)"/>
      <w:lvlJc w:val="left"/>
      <w:pPr>
        <w:tabs>
          <w:tab w:val="num" w:pos="825"/>
        </w:tabs>
        <w:ind w:left="825" w:hanging="360"/>
      </w:pPr>
      <w:rPr>
        <w:rFonts w:cs="Times New Roman" w:hint="default"/>
      </w:rPr>
    </w:lvl>
    <w:lvl w:ilvl="1" w:tplc="0008AFF6">
      <w:start w:val="1"/>
      <w:numFmt w:val="lowerLetter"/>
      <w:lvlText w:val="%2."/>
      <w:lvlJc w:val="left"/>
      <w:pPr>
        <w:tabs>
          <w:tab w:val="num" w:pos="1545"/>
        </w:tabs>
        <w:ind w:left="1545" w:hanging="360"/>
      </w:pPr>
      <w:rPr>
        <w:rFonts w:ascii="Times New Roman" w:eastAsia="Times New Roman" w:hAnsi="Times New Roman" w:cs="Times New Roman" w:hint="default"/>
        <w:b w:val="0"/>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DCC61AAC">
      <w:start w:val="1"/>
      <w:numFmt w:val="lowerLetter"/>
      <w:lvlText w:val="%5."/>
      <w:lvlJc w:val="left"/>
      <w:pPr>
        <w:tabs>
          <w:tab w:val="num" w:pos="3705"/>
        </w:tabs>
        <w:ind w:left="3705" w:hanging="360"/>
      </w:pPr>
      <w:rPr>
        <w:rFonts w:cs="Times New Roman"/>
        <w:b w:val="0"/>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15">
    <w:nsid w:val="67417BD9"/>
    <w:multiLevelType w:val="hybridMultilevel"/>
    <w:tmpl w:val="B39E6B90"/>
    <w:lvl w:ilvl="0" w:tplc="9CC0D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F2BF6"/>
    <w:multiLevelType w:val="hybridMultilevel"/>
    <w:tmpl w:val="A440A50C"/>
    <w:lvl w:ilvl="0" w:tplc="52DE7BC4">
      <w:start w:val="1"/>
      <w:numFmt w:val="low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799051F7"/>
    <w:multiLevelType w:val="singleLevel"/>
    <w:tmpl w:val="6264EBEA"/>
    <w:lvl w:ilvl="0">
      <w:start w:val="1"/>
      <w:numFmt w:val="upperRoman"/>
      <w:lvlText w:val="%1."/>
      <w:lvlJc w:val="left"/>
      <w:pPr>
        <w:tabs>
          <w:tab w:val="num" w:pos="720"/>
        </w:tabs>
        <w:ind w:left="720" w:hanging="720"/>
      </w:pPr>
    </w:lvl>
  </w:abstractNum>
  <w:num w:numId="1">
    <w:abstractNumId w:val="9"/>
    <w:lvlOverride w:ilvl="0">
      <w:startOverride w:val="1"/>
    </w:lvlOverride>
  </w:num>
  <w:num w:numId="2">
    <w:abstractNumId w:val="17"/>
    <w:lvlOverride w:ilvl="0">
      <w:startOverride w:val="1"/>
    </w:lvlOverride>
  </w:num>
  <w:num w:numId="3">
    <w:abstractNumId w:val="1"/>
  </w:num>
  <w:num w:numId="4">
    <w:abstractNumId w:val="11"/>
    <w:lvlOverride w:ilvl="0">
      <w:startOverride w:val="1"/>
    </w:lvlOverride>
  </w:num>
  <w:num w:numId="5">
    <w:abstractNumId w:val="2"/>
    <w:lvlOverride w:ilvl="0">
      <w:startOverride w:val="1"/>
    </w:lvlOverride>
  </w:num>
  <w:num w:numId="6">
    <w:abstractNumId w:val="6"/>
  </w:num>
  <w:num w:numId="7">
    <w:abstractNumId w:val="3"/>
  </w:num>
  <w:num w:numId="8">
    <w:abstractNumId w:val="12"/>
  </w:num>
  <w:num w:numId="9">
    <w:abstractNumId w:val="10"/>
  </w:num>
  <w:num w:numId="10">
    <w:abstractNumId w:val="13"/>
  </w:num>
  <w:num w:numId="11">
    <w:abstractNumId w:val="14"/>
  </w:num>
  <w:num w:numId="12">
    <w:abstractNumId w:val="5"/>
  </w:num>
  <w:num w:numId="13">
    <w:abstractNumId w:val="16"/>
  </w:num>
  <w:num w:numId="14">
    <w:abstractNumId w:val="8"/>
  </w:num>
  <w:num w:numId="15">
    <w:abstractNumId w:val="0"/>
  </w:num>
  <w:num w:numId="16">
    <w:abstractNumId w:val="15"/>
  </w:num>
  <w:num w:numId="17">
    <w:abstractNumId w:val="4"/>
  </w:num>
  <w:num w:numId="1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IWmGF+kzrOh1C04InpRvw4XKLQM=" w:salt="ItkG/iMdbNDWoAolLnRNB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77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D3179"/>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471"/>
    <w:rsid w:val="004C4A50"/>
    <w:rsid w:val="004D0BB5"/>
    <w:rsid w:val="004D3FD8"/>
    <w:rsid w:val="004F2CE5"/>
    <w:rsid w:val="004F594F"/>
    <w:rsid w:val="004F5FE5"/>
    <w:rsid w:val="004F7E1D"/>
    <w:rsid w:val="00500481"/>
    <w:rsid w:val="0050341A"/>
    <w:rsid w:val="0050345D"/>
    <w:rsid w:val="00507060"/>
    <w:rsid w:val="00512997"/>
    <w:rsid w:val="00515B50"/>
    <w:rsid w:val="0051684E"/>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54CD6"/>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866E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C7D1F"/>
    <w:rsid w:val="009D143E"/>
    <w:rsid w:val="009E1187"/>
    <w:rsid w:val="009E3ED7"/>
    <w:rsid w:val="00A001EE"/>
    <w:rsid w:val="00A125A2"/>
    <w:rsid w:val="00A16600"/>
    <w:rsid w:val="00A248F0"/>
    <w:rsid w:val="00A24F55"/>
    <w:rsid w:val="00A2589D"/>
    <w:rsid w:val="00A25B80"/>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uiPriority w:val="99"/>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Header Char1"/>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Header Char1 Char"/>
    <w:link w:val="ListParagraph"/>
    <w:uiPriority w:val="34"/>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 w:type="character" w:customStyle="1" w:styleId="A610">
    <w:name w:val="A6+10"/>
    <w:uiPriority w:val="99"/>
    <w:rsid w:val="00654CD6"/>
    <w:rPr>
      <w:rFonts w:cs="Cambria"/>
      <w:color w:val="000000"/>
      <w:sz w:val="12"/>
      <w:szCs w:val="12"/>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surabaya/read/4047643/kata-pengamat-hukum-soal-penerapan-hukuman-kebiri-kim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1F5E-C418-444F-9C54-D7B475B8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41213</CharactersWithSpaces>
  <SharedDoc>false</SharedDoc>
  <HLinks>
    <vt:vector size="6" baseType="variant">
      <vt:variant>
        <vt:i4>2555941</vt:i4>
      </vt:variant>
      <vt:variant>
        <vt:i4>0</vt:i4>
      </vt:variant>
      <vt:variant>
        <vt:i4>0</vt:i4>
      </vt:variant>
      <vt:variant>
        <vt:i4>5</vt:i4>
      </vt:variant>
      <vt:variant>
        <vt:lpwstr>https://www.liputan6.com/surabaya/read/4047643/kata-pengamat-hukum-soal-penerapan-hukuman-kebiri-kimia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2025-11-21T03:49:00Z</dcterms:created>
  <dcterms:modified xsi:type="dcterms:W3CDTF">2025-11-21T03:49:00Z</dcterms:modified>
</cp:coreProperties>
</file>