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6E4" w:rsidRPr="00BA394E" w:rsidRDefault="008866E4" w:rsidP="008866E4">
      <w:pPr>
        <w:pStyle w:val="ListParagraph"/>
        <w:autoSpaceDE w:val="0"/>
        <w:autoSpaceDN w:val="0"/>
        <w:adjustRightInd w:val="0"/>
        <w:spacing w:after="0" w:line="480" w:lineRule="auto"/>
        <w:ind w:left="0"/>
        <w:jc w:val="center"/>
        <w:rPr>
          <w:rFonts w:ascii="Times New Roman" w:hAnsi="Times New Roman"/>
          <w:b/>
          <w:sz w:val="24"/>
          <w:szCs w:val="24"/>
          <w:lang w:val="fi-FI"/>
        </w:rPr>
      </w:pPr>
      <w:r w:rsidRPr="00BA394E">
        <w:rPr>
          <w:rFonts w:ascii="Times New Roman" w:hAnsi="Times New Roman"/>
          <w:b/>
          <w:sz w:val="24"/>
          <w:szCs w:val="24"/>
          <w:lang w:val="fi-FI"/>
        </w:rPr>
        <w:t>BAB II</w:t>
      </w:r>
    </w:p>
    <w:p w:rsidR="008866E4" w:rsidRPr="00BA394E" w:rsidRDefault="008866E4" w:rsidP="008866E4">
      <w:pPr>
        <w:pStyle w:val="ListParagraph"/>
        <w:autoSpaceDE w:val="0"/>
        <w:autoSpaceDN w:val="0"/>
        <w:adjustRightInd w:val="0"/>
        <w:spacing w:after="0" w:line="480" w:lineRule="auto"/>
        <w:ind w:left="0"/>
        <w:jc w:val="center"/>
        <w:rPr>
          <w:rFonts w:ascii="Times New Roman" w:hAnsi="Times New Roman"/>
          <w:b/>
          <w:sz w:val="24"/>
          <w:szCs w:val="24"/>
          <w:lang w:val="fi-FI"/>
        </w:rPr>
      </w:pPr>
      <w:r w:rsidRPr="00BA394E">
        <w:rPr>
          <w:rFonts w:ascii="Times New Roman" w:hAnsi="Times New Roman"/>
          <w:b/>
          <w:sz w:val="24"/>
          <w:szCs w:val="24"/>
          <w:lang w:val="fi-FI"/>
        </w:rPr>
        <w:t>TINJAUAN PUSTAKA</w:t>
      </w:r>
    </w:p>
    <w:p w:rsidR="008866E4" w:rsidRPr="00BA394E" w:rsidRDefault="008866E4" w:rsidP="008866E4">
      <w:pPr>
        <w:pStyle w:val="BodyTextIndent"/>
        <w:tabs>
          <w:tab w:val="clear" w:pos="0"/>
          <w:tab w:val="left" w:leader="dot" w:pos="7088"/>
          <w:tab w:val="center" w:pos="7797"/>
        </w:tabs>
        <w:jc w:val="center"/>
        <w:rPr>
          <w:b/>
          <w:szCs w:val="24"/>
        </w:rPr>
      </w:pPr>
      <w:bookmarkStart w:id="0" w:name="_Hlk133180014"/>
    </w:p>
    <w:p w:rsidR="008866E4" w:rsidRPr="00BA394E" w:rsidRDefault="008866E4" w:rsidP="008866E4">
      <w:pPr>
        <w:pStyle w:val="BodyTextIndent"/>
        <w:numPr>
          <w:ilvl w:val="0"/>
          <w:numId w:val="45"/>
        </w:numPr>
        <w:tabs>
          <w:tab w:val="clear" w:pos="0"/>
          <w:tab w:val="left" w:pos="426"/>
        </w:tabs>
        <w:ind w:left="360"/>
        <w:rPr>
          <w:b/>
          <w:szCs w:val="24"/>
          <w:lang w:val="id-ID"/>
        </w:rPr>
      </w:pPr>
      <w:bookmarkStart w:id="1" w:name="_Hlk133186264"/>
      <w:bookmarkEnd w:id="0"/>
      <w:r w:rsidRPr="00BA394E">
        <w:rPr>
          <w:b/>
          <w:szCs w:val="24"/>
        </w:rPr>
        <w:t>Kekerasan Seksual Terhadap Anak</w:t>
      </w:r>
      <w:bookmarkEnd w:id="1"/>
    </w:p>
    <w:p w:rsidR="008866E4" w:rsidRPr="00BA394E" w:rsidRDefault="008866E4" w:rsidP="008866E4">
      <w:pPr>
        <w:pStyle w:val="BodyTextIndent"/>
        <w:ind w:firstLine="720"/>
        <w:rPr>
          <w:szCs w:val="24"/>
        </w:rPr>
      </w:pPr>
      <w:r w:rsidRPr="00BA394E">
        <w:rPr>
          <w:szCs w:val="24"/>
        </w:rPr>
        <w:t xml:space="preserve">Istilah kekerasan digunakan untuk menggambarkan sebuah perilaku, baik yang terbuka </w:t>
      </w:r>
      <w:r w:rsidRPr="00BA394E">
        <w:rPr>
          <w:i/>
          <w:iCs/>
          <w:szCs w:val="24"/>
        </w:rPr>
        <w:t xml:space="preserve">(overt) </w:t>
      </w:r>
      <w:r w:rsidRPr="00BA394E">
        <w:rPr>
          <w:szCs w:val="24"/>
        </w:rPr>
        <w:t xml:space="preserve">atau tertutup </w:t>
      </w:r>
      <w:r w:rsidRPr="00BA394E">
        <w:rPr>
          <w:i/>
          <w:iCs/>
          <w:szCs w:val="24"/>
        </w:rPr>
        <w:t xml:space="preserve">(covert) </w:t>
      </w:r>
      <w:r w:rsidRPr="00BA394E">
        <w:rPr>
          <w:szCs w:val="24"/>
        </w:rPr>
        <w:t xml:space="preserve">dan baik yang bersifat menyerang </w:t>
      </w:r>
      <w:r w:rsidRPr="00BA394E">
        <w:rPr>
          <w:i/>
          <w:iCs/>
          <w:szCs w:val="24"/>
        </w:rPr>
        <w:t xml:space="preserve">(offensive) </w:t>
      </w:r>
      <w:r w:rsidRPr="00BA394E">
        <w:rPr>
          <w:szCs w:val="24"/>
        </w:rPr>
        <w:t xml:space="preserve">atau yang bersifat bertahan </w:t>
      </w:r>
      <w:r w:rsidRPr="00BA394E">
        <w:rPr>
          <w:i/>
          <w:iCs/>
          <w:szCs w:val="24"/>
        </w:rPr>
        <w:t xml:space="preserve">(deffense) </w:t>
      </w:r>
      <w:r w:rsidRPr="00BA394E">
        <w:rPr>
          <w:szCs w:val="24"/>
        </w:rPr>
        <w:t>yang disertai penggunaan kekuatan kepada orang lain.</w:t>
      </w:r>
      <w:r w:rsidRPr="00BA394E">
        <w:rPr>
          <w:rStyle w:val="FootnoteReference"/>
          <w:szCs w:val="24"/>
        </w:rPr>
        <w:footnoteReference w:id="2"/>
      </w:r>
      <w:r w:rsidRPr="00BA394E">
        <w:rPr>
          <w:szCs w:val="24"/>
        </w:rPr>
        <w:t xml:space="preserve"> Kekerasan </w:t>
      </w:r>
      <w:r w:rsidRPr="00BA394E">
        <w:rPr>
          <w:i/>
          <w:iCs/>
          <w:szCs w:val="24"/>
        </w:rPr>
        <w:t xml:space="preserve">(violence) </w:t>
      </w:r>
      <w:r w:rsidRPr="00BA394E">
        <w:rPr>
          <w:szCs w:val="24"/>
        </w:rPr>
        <w:t>menurut sebagian para ahli disebut sedemikian rupa sebagai tindakan yang mengakibatkan terjadinya kerusakan baik fisik ataupun psikis adalah kekerasan yang bertentangan dengan hukum. Oleh karena itu kekerasan adalah sebagai suatu bentuk kejahatan.</w:t>
      </w:r>
    </w:p>
    <w:p w:rsidR="008866E4" w:rsidRPr="00BA394E" w:rsidRDefault="008866E4" w:rsidP="008866E4">
      <w:pPr>
        <w:pStyle w:val="BodyTextIndent"/>
        <w:ind w:firstLine="720"/>
        <w:rPr>
          <w:szCs w:val="24"/>
        </w:rPr>
      </w:pPr>
      <w:r w:rsidRPr="00BA394E">
        <w:rPr>
          <w:szCs w:val="24"/>
        </w:rPr>
        <w:t>Tindak kekerasan (</w:t>
      </w:r>
      <w:r w:rsidRPr="00BA394E">
        <w:rPr>
          <w:i/>
          <w:iCs/>
          <w:szCs w:val="24"/>
        </w:rPr>
        <w:t>violence</w:t>
      </w:r>
      <w:r w:rsidRPr="00BA394E">
        <w:rPr>
          <w:szCs w:val="24"/>
        </w:rPr>
        <w:t>) dalam pandangan klasik menunjukan kepada tingkah laku yang pertama-tama harus bertentangan dengan undang-undang, baik berupa ancaman saja maupun sudah merupakan tindakan nyata dan memiliki akibat-akibat kerusakan terhadap harta benda atau fisik atau dapat mengakibatkan kematian pada seseorang,</w:t>
      </w:r>
      <w:r w:rsidRPr="00BA394E">
        <w:rPr>
          <w:rStyle w:val="FootnoteReference"/>
          <w:szCs w:val="24"/>
        </w:rPr>
        <w:footnoteReference w:id="3"/>
      </w:r>
      <w:r w:rsidRPr="00BA394E">
        <w:rPr>
          <w:szCs w:val="24"/>
        </w:rPr>
        <w:t xml:space="preserve"> defenisi sangat luas sekali karena menyangkut pula perbuatan “mengancam” di samping suatu tindakan nyata. Namun demikian kekerasan dilihat dari persfektif kriminologi, kekerasan ini menunjukan kepada tingkah laku yang berbeda-beda baik motif maupun mengenai tindakannya seperti perkosaan dan pembunuhan.</w:t>
      </w:r>
    </w:p>
    <w:p w:rsidR="008866E4" w:rsidRPr="00BA394E" w:rsidRDefault="008866E4" w:rsidP="008866E4">
      <w:pPr>
        <w:pStyle w:val="BodyTextIndent"/>
        <w:ind w:firstLine="720"/>
        <w:rPr>
          <w:szCs w:val="24"/>
        </w:rPr>
      </w:pPr>
      <w:r w:rsidRPr="00BA394E">
        <w:rPr>
          <w:szCs w:val="24"/>
        </w:rPr>
        <w:t xml:space="preserve">Istilah kekerasaan digunakan oleh John Conrad dengan istilah </w:t>
      </w:r>
      <w:r w:rsidRPr="00BA394E">
        <w:rPr>
          <w:i/>
          <w:iCs/>
          <w:szCs w:val="24"/>
        </w:rPr>
        <w:t>“Criminally Violence”</w:t>
      </w:r>
      <w:r w:rsidRPr="00BA394E">
        <w:rPr>
          <w:szCs w:val="24"/>
        </w:rPr>
        <w:t xml:space="preserve">, sedangkan Clinard &amp; Quenney menggunakan istilah </w:t>
      </w:r>
      <w:r w:rsidRPr="00BA394E">
        <w:rPr>
          <w:i/>
          <w:iCs/>
          <w:szCs w:val="24"/>
        </w:rPr>
        <w:t xml:space="preserve">”Criminal </w:t>
      </w:r>
      <w:r w:rsidRPr="00BA394E">
        <w:rPr>
          <w:i/>
          <w:iCs/>
          <w:szCs w:val="24"/>
        </w:rPr>
        <w:lastRenderedPageBreak/>
        <w:t>violence”</w:t>
      </w:r>
      <w:r w:rsidRPr="00BA394E">
        <w:rPr>
          <w:szCs w:val="24"/>
        </w:rPr>
        <w:t xml:space="preserve">, di Columbia istilah kekerasan dikenal dengan </w:t>
      </w:r>
      <w:r w:rsidRPr="00BA394E">
        <w:rPr>
          <w:i/>
          <w:iCs/>
          <w:szCs w:val="24"/>
        </w:rPr>
        <w:t>“La Violencia”</w:t>
      </w:r>
      <w:r w:rsidRPr="00BA394E">
        <w:rPr>
          <w:szCs w:val="24"/>
        </w:rPr>
        <w:t>.</w:t>
      </w:r>
      <w:r w:rsidRPr="00BA394E">
        <w:rPr>
          <w:rStyle w:val="FootnoteReference"/>
          <w:szCs w:val="24"/>
        </w:rPr>
        <w:footnoteReference w:id="4"/>
      </w:r>
      <w:r w:rsidRPr="00BA394E">
        <w:rPr>
          <w:szCs w:val="24"/>
        </w:rPr>
        <w:t xml:space="preserve"> Kejahatan kekerasan oleh Yesmil Anwar diartikan sebagai penggunaan kekuatan fisik dan kekuasaan, ancaman atau tindakan terhadap diri sendiri, perorangan atau sekelompok orang atau masyarakat yang mengakibatkan memar atau trauma, kematian, kerugian psikologis, kelainan perkembangan atau perampasan hak.</w:t>
      </w:r>
      <w:r w:rsidRPr="00BA394E">
        <w:rPr>
          <w:rStyle w:val="FootnoteReference"/>
          <w:szCs w:val="24"/>
        </w:rPr>
        <w:footnoteReference w:id="5"/>
      </w:r>
    </w:p>
    <w:p w:rsidR="008866E4" w:rsidRPr="00BA394E" w:rsidRDefault="008866E4" w:rsidP="008866E4">
      <w:pPr>
        <w:pStyle w:val="BodyTextIndent"/>
        <w:ind w:firstLine="709"/>
        <w:rPr>
          <w:szCs w:val="24"/>
        </w:rPr>
      </w:pPr>
      <w:r w:rsidRPr="00BA394E">
        <w:rPr>
          <w:szCs w:val="24"/>
        </w:rPr>
        <w:t xml:space="preserve">Istilah </w:t>
      </w:r>
      <w:r w:rsidRPr="00BA394E">
        <w:rPr>
          <w:iCs/>
          <w:szCs w:val="24"/>
        </w:rPr>
        <w:t>kekerasan</w:t>
      </w:r>
      <w:r w:rsidRPr="00BA394E">
        <w:rPr>
          <w:szCs w:val="24"/>
        </w:rPr>
        <w:t xml:space="preserve"> atau </w:t>
      </w:r>
      <w:r w:rsidRPr="00BA394E">
        <w:rPr>
          <w:bCs/>
          <w:i/>
          <w:iCs/>
          <w:szCs w:val="24"/>
        </w:rPr>
        <w:t>la violencia</w:t>
      </w:r>
      <w:r w:rsidRPr="00BA394E">
        <w:rPr>
          <w:szCs w:val="24"/>
        </w:rPr>
        <w:t xml:space="preserve"> di Kolombia, </w:t>
      </w:r>
      <w:r w:rsidRPr="00BA394E">
        <w:rPr>
          <w:i/>
          <w:szCs w:val="24"/>
        </w:rPr>
        <w:t>the vandetta barbaricina</w:t>
      </w:r>
      <w:r w:rsidRPr="00BA394E">
        <w:rPr>
          <w:szCs w:val="24"/>
        </w:rPr>
        <w:t xml:space="preserve"> di Sardinia, Italia, atau </w:t>
      </w:r>
      <w:r w:rsidRPr="00BA394E">
        <w:rPr>
          <w:i/>
          <w:szCs w:val="24"/>
        </w:rPr>
        <w:t>la vida vale nada (life is worth nothing)</w:t>
      </w:r>
      <w:r w:rsidRPr="00BA394E">
        <w:rPr>
          <w:szCs w:val="24"/>
        </w:rPr>
        <w:t xml:space="preserve"> di El Savador yang ditempatkan dibelakang kata </w:t>
      </w:r>
      <w:r w:rsidRPr="00BA394E">
        <w:rPr>
          <w:bCs/>
          <w:iCs/>
          <w:szCs w:val="24"/>
        </w:rPr>
        <w:t>kejahatan</w:t>
      </w:r>
      <w:r w:rsidRPr="00BA394E">
        <w:rPr>
          <w:szCs w:val="24"/>
        </w:rPr>
        <w:t xml:space="preserve"> sering menyesatkan khalayak. Karena sering ditafsirkan seolah-olah sesuatu yang dilakukan dengan kekerasan dengan sendirinya merupakan kejahatan.</w:t>
      </w:r>
      <w:r w:rsidRPr="00BA394E">
        <w:rPr>
          <w:rStyle w:val="FootnoteReference"/>
          <w:szCs w:val="24"/>
        </w:rPr>
        <w:footnoteReference w:id="6"/>
      </w:r>
      <w:r w:rsidRPr="00BA394E">
        <w:rPr>
          <w:szCs w:val="24"/>
        </w:rPr>
        <w:t xml:space="preserve"> Menurut para ahli, kekerasan yang digunakan sedemikian rupa sehingga mengakibatkan terjadinya kerusakan, baik fisik maupun psikis adalah kekerasan yang bertentangan dengan hukum, sehingga merupakan kejahatan.</w:t>
      </w:r>
      <w:r w:rsidRPr="00BA394E">
        <w:rPr>
          <w:rStyle w:val="FootnoteReference"/>
          <w:szCs w:val="24"/>
        </w:rPr>
        <w:footnoteReference w:id="7"/>
      </w:r>
    </w:p>
    <w:p w:rsidR="008866E4" w:rsidRPr="00BA394E" w:rsidRDefault="008866E4" w:rsidP="008866E4">
      <w:pPr>
        <w:pStyle w:val="BodyTextIndent"/>
        <w:ind w:firstLine="709"/>
        <w:rPr>
          <w:szCs w:val="24"/>
        </w:rPr>
      </w:pPr>
      <w:r w:rsidRPr="00BA394E">
        <w:rPr>
          <w:szCs w:val="24"/>
        </w:rPr>
        <w:t xml:space="preserve">Bertitik tolak pada definisi di atas, tampak bahwa kekerasan merujuk pada tingkah laku yang pertama-tama harus bertentangan dengan undang-undang, baik berupa ancaman saja maupun sudah merupakan suatu tindakan nyata dan memiliki akibat-akibat kerusakan terhadap harta benda atau fisik atau mengakibatkan kematian pada seseorang. Dilihat dari perspektif kriminologi, kekerasan ini merujuk pada tingkah laku yang berbeda-beda baik mengenai motif </w:t>
      </w:r>
      <w:r w:rsidRPr="00BA394E">
        <w:rPr>
          <w:szCs w:val="24"/>
        </w:rPr>
        <w:lastRenderedPageBreak/>
        <w:t>maupun mengenai tindakannya, seperti perkosaan dan pembunuhan, kedua macam kejahatan ini diikuti dengan kekerasan.</w:t>
      </w:r>
      <w:r w:rsidRPr="00BA394E">
        <w:rPr>
          <w:rStyle w:val="FootnoteReference"/>
          <w:szCs w:val="24"/>
        </w:rPr>
        <w:footnoteReference w:id="8"/>
      </w:r>
    </w:p>
    <w:p w:rsidR="008866E4" w:rsidRPr="00BA394E" w:rsidRDefault="008866E4" w:rsidP="008866E4">
      <w:pPr>
        <w:pStyle w:val="BodyTextIndent"/>
        <w:ind w:firstLine="709"/>
        <w:rPr>
          <w:szCs w:val="24"/>
        </w:rPr>
      </w:pPr>
      <w:r w:rsidRPr="00BA394E">
        <w:rPr>
          <w:szCs w:val="24"/>
        </w:rPr>
        <w:t xml:space="preserve">Membicarakan masalah kekerasan bukanlah suatu hal mudah, sebab kekerasan pada dasarnya adalah merupakan </w:t>
      </w:r>
      <w:r w:rsidRPr="00BA394E">
        <w:rPr>
          <w:i/>
          <w:iCs/>
          <w:szCs w:val="24"/>
        </w:rPr>
        <w:t xml:space="preserve">tindakan agresif </w:t>
      </w:r>
      <w:r w:rsidRPr="00BA394E">
        <w:rPr>
          <w:szCs w:val="24"/>
        </w:rPr>
        <w:t>yang dapat dilakukan oleh setiap orang. Misalnya tindakan memukul, menusuk, menendang, menampar, meninju, menggigit, kesemuanya itu adalah bentuk-bentuk kekerasan. Selain itu juga, kadang-kadang kekerasan merupakan tindakan yang normal, namun tindakan yang sama pada suatu situasi yang berbeda akan disebut penyimpangan.</w:t>
      </w:r>
      <w:r w:rsidRPr="00BA394E">
        <w:rPr>
          <w:rStyle w:val="FootnoteReference"/>
          <w:szCs w:val="24"/>
        </w:rPr>
        <w:footnoteReference w:id="9"/>
      </w:r>
    </w:p>
    <w:p w:rsidR="008866E4" w:rsidRPr="00BA394E" w:rsidRDefault="008866E4" w:rsidP="008866E4">
      <w:pPr>
        <w:pStyle w:val="BodyTextIndent"/>
        <w:ind w:firstLine="709"/>
        <w:rPr>
          <w:szCs w:val="24"/>
        </w:rPr>
      </w:pPr>
      <w:r w:rsidRPr="00BA394E">
        <w:rPr>
          <w:szCs w:val="24"/>
        </w:rPr>
        <w:t>Istilah kekerasan digunakan untuk menggambarkan sebuah perilaku, baik yang terbuka (</w:t>
      </w:r>
      <w:r w:rsidRPr="00BA394E">
        <w:rPr>
          <w:i/>
          <w:iCs/>
          <w:szCs w:val="24"/>
        </w:rPr>
        <w:t>overt</w:t>
      </w:r>
      <w:r w:rsidRPr="00BA394E">
        <w:rPr>
          <w:szCs w:val="24"/>
        </w:rPr>
        <w:t>) atau tertutup (</w:t>
      </w:r>
      <w:r w:rsidRPr="00BA394E">
        <w:rPr>
          <w:i/>
          <w:iCs/>
          <w:szCs w:val="24"/>
        </w:rPr>
        <w:t>covert</w:t>
      </w:r>
      <w:r w:rsidRPr="00BA394E">
        <w:rPr>
          <w:szCs w:val="24"/>
        </w:rPr>
        <w:t>) dan baik yang bersifat menyerang (</w:t>
      </w:r>
      <w:r w:rsidRPr="00BA394E">
        <w:rPr>
          <w:i/>
          <w:iCs/>
          <w:szCs w:val="24"/>
        </w:rPr>
        <w:t>offensive</w:t>
      </w:r>
      <w:r w:rsidRPr="00BA394E">
        <w:rPr>
          <w:szCs w:val="24"/>
        </w:rPr>
        <w:t>) atau yang bersifat bertahan (</w:t>
      </w:r>
      <w:r w:rsidRPr="00BA394E">
        <w:rPr>
          <w:i/>
          <w:iCs/>
          <w:szCs w:val="24"/>
        </w:rPr>
        <w:t>deffense</w:t>
      </w:r>
      <w:r w:rsidRPr="00BA394E">
        <w:rPr>
          <w:szCs w:val="24"/>
        </w:rPr>
        <w:t>) yang disertai penggunaan kekuatan kepada orang lain.</w:t>
      </w:r>
      <w:r w:rsidRPr="00BA394E">
        <w:rPr>
          <w:rStyle w:val="FootnoteReference"/>
          <w:szCs w:val="24"/>
        </w:rPr>
        <w:footnoteReference w:id="10"/>
      </w:r>
      <w:r w:rsidRPr="00BA394E">
        <w:rPr>
          <w:szCs w:val="24"/>
        </w:rPr>
        <w:t xml:space="preserve"> Kekerasan (</w:t>
      </w:r>
      <w:r w:rsidRPr="00BA394E">
        <w:rPr>
          <w:i/>
          <w:iCs/>
          <w:szCs w:val="24"/>
        </w:rPr>
        <w:t>violence</w:t>
      </w:r>
      <w:r w:rsidRPr="00BA394E">
        <w:rPr>
          <w:szCs w:val="24"/>
        </w:rPr>
        <w:t>) menurut sebagian para ahli disebut sedemikian rupa sebagai tindakan yang mengakibatkan terjadinya kerusakan baik fisik ataupun psikis adalah kekerasan yang bertentangan dengan hukum. Oleh karena itu kekerasan adalah sebagai suatu bentuk kejahatan.</w:t>
      </w:r>
    </w:p>
    <w:p w:rsidR="008866E4" w:rsidRPr="00BA394E" w:rsidRDefault="008866E4" w:rsidP="008866E4">
      <w:pPr>
        <w:pStyle w:val="BodyTextIndent"/>
        <w:ind w:firstLine="709"/>
        <w:rPr>
          <w:szCs w:val="24"/>
        </w:rPr>
      </w:pPr>
      <w:r w:rsidRPr="00BA394E">
        <w:rPr>
          <w:szCs w:val="24"/>
        </w:rPr>
        <w:t>Tindak kekerasan (</w:t>
      </w:r>
      <w:r w:rsidRPr="00BA394E">
        <w:rPr>
          <w:i/>
          <w:iCs/>
          <w:szCs w:val="24"/>
        </w:rPr>
        <w:t>violence</w:t>
      </w:r>
      <w:r w:rsidRPr="00BA394E">
        <w:rPr>
          <w:szCs w:val="24"/>
        </w:rPr>
        <w:t>) dalam pandangan klasik menunjukan kepada tingkah laku yang pertama-tama harus bertentangan dengan undang-undang, baik berupa ancaman saja maupun sudah merupakan tindakan nyata dan memiliki akibat-akibat kerusakan terhadap harta benda atau fisik atau dapat mengakibatkan kematian pada seseorang,</w:t>
      </w:r>
      <w:r w:rsidRPr="00BA394E">
        <w:rPr>
          <w:rStyle w:val="FootnoteReference"/>
          <w:szCs w:val="24"/>
        </w:rPr>
        <w:footnoteReference w:id="11"/>
      </w:r>
      <w:r w:rsidRPr="00BA394E">
        <w:rPr>
          <w:szCs w:val="24"/>
        </w:rPr>
        <w:t xml:space="preserve"> defenisi sangat luas sekali karena menyangkut pula </w:t>
      </w:r>
      <w:r w:rsidRPr="00BA394E">
        <w:rPr>
          <w:szCs w:val="24"/>
        </w:rPr>
        <w:lastRenderedPageBreak/>
        <w:t>perbuatan “mengancam” di samping suatu tindakan nyata. Namun demikian kekerasan dilihat dari persfektif kriminologi, kekerasan ini menunjukan kepada tingkah laku yang berbeda-beda baik motif maupun mengenai tindakannya seperti perkosaan dan pembunuhan.</w:t>
      </w:r>
    </w:p>
    <w:p w:rsidR="008866E4" w:rsidRPr="00BA394E" w:rsidRDefault="008866E4" w:rsidP="008866E4">
      <w:pPr>
        <w:pStyle w:val="BodyTextIndent"/>
        <w:ind w:firstLine="709"/>
        <w:rPr>
          <w:szCs w:val="24"/>
        </w:rPr>
      </w:pPr>
      <w:r w:rsidRPr="00BA394E">
        <w:rPr>
          <w:szCs w:val="24"/>
        </w:rPr>
        <w:t>Istilah kekerasaan digunakan oleh John Conrad dengan istilah “</w:t>
      </w:r>
      <w:r w:rsidRPr="00BA394E">
        <w:rPr>
          <w:i/>
          <w:iCs/>
          <w:szCs w:val="24"/>
        </w:rPr>
        <w:t xml:space="preserve">Criminally Violence”, </w:t>
      </w:r>
      <w:r w:rsidRPr="00BA394E">
        <w:rPr>
          <w:szCs w:val="24"/>
        </w:rPr>
        <w:t>sedangkan Clinard &amp; Quenney menggunakan istilah”</w:t>
      </w:r>
      <w:r w:rsidRPr="00BA394E">
        <w:rPr>
          <w:i/>
          <w:iCs/>
          <w:szCs w:val="24"/>
        </w:rPr>
        <w:t>Criminal violence”</w:t>
      </w:r>
      <w:r w:rsidRPr="00BA394E">
        <w:rPr>
          <w:szCs w:val="24"/>
        </w:rPr>
        <w:t>,</w:t>
      </w:r>
      <w:r w:rsidRPr="00BA394E">
        <w:rPr>
          <w:rStyle w:val="FootnoteReference"/>
          <w:szCs w:val="24"/>
        </w:rPr>
        <w:footnoteReference w:id="12"/>
      </w:r>
      <w:r w:rsidRPr="00BA394E">
        <w:rPr>
          <w:szCs w:val="24"/>
        </w:rPr>
        <w:t xml:space="preserve"> di Columbia istilah kekerasan dikenal dengan “</w:t>
      </w:r>
      <w:r w:rsidRPr="00BA394E">
        <w:rPr>
          <w:i/>
          <w:iCs/>
          <w:szCs w:val="24"/>
        </w:rPr>
        <w:t>La Violencia</w:t>
      </w:r>
      <w:r w:rsidRPr="00BA394E">
        <w:rPr>
          <w:szCs w:val="24"/>
        </w:rPr>
        <w:t>”. Kejahatan kekerasan oleh Yesmil Anwar0 diartikan sebagai penggunaan kekuatan fisik dan kekuasaan, ancaman atau tindakan terhadap diri sendiri, perorangan atau sekelompok orang atau masyarakat yang mengakibatkan memar atau trauma, kematian, kerugian psikologis, kelainan perkembangan atau perampasan hak.</w:t>
      </w:r>
      <w:r w:rsidRPr="00BA394E">
        <w:rPr>
          <w:rStyle w:val="FootnoteReference"/>
          <w:szCs w:val="24"/>
        </w:rPr>
        <w:footnoteReference w:id="13"/>
      </w:r>
    </w:p>
    <w:p w:rsidR="008866E4" w:rsidRPr="00BA394E" w:rsidRDefault="008866E4" w:rsidP="008866E4">
      <w:pPr>
        <w:pStyle w:val="BodyTextIndent"/>
        <w:ind w:firstLine="709"/>
        <w:rPr>
          <w:szCs w:val="24"/>
        </w:rPr>
      </w:pPr>
      <w:r w:rsidRPr="00BA394E">
        <w:rPr>
          <w:szCs w:val="24"/>
        </w:rPr>
        <w:t>Berkaitan dengan masalah kejahatan, maka kekerasan sering merupakan pelengkap dari bentuk kejahatan itu sendiri. Bahkan ia telah membentuk suatu ciri tersendiri dalam khasanah tentang studi kejahatan. Semakin menggejala dan menyebar luas frekuensi kejahatan yang diikuti dengan kekerasan dalam masyarakat, maka semakin tebal keyakinan masyarakat akan penting dan seriusnya kejahatan semacam ini. Dengan demikian pada gilirannya model kejahatan ini telah membentuk persepsi yang khas di kalangan masyarakat.</w:t>
      </w:r>
    </w:p>
    <w:p w:rsidR="008866E4" w:rsidRPr="00BA394E" w:rsidRDefault="008866E4" w:rsidP="008866E4">
      <w:pPr>
        <w:pStyle w:val="BodyTextIndent"/>
        <w:ind w:firstLine="709"/>
        <w:rPr>
          <w:szCs w:val="24"/>
        </w:rPr>
      </w:pPr>
      <w:r w:rsidRPr="00BA394E">
        <w:rPr>
          <w:szCs w:val="24"/>
        </w:rPr>
        <w:t xml:space="preserve">Dapat pula yang terjadi adalah kekerasaan fisik, namun berdampak lebih lanjut pada aspek psikologis. Orang yang menjadi korban kekerasan fisik dapat juga mengalami penderitaan psikologis yang cukup parah seperti stress dan kemudian memilih jalan bunuh diri. Asumsi yang muncul dan berlaku </w:t>
      </w:r>
      <w:r w:rsidRPr="00BA394E">
        <w:rPr>
          <w:i/>
          <w:iCs/>
          <w:szCs w:val="24"/>
        </w:rPr>
        <w:t>general</w:t>
      </w:r>
      <w:r w:rsidRPr="00BA394E">
        <w:rPr>
          <w:szCs w:val="24"/>
        </w:rPr>
        <w:t xml:space="preserve">, </w:t>
      </w:r>
      <w:r w:rsidRPr="00BA394E">
        <w:rPr>
          <w:szCs w:val="24"/>
        </w:rPr>
        <w:lastRenderedPageBreak/>
        <w:t>bahwa setiap modus kekerasaan itu merupakan wujud pelanggaran hak-hak asasi manusia, artinya berbagai bentuk kekerasan yang terjadi ditengah masyarakat misalnya berakibat bagi kerugian orang lain. Kerugian yang menimpa sesama secara fisik maupun non-fisik inilah yang dikategorikan sebagai pelanggaran hakhak asasi manusia.</w:t>
      </w:r>
    </w:p>
    <w:p w:rsidR="008866E4" w:rsidRPr="00BA394E" w:rsidRDefault="008866E4" w:rsidP="008866E4">
      <w:pPr>
        <w:pStyle w:val="BodyTextIndent"/>
        <w:ind w:firstLine="709"/>
        <w:rPr>
          <w:szCs w:val="24"/>
        </w:rPr>
      </w:pPr>
      <w:r w:rsidRPr="00BA394E">
        <w:rPr>
          <w:szCs w:val="24"/>
        </w:rPr>
        <w:t>Kekerasan dapat dipandang dari tiga sudut pandang:</w:t>
      </w:r>
    </w:p>
    <w:p w:rsidR="008866E4" w:rsidRPr="00BA394E" w:rsidRDefault="008866E4" w:rsidP="008866E4">
      <w:pPr>
        <w:numPr>
          <w:ilvl w:val="0"/>
          <w:numId w:val="44"/>
        </w:numPr>
        <w:tabs>
          <w:tab w:val="left" w:pos="993"/>
        </w:tabs>
        <w:autoSpaceDE w:val="0"/>
        <w:autoSpaceDN w:val="0"/>
        <w:adjustRightInd w:val="0"/>
        <w:spacing w:line="480" w:lineRule="auto"/>
        <w:ind w:left="993"/>
        <w:jc w:val="both"/>
      </w:pPr>
      <w:r w:rsidRPr="00BA394E">
        <w:t>Sudut pandang psikologis: Kekerasan sebagai suatu ledakan kekuatan dalam wujud yang tidak masuk akal.</w:t>
      </w:r>
    </w:p>
    <w:p w:rsidR="008866E4" w:rsidRPr="00BA394E" w:rsidRDefault="008866E4" w:rsidP="008866E4">
      <w:pPr>
        <w:numPr>
          <w:ilvl w:val="0"/>
          <w:numId w:val="44"/>
        </w:numPr>
        <w:tabs>
          <w:tab w:val="left" w:pos="993"/>
        </w:tabs>
        <w:autoSpaceDE w:val="0"/>
        <w:autoSpaceDN w:val="0"/>
        <w:adjustRightInd w:val="0"/>
        <w:spacing w:line="480" w:lineRule="auto"/>
        <w:ind w:left="993"/>
        <w:jc w:val="both"/>
      </w:pPr>
      <w:r w:rsidRPr="00BA394E">
        <w:t>Sudut pandang etnis, Kekerasan adalah suatu serangan terhadap harta dan kebebasan orang lain.</w:t>
      </w:r>
    </w:p>
    <w:p w:rsidR="008866E4" w:rsidRPr="00BA394E" w:rsidRDefault="008866E4" w:rsidP="008866E4">
      <w:pPr>
        <w:numPr>
          <w:ilvl w:val="0"/>
          <w:numId w:val="44"/>
        </w:numPr>
        <w:tabs>
          <w:tab w:val="left" w:pos="993"/>
        </w:tabs>
        <w:autoSpaceDE w:val="0"/>
        <w:autoSpaceDN w:val="0"/>
        <w:adjustRightInd w:val="0"/>
        <w:spacing w:line="480" w:lineRule="auto"/>
        <w:ind w:left="993"/>
        <w:jc w:val="both"/>
      </w:pPr>
      <w:r w:rsidRPr="00BA394E">
        <w:t>Sudut pandang politis, Kekerasan adalah penggunan kekuatan untuk merebut kekuasaan atau penyalahgunaan kekuasaan secara tidak sah.</w:t>
      </w:r>
      <w:r w:rsidRPr="00BA394E">
        <w:rPr>
          <w:rStyle w:val="FootnoteReference"/>
        </w:rPr>
        <w:footnoteReference w:id="14"/>
      </w:r>
    </w:p>
    <w:p w:rsidR="008866E4" w:rsidRPr="00BA394E" w:rsidRDefault="008866E4" w:rsidP="008866E4">
      <w:pPr>
        <w:tabs>
          <w:tab w:val="left" w:pos="993"/>
        </w:tabs>
        <w:autoSpaceDE w:val="0"/>
        <w:autoSpaceDN w:val="0"/>
        <w:adjustRightInd w:val="0"/>
        <w:spacing w:line="480" w:lineRule="auto"/>
        <w:ind w:left="993"/>
        <w:jc w:val="both"/>
      </w:pPr>
    </w:p>
    <w:p w:rsidR="008866E4" w:rsidRPr="00BA394E" w:rsidRDefault="008866E4" w:rsidP="008866E4">
      <w:pPr>
        <w:pStyle w:val="BodyTextIndent"/>
        <w:ind w:firstLine="709"/>
        <w:rPr>
          <w:iCs/>
          <w:szCs w:val="24"/>
        </w:rPr>
      </w:pPr>
      <w:r w:rsidRPr="00BA394E">
        <w:rPr>
          <w:szCs w:val="24"/>
        </w:rPr>
        <w:t>Memperhatikan defenisi dan berbagai bentuk kekerasan, satu-satunya karakteristik dari model kejahatan dengan kekerasan ini adalah adanya “</w:t>
      </w:r>
      <w:r w:rsidRPr="00BA394E">
        <w:rPr>
          <w:i/>
          <w:iCs/>
          <w:szCs w:val="24"/>
        </w:rPr>
        <w:t>agresivitas</w:t>
      </w:r>
      <w:r w:rsidRPr="00BA394E">
        <w:rPr>
          <w:szCs w:val="24"/>
        </w:rPr>
        <w:t>” atau apa yang dinamakan dengan “</w:t>
      </w:r>
      <w:r w:rsidRPr="00BA394E">
        <w:rPr>
          <w:i/>
          <w:iCs/>
          <w:szCs w:val="24"/>
        </w:rPr>
        <w:t>assaultive conduct”.</w:t>
      </w:r>
      <w:r w:rsidRPr="00BA394E">
        <w:rPr>
          <w:rStyle w:val="FootnoteReference"/>
          <w:i/>
          <w:iCs/>
          <w:szCs w:val="24"/>
        </w:rPr>
        <w:footnoteReference w:id="15"/>
      </w:r>
    </w:p>
    <w:p w:rsidR="008866E4" w:rsidRPr="00BA394E" w:rsidRDefault="008866E4" w:rsidP="008866E4">
      <w:pPr>
        <w:pStyle w:val="BodyTextIndent"/>
        <w:ind w:firstLine="720"/>
        <w:rPr>
          <w:szCs w:val="24"/>
        </w:rPr>
      </w:pPr>
      <w:r w:rsidRPr="00BA394E">
        <w:rPr>
          <w:szCs w:val="24"/>
        </w:rPr>
        <w:t xml:space="preserve">Berkaitan dengan masalah kejahatan, maka kekerasan sering merupakan pelengkap dari bentuk kejahatan itu sendiri. Bahkan ia telah membentuk suatu ciri tersendiri dalam khasanah tentang studi kejahatan. Semakin menggejala dan menyebar luas frekuensi kejahatan yang diikuti dengan kekerasan dalam masyarakat, maka semakin tebal keyakinan masyarakat akan penting dan </w:t>
      </w:r>
      <w:r w:rsidRPr="00BA394E">
        <w:rPr>
          <w:szCs w:val="24"/>
        </w:rPr>
        <w:lastRenderedPageBreak/>
        <w:t>seriusnya kejahatan semacam ini. Dengan demikian pada gilirannya model kejahatan ini telah membentuk persepsi yang khas di kalangan masyarakat.</w:t>
      </w:r>
    </w:p>
    <w:p w:rsidR="008866E4" w:rsidRPr="00BA394E" w:rsidRDefault="008866E4" w:rsidP="008866E4">
      <w:pPr>
        <w:pStyle w:val="BodyTextIndent"/>
        <w:ind w:firstLine="720"/>
        <w:rPr>
          <w:szCs w:val="24"/>
        </w:rPr>
      </w:pPr>
      <w:r w:rsidRPr="00BA394E">
        <w:rPr>
          <w:szCs w:val="24"/>
        </w:rPr>
        <w:t>Kekerasan seksual dapat diartikan sebagai suatu tindakan atau perbuatan yang mengintimidasi seseorang yang berhubungan dengan keintiman atau hubungan seksualitas yang dilakukan oleh seorang pelaku dengan cara memaksa. Oleh karena perbuatan tersebut, mengakibatkan korban menderita secara fisik maupun psikis. Kekerasan seksual merupakan kejahatan seksual yang secara umum merupakan perbuatan yang melanggar kesusilaan yang merusak kesopanan dan perbuatannya tidak atas kemauan si korban melalui ancaman kekerasan.</w:t>
      </w:r>
      <w:r w:rsidRPr="00BA394E">
        <w:rPr>
          <w:rStyle w:val="FootnoteReference"/>
          <w:szCs w:val="24"/>
        </w:rPr>
        <w:footnoteReference w:id="16"/>
      </w:r>
    </w:p>
    <w:p w:rsidR="008866E4" w:rsidRPr="00BA394E" w:rsidRDefault="008866E4" w:rsidP="008866E4">
      <w:pPr>
        <w:pStyle w:val="BodyTextIndent"/>
        <w:ind w:firstLine="720"/>
        <w:rPr>
          <w:szCs w:val="24"/>
        </w:rPr>
      </w:pPr>
      <w:r w:rsidRPr="00BA394E">
        <w:rPr>
          <w:szCs w:val="24"/>
        </w:rPr>
        <w:t xml:space="preserve">Konteks kekerasan seksual pada anak merupakan suatu bentuk kekerasan seksual dimana anak sebagai objek kekerasan atau dapat diartikan sebagai korban kekerasan seksual. Kekerasan Seksual terhadap anak dengan istilah </w:t>
      </w:r>
      <w:r w:rsidRPr="00BA394E">
        <w:rPr>
          <w:i/>
          <w:iCs/>
          <w:szCs w:val="24"/>
        </w:rPr>
        <w:t xml:space="preserve">child sexual abuse </w:t>
      </w:r>
      <w:r w:rsidRPr="00BA394E">
        <w:rPr>
          <w:szCs w:val="24"/>
        </w:rPr>
        <w:t>didefinisikan sebagai suatu tindakan perbuatan pemaksaan untuk melakukan hubungan seksual maupun aktivitas seksual lainnya, yang dilakukan oleh orang dewasa terhadap anak-anak, dengan kekerasan maupun tidak, yang dapat terjadi diberbagai tempat tanpa memandang budaya, ras, dan sastra masyarakat. Korbannya bisa anak laki-laki maupun anak perempuan, akan tetapi anak perempuan lebih sering menjadi target kekerasan seksual daripada anak laki-laki.</w:t>
      </w:r>
      <w:r w:rsidRPr="00BA394E">
        <w:rPr>
          <w:rStyle w:val="FootnoteReference"/>
          <w:szCs w:val="24"/>
        </w:rPr>
        <w:footnoteReference w:id="17"/>
      </w:r>
    </w:p>
    <w:p w:rsidR="008866E4" w:rsidRPr="00BA394E" w:rsidRDefault="008866E4" w:rsidP="008866E4">
      <w:pPr>
        <w:pStyle w:val="BodyTextIndent"/>
        <w:ind w:firstLine="720"/>
        <w:rPr>
          <w:szCs w:val="24"/>
        </w:rPr>
      </w:pPr>
      <w:r w:rsidRPr="00BA394E">
        <w:rPr>
          <w:szCs w:val="24"/>
        </w:rPr>
        <w:t xml:space="preserve">Kekerasan seksual cenderung menimbulkan dampak traumatis kepada korban baik anak maupun orang dewasa. Namun, seringkali kasus kekerasan seksual tidak terungkap yang disebabkan karena adanya penyangkalan terhadap </w:t>
      </w:r>
      <w:r w:rsidRPr="00BA394E">
        <w:rPr>
          <w:szCs w:val="24"/>
        </w:rPr>
        <w:lastRenderedPageBreak/>
        <w:t>peristiwa kekerasan seksual yang terjadi. Penyangkalan terhadap peristiwa kekerasan seksual lebih sering terjadi pada anak-anak. Hal ini disebabkan karena anak-anak yang menjadi korban kekerasan seksual tidak mengerti bahwa dirinya menjadi korban. Korban kekerasan seksual cenderung tidak mempercayai orang lain sehingga merahasiakan peristiwa kekerasan seksual yang dialaminya. Selain itu, korban merasa takut untuk melaporkan pelaku karena merasa terancam akan mengalami hal yang lebih buruk apabila melapor, dan merasa malu karna peristiwa yang dialaminya dapat merusak nama keluarga.</w:t>
      </w:r>
      <w:r w:rsidRPr="00BA394E">
        <w:rPr>
          <w:rStyle w:val="FootnoteReference"/>
          <w:szCs w:val="24"/>
        </w:rPr>
        <w:footnoteReference w:id="18"/>
      </w:r>
    </w:p>
    <w:p w:rsidR="008866E4" w:rsidRPr="00BA394E" w:rsidRDefault="008866E4" w:rsidP="008866E4">
      <w:pPr>
        <w:pStyle w:val="BodyTextIndent"/>
        <w:ind w:firstLine="720"/>
        <w:rPr>
          <w:szCs w:val="24"/>
        </w:rPr>
      </w:pPr>
      <w:r w:rsidRPr="00BA394E">
        <w:rPr>
          <w:szCs w:val="24"/>
        </w:rPr>
        <w:t>Kekerasan seksual menunjuk kepada setiap aktivitas seksual, bentuknya dapat berupa penyerangan atau tanpa penyerangan. Kategori penyerangan, menimbulkan penderitaan berupa cedera fisik, kategori kekerasan seksual tanpa penyerangan menderita trauma emosional. Bentuk-bentuk kekerasan seksual dapat berupa dirayu, dicolek, dipeluk dengan paksa, diremas, dipaksa onani, oral seks, anal seks, dan diperkosa.</w:t>
      </w:r>
      <w:r w:rsidRPr="00BA394E">
        <w:rPr>
          <w:rStyle w:val="FootnoteReference"/>
          <w:szCs w:val="24"/>
        </w:rPr>
        <w:footnoteReference w:id="19"/>
      </w:r>
    </w:p>
    <w:p w:rsidR="008866E4" w:rsidRPr="00BA394E" w:rsidRDefault="008866E4" w:rsidP="008866E4">
      <w:pPr>
        <w:pStyle w:val="BodyTextIndent"/>
        <w:ind w:firstLine="720"/>
        <w:rPr>
          <w:szCs w:val="24"/>
        </w:rPr>
      </w:pPr>
      <w:r w:rsidRPr="00BA394E">
        <w:rPr>
          <w:i/>
          <w:iCs/>
          <w:szCs w:val="24"/>
        </w:rPr>
        <w:t xml:space="preserve">Sexual abuse </w:t>
      </w:r>
      <w:r w:rsidRPr="00BA394E">
        <w:rPr>
          <w:szCs w:val="24"/>
        </w:rPr>
        <w:t>(kekerasan seksual) adalah jenis penganiayaan yang dapat dibagi dalam kategori berdasarkan identitas pelaku yang terdiri dari:</w:t>
      </w:r>
    </w:p>
    <w:p w:rsidR="008866E4" w:rsidRPr="00BA394E" w:rsidRDefault="008866E4" w:rsidP="008866E4">
      <w:pPr>
        <w:numPr>
          <w:ilvl w:val="5"/>
          <w:numId w:val="42"/>
        </w:numPr>
        <w:tabs>
          <w:tab w:val="clear" w:pos="4320"/>
          <w:tab w:val="num" w:pos="360"/>
        </w:tabs>
        <w:autoSpaceDE w:val="0"/>
        <w:autoSpaceDN w:val="0"/>
        <w:adjustRightInd w:val="0"/>
        <w:spacing w:line="480" w:lineRule="auto"/>
        <w:ind w:left="360"/>
        <w:rPr>
          <w:i/>
          <w:color w:val="000000"/>
        </w:rPr>
      </w:pPr>
      <w:r w:rsidRPr="00BA394E">
        <w:rPr>
          <w:i/>
          <w:color w:val="000000"/>
        </w:rPr>
        <w:t xml:space="preserve">Familial abuse </w:t>
      </w:r>
    </w:p>
    <w:p w:rsidR="008866E4" w:rsidRPr="00BA394E" w:rsidRDefault="008866E4" w:rsidP="008866E4">
      <w:pPr>
        <w:pStyle w:val="BodyTextIndent"/>
        <w:ind w:firstLine="720"/>
        <w:rPr>
          <w:szCs w:val="24"/>
        </w:rPr>
      </w:pPr>
      <w:r w:rsidRPr="00BA394E">
        <w:rPr>
          <w:szCs w:val="24"/>
        </w:rPr>
        <w:t xml:space="preserve">Kekerasan seksual yang terjadi dalam hubungan darah atau masih menjadi bagian dalam keluarga inti, yang biasa dikenal sebagai </w:t>
      </w:r>
      <w:r w:rsidRPr="00BA394E">
        <w:rPr>
          <w:i/>
          <w:iCs/>
          <w:szCs w:val="24"/>
        </w:rPr>
        <w:t xml:space="preserve">incest </w:t>
      </w:r>
      <w:r w:rsidRPr="00BA394E">
        <w:rPr>
          <w:szCs w:val="24"/>
        </w:rPr>
        <w:t xml:space="preserve">merupakan salah satu jenis kekerasan seksual dalam </w:t>
      </w:r>
      <w:r w:rsidRPr="00BA394E">
        <w:rPr>
          <w:i/>
          <w:iCs/>
          <w:szCs w:val="24"/>
        </w:rPr>
        <w:t>familial abuse</w:t>
      </w:r>
      <w:r w:rsidRPr="00BA394E">
        <w:rPr>
          <w:szCs w:val="24"/>
        </w:rPr>
        <w:t xml:space="preserve">. Mayer menyebutkan </w:t>
      </w:r>
      <w:r w:rsidRPr="00BA394E">
        <w:rPr>
          <w:i/>
          <w:iCs/>
          <w:szCs w:val="24"/>
        </w:rPr>
        <w:t xml:space="preserve">incest </w:t>
      </w:r>
      <w:r w:rsidRPr="00BA394E">
        <w:rPr>
          <w:szCs w:val="24"/>
        </w:rPr>
        <w:t xml:space="preserve">dalam keluarga dan mengaitkan dengan kekerasan pada anak menjadi beberapa </w:t>
      </w:r>
      <w:r w:rsidRPr="00BA394E">
        <w:rPr>
          <w:szCs w:val="24"/>
        </w:rPr>
        <w:lastRenderedPageBreak/>
        <w:t xml:space="preserve">kategori. Kategori pertama yaitu </w:t>
      </w:r>
      <w:r w:rsidRPr="00BA394E">
        <w:rPr>
          <w:i/>
          <w:iCs/>
          <w:szCs w:val="24"/>
        </w:rPr>
        <w:t xml:space="preserve">sexual molestation </w:t>
      </w:r>
      <w:r w:rsidRPr="00BA394E">
        <w:rPr>
          <w:szCs w:val="24"/>
        </w:rPr>
        <w:t xml:space="preserve">(penganiayaan) yang dapat meliputi interaksi </w:t>
      </w:r>
      <w:r w:rsidRPr="00BA394E">
        <w:rPr>
          <w:i/>
          <w:iCs/>
          <w:szCs w:val="24"/>
        </w:rPr>
        <w:t xml:space="preserve">noncoitus, petting, fondling, exhibitionism </w:t>
      </w:r>
      <w:r w:rsidRPr="00BA394E">
        <w:rPr>
          <w:szCs w:val="24"/>
        </w:rPr>
        <w:t xml:space="preserve">dan </w:t>
      </w:r>
      <w:r w:rsidRPr="00BA394E">
        <w:rPr>
          <w:i/>
          <w:iCs/>
          <w:szCs w:val="24"/>
        </w:rPr>
        <w:t>voyeurism</w:t>
      </w:r>
      <w:r w:rsidRPr="00BA394E">
        <w:rPr>
          <w:szCs w:val="24"/>
        </w:rPr>
        <w:t xml:space="preserve">, atau semua hal yang dapat menstimulasi pelaku secara seksual. Kategori kedua yaitu </w:t>
      </w:r>
      <w:r w:rsidRPr="00BA394E">
        <w:rPr>
          <w:i/>
          <w:iCs/>
          <w:szCs w:val="24"/>
        </w:rPr>
        <w:t xml:space="preserve">sexual assault </w:t>
      </w:r>
      <w:r w:rsidRPr="00BA394E">
        <w:rPr>
          <w:szCs w:val="24"/>
        </w:rPr>
        <w:t xml:space="preserve">(perkosaan) dimana perbuatan dapat berupa oral atau hubungan dengan alat kelamin, masturbasi, </w:t>
      </w:r>
      <w:r w:rsidRPr="00BA394E">
        <w:rPr>
          <w:i/>
          <w:iCs/>
          <w:szCs w:val="24"/>
        </w:rPr>
        <w:t xml:space="preserve">fellatio </w:t>
      </w:r>
      <w:r w:rsidRPr="00BA394E">
        <w:rPr>
          <w:szCs w:val="24"/>
        </w:rPr>
        <w:t xml:space="preserve">(oral pada penis), dan </w:t>
      </w:r>
      <w:r w:rsidRPr="00BA394E">
        <w:rPr>
          <w:i/>
          <w:iCs/>
          <w:szCs w:val="24"/>
        </w:rPr>
        <w:t xml:space="preserve">cunnilingus </w:t>
      </w:r>
      <w:r w:rsidRPr="00BA394E">
        <w:rPr>
          <w:szCs w:val="24"/>
        </w:rPr>
        <w:t xml:space="preserve">(oral pada klitoris). Kemudian kategori yang terakhir merupakan yang paling fatal yaitu </w:t>
      </w:r>
      <w:r w:rsidRPr="00BA394E">
        <w:rPr>
          <w:i/>
          <w:iCs/>
          <w:szCs w:val="24"/>
        </w:rPr>
        <w:t xml:space="preserve">forcible rape </w:t>
      </w:r>
      <w:r w:rsidRPr="00BA394E">
        <w:rPr>
          <w:szCs w:val="24"/>
        </w:rPr>
        <w:t>(perkosaan secara paksa) dimana adanya kontak seksual. Korban akan disulitkan dengan rasa takut, kekerasan dan ancaman. Dari ketiga kategori tersebut, dua kategori terakhir yang akan menimbulkan trauma yang paling berat kepada anak.</w:t>
      </w:r>
      <w:r w:rsidRPr="00BA394E">
        <w:rPr>
          <w:rStyle w:val="FootnoteReference"/>
          <w:szCs w:val="24"/>
        </w:rPr>
        <w:footnoteReference w:id="20"/>
      </w:r>
    </w:p>
    <w:p w:rsidR="008866E4" w:rsidRPr="00BA394E" w:rsidRDefault="008866E4" w:rsidP="008866E4">
      <w:pPr>
        <w:numPr>
          <w:ilvl w:val="5"/>
          <w:numId w:val="42"/>
        </w:numPr>
        <w:tabs>
          <w:tab w:val="clear" w:pos="4320"/>
          <w:tab w:val="num" w:pos="360"/>
        </w:tabs>
        <w:autoSpaceDE w:val="0"/>
        <w:autoSpaceDN w:val="0"/>
        <w:adjustRightInd w:val="0"/>
        <w:spacing w:line="480" w:lineRule="auto"/>
        <w:ind w:left="360"/>
        <w:jc w:val="both"/>
        <w:rPr>
          <w:i/>
          <w:color w:val="000000"/>
        </w:rPr>
      </w:pPr>
      <w:r w:rsidRPr="00BA394E">
        <w:rPr>
          <w:i/>
          <w:color w:val="000000"/>
        </w:rPr>
        <w:t xml:space="preserve">Extrafamilial abuse </w:t>
      </w:r>
    </w:p>
    <w:p w:rsidR="008866E4" w:rsidRPr="00BA394E" w:rsidRDefault="008866E4" w:rsidP="008866E4">
      <w:pPr>
        <w:pStyle w:val="BodyTextIndent"/>
        <w:ind w:firstLine="720"/>
        <w:rPr>
          <w:szCs w:val="24"/>
        </w:rPr>
      </w:pPr>
      <w:r w:rsidRPr="00BA394E">
        <w:rPr>
          <w:i/>
          <w:iCs/>
          <w:color w:val="000000"/>
          <w:szCs w:val="24"/>
        </w:rPr>
        <w:t xml:space="preserve">Extrafamilial abuse </w:t>
      </w:r>
      <w:r w:rsidRPr="00BA394E">
        <w:rPr>
          <w:color w:val="000000"/>
          <w:szCs w:val="24"/>
        </w:rPr>
        <w:t>merupakan kekerasan seksual yang dilakukan oleh orang lain diluar keluarga korban. Orang dewasa yang melakukan kekerasan seksual kepada anak disebut pedofil. Selain pedofil, terdapat pedetrasi yang merupakan hubungan antara laki-laki dewasa dengan anak laki-laki. Perbuatan lain dapat juga berupa pornografi anak dengan menggunakan anak-anak sebagai sarana untuk menghasilkan foto, gambar, dan buku. Dalam melakukan kekerasan seksual, biasanya pelaku melakukan beberapa tahapan untuk mengukur kenyamanan korban. Jika korban menuruti tahapan yang dilakukan</w:t>
      </w:r>
      <w:r w:rsidRPr="00BA394E">
        <w:rPr>
          <w:szCs w:val="24"/>
        </w:rPr>
        <w:t xml:space="preserve"> oleh pelaku, maka kekerasan seksual akan terus berjalan dan intensif. </w:t>
      </w:r>
    </w:p>
    <w:p w:rsidR="008866E4" w:rsidRPr="00BA394E" w:rsidRDefault="008866E4" w:rsidP="008866E4">
      <w:pPr>
        <w:pStyle w:val="BodyTextIndent"/>
        <w:ind w:firstLine="720"/>
        <w:rPr>
          <w:szCs w:val="24"/>
        </w:rPr>
      </w:pPr>
      <w:r w:rsidRPr="00BA394E">
        <w:rPr>
          <w:szCs w:val="24"/>
        </w:rPr>
        <w:t>Tindak pidana pelecehan atau kekerasan seksual terhadap anak (</w:t>
      </w:r>
      <w:r w:rsidRPr="00BA394E">
        <w:rPr>
          <w:i/>
          <w:iCs/>
          <w:szCs w:val="24"/>
        </w:rPr>
        <w:t>child sexual abuse</w:t>
      </w:r>
      <w:r w:rsidRPr="00BA394E">
        <w:rPr>
          <w:szCs w:val="24"/>
        </w:rPr>
        <w:t xml:space="preserve">) pada umumnya menggunakan cara membujuk atau memaksa </w:t>
      </w:r>
      <w:r w:rsidRPr="00BA394E">
        <w:rPr>
          <w:szCs w:val="24"/>
        </w:rPr>
        <w:lastRenderedPageBreak/>
        <w:t>seorang anak untuk melakukan kegiatan seksual, atau dapat juga mendorong seorang anak untuk berperilaku seksual sesuai keinginan pelaku yang mana tidak pantas dengan umurnya, termasuk selesai atau berusaha melakukan tindakan seksual atau interaksi seksual non-kontak dengan seorang anak oleh orang dewasa. Anak sebagai korban pada umumnya tidak mengetahui dan belum paham apa yang dilakukan pelaku sehingga anak dapat menjadi korban tindak pidana kekerasan seks.</w:t>
      </w:r>
      <w:r w:rsidRPr="00BA394E">
        <w:rPr>
          <w:rStyle w:val="FootnoteReference"/>
          <w:szCs w:val="24"/>
        </w:rPr>
        <w:footnoteReference w:id="21"/>
      </w:r>
    </w:p>
    <w:p w:rsidR="008866E4" w:rsidRPr="00BA394E" w:rsidRDefault="008866E4" w:rsidP="008866E4">
      <w:pPr>
        <w:pStyle w:val="BodyTextIndent"/>
        <w:ind w:firstLine="720"/>
        <w:rPr>
          <w:szCs w:val="24"/>
        </w:rPr>
      </w:pPr>
      <w:r w:rsidRPr="00BA394E">
        <w:rPr>
          <w:szCs w:val="24"/>
        </w:rPr>
        <w:t>Pada dasarnya semua jenis kekerasan yang dilakukan baik terhadap anak maupun orang dewasa akan menimbulkan akibat atau dampak bagi korban maupun pelaku. Namun dari pembahasan di atas adalah akibat yang ditimbulkan terhadap korban. Dampak yang ditimbulkan tersebut dapat bersifat sementara atau permanen, seperti cacat. Dampak bagi pelaku sendiri adalah pelaku harus menanggung akibat dari perbuatannya yang sudah diatur oleh undang-undang dalam bentuk pertanggungjawaban hukum pidana. Selain itu, dalam masyarakat juga akan berdampak pada tercorengnya nama baik dari pelaku yang nantinya akan menimbulkan kerentanan dalam bersosial dengan masyarakat.</w:t>
      </w:r>
    </w:p>
    <w:p w:rsidR="008866E4" w:rsidRPr="00BA394E" w:rsidRDefault="008866E4" w:rsidP="008866E4">
      <w:pPr>
        <w:pStyle w:val="BodyTextIndent"/>
        <w:ind w:firstLine="720"/>
        <w:rPr>
          <w:szCs w:val="24"/>
        </w:rPr>
      </w:pPr>
      <w:r w:rsidRPr="00BA394E">
        <w:rPr>
          <w:szCs w:val="24"/>
        </w:rPr>
        <w:t xml:space="preserve">Salah satu contoh tindak pidana kekerasan seksual terhadap anak di bawah umur adalah kasus yang terjadi di Dukuh Pundung, Desa Pandanarum, Kecamatan Pandanarum, Kabupaten Banjarnegara yang mana ada seorang anak berusia 14 tahun disetubuhi oleh 12 pria dewasa. Tindak pidana ini dilakukan secara bergilir oleh pelaku terhadap korban. Sebelum pelaku melakukan tindak pidana tersebut pelaku terlebih dahulu mengajak korban untuk menjadi sepasang kekasih. Setelah </w:t>
      </w:r>
      <w:r w:rsidRPr="00BA394E">
        <w:rPr>
          <w:szCs w:val="24"/>
        </w:rPr>
        <w:lastRenderedPageBreak/>
        <w:t>itu kemudian pelaku akan mengajak korban untuk pergi dengan alasan mengajak korban untuk bermain ke suatu tempat. Setelah keduanya berada pada tempat yang dituju, pelaku memulai tindakannya kepada korbannya. Pelaku melakukan tindakan tersebut disertai dengan ancaman bahwa apabila korban tidak menuruti kemauan pelaku maka korban akan dilukai oleh pelaku. Hal inipun dilakukan oleh pelaku lain terhadap korban. Para pelaku mengetahui hal ini dikarenakan adanya komunikasi dan kerja sama pelaku satu sama lain.</w:t>
      </w:r>
      <w:r w:rsidRPr="00BA394E">
        <w:rPr>
          <w:rStyle w:val="FootnoteReference"/>
          <w:szCs w:val="24"/>
        </w:rPr>
        <w:footnoteReference w:id="22"/>
      </w:r>
    </w:p>
    <w:p w:rsidR="008866E4" w:rsidRPr="00BA394E" w:rsidRDefault="008866E4" w:rsidP="008866E4">
      <w:pPr>
        <w:pStyle w:val="BodyTextIndent"/>
        <w:ind w:firstLine="720"/>
        <w:rPr>
          <w:szCs w:val="24"/>
        </w:rPr>
      </w:pPr>
      <w:r w:rsidRPr="00BA394E">
        <w:rPr>
          <w:szCs w:val="24"/>
        </w:rPr>
        <w:t>Dari contoh kasus tindak pidana kekerasan seksual terhadap anak di atas, dapat disimpulkan bahwa bentuknya adalah bentuk tindak pidana kekerasan seksual yang melanggar Pasal 81 Undang-Undang Nomor 17 Tahun 20l6 tentang Penetapan Peraturan Pemerintah Pengganti Undang-Undang Nomor 1 Tahun 2016 tentang Perubahan Kedua atas Undang-Undang Nomor 23 Tahun 2002 tentang Perlindungan Anak Menjadi Undang-Undang yang dijatuhi hukuman pidana penjara masing-masing selama 5,5 tahun.</w:t>
      </w:r>
      <w:r w:rsidRPr="00BA394E">
        <w:rPr>
          <w:rStyle w:val="FootnoteReference"/>
          <w:szCs w:val="24"/>
        </w:rPr>
        <w:footnoteReference w:id="23"/>
      </w:r>
    </w:p>
    <w:p w:rsidR="008866E4" w:rsidRPr="00BA394E" w:rsidRDefault="008866E4" w:rsidP="008866E4">
      <w:pPr>
        <w:pStyle w:val="BodyTextIndent"/>
        <w:numPr>
          <w:ilvl w:val="2"/>
          <w:numId w:val="42"/>
        </w:numPr>
        <w:tabs>
          <w:tab w:val="clear" w:pos="0"/>
          <w:tab w:val="clear" w:pos="2625"/>
          <w:tab w:val="left" w:pos="426"/>
        </w:tabs>
        <w:ind w:left="426" w:hanging="426"/>
        <w:rPr>
          <w:b/>
          <w:szCs w:val="24"/>
          <w:lang w:val="id-ID"/>
        </w:rPr>
      </w:pPr>
      <w:bookmarkStart w:id="14" w:name="_Hlk133186326"/>
      <w:r w:rsidRPr="00BA394E">
        <w:rPr>
          <w:b/>
          <w:szCs w:val="24"/>
        </w:rPr>
        <w:t>Hukuman Kebiri</w:t>
      </w:r>
      <w:r w:rsidRPr="00BA394E">
        <w:rPr>
          <w:b/>
          <w:color w:val="000000"/>
          <w:szCs w:val="24"/>
          <w:lang w:eastAsia="id-ID"/>
        </w:rPr>
        <w:t xml:space="preserve"> </w:t>
      </w:r>
      <w:bookmarkEnd w:id="14"/>
    </w:p>
    <w:p w:rsidR="008866E4" w:rsidRPr="00BA394E" w:rsidRDefault="008866E4" w:rsidP="008866E4">
      <w:pPr>
        <w:pStyle w:val="BodyTextIndent"/>
        <w:tabs>
          <w:tab w:val="clear" w:pos="0"/>
        </w:tabs>
        <w:ind w:firstLine="709"/>
        <w:rPr>
          <w:szCs w:val="24"/>
        </w:rPr>
      </w:pPr>
      <w:r w:rsidRPr="00BA394E">
        <w:rPr>
          <w:szCs w:val="24"/>
        </w:rPr>
        <w:t xml:space="preserve">Kebiri adalah suatu tindakan medis yang dilakukan untuk menghilangkan nafsu seksual seseorang baik secara fisik maupun hormonal. Kebiri dibagi menjadi dua, yaitu </w:t>
      </w:r>
      <w:r w:rsidRPr="00BA394E">
        <w:rPr>
          <w:i/>
          <w:szCs w:val="24"/>
        </w:rPr>
        <w:t>surgical castration</w:t>
      </w:r>
      <w:r w:rsidRPr="00BA394E">
        <w:rPr>
          <w:szCs w:val="24"/>
        </w:rPr>
        <w:t xml:space="preserve"> (pengebirian bedah) dan </w:t>
      </w:r>
      <w:r w:rsidRPr="00BA394E">
        <w:rPr>
          <w:i/>
          <w:szCs w:val="24"/>
        </w:rPr>
        <w:t>chemical castration</w:t>
      </w:r>
      <w:r w:rsidRPr="00BA394E">
        <w:rPr>
          <w:szCs w:val="24"/>
        </w:rPr>
        <w:t xml:space="preserve"> (pengebirian kimia).</w:t>
      </w:r>
      <w:r w:rsidRPr="00BA394E">
        <w:rPr>
          <w:rStyle w:val="FootnoteReference"/>
          <w:szCs w:val="24"/>
        </w:rPr>
        <w:footnoteReference w:id="24"/>
      </w:r>
    </w:p>
    <w:p w:rsidR="008866E4" w:rsidRPr="00BA394E" w:rsidRDefault="008866E4" w:rsidP="008866E4">
      <w:pPr>
        <w:pStyle w:val="BodyTextIndent"/>
        <w:tabs>
          <w:tab w:val="clear" w:pos="0"/>
        </w:tabs>
        <w:ind w:firstLine="709"/>
        <w:rPr>
          <w:szCs w:val="24"/>
        </w:rPr>
      </w:pPr>
      <w:r w:rsidRPr="00BA394E">
        <w:rPr>
          <w:szCs w:val="24"/>
        </w:rPr>
        <w:lastRenderedPageBreak/>
        <w:t>Hukuman kebiri kimia diberikan setelah terpidana selesai menajalani pidana pokoknya dalam hal ini hukuman kebiri kimia termasuk dalam kualifikasi hukuman pidana tambahan. Pasal 1 Ayat (2) Peraturan Pemerintah Nomor 70 tahun 2020 menjelaskan bahwa tindakan kebiri kimia adalah pemberian zat kimia melalui penyuntikan atau metode lain, yang dilakukan kepada pelaku yang pernah dipidana karena melakukan kekerasan atau ancaman kekerasan memaksa Anak melakukan persetubuhan dengannya atau dengan orang lain, sehingga menimbulkan korban lebih dari 1 (satu) orang, mengakibatkan luka berat, gangguan jiwa, penyakit menular, terganggu atau hilangnya fungsi reproduksi, dan/atau korban meninggal dunia, untuk menekan hasrat seksual berlebih, yang disertai rehabilitasi.</w:t>
      </w:r>
    </w:p>
    <w:p w:rsidR="008866E4" w:rsidRPr="00BA394E" w:rsidRDefault="008866E4" w:rsidP="008866E4">
      <w:pPr>
        <w:pStyle w:val="BodyTextIndent"/>
        <w:tabs>
          <w:tab w:val="clear" w:pos="0"/>
        </w:tabs>
        <w:ind w:firstLine="709"/>
        <w:rPr>
          <w:szCs w:val="24"/>
        </w:rPr>
      </w:pPr>
      <w:r w:rsidRPr="00BA394E">
        <w:rPr>
          <w:szCs w:val="24"/>
        </w:rPr>
        <w:t xml:space="preserve">Pertama kali hukuman kebiri kimia dijatuhkan oleh majelis hakim pemeriksa perkara No: 69/Pid.sus/2019/PN.Mjk kepada pelaku pemerkosaan sembilan orang anak di Mojokerto atas nama Muh Aris Bin Syukur yang dijatuhi hukuman 12 tahun penjara dan denda 100 juta subsidair kurungan selama enam bulan serta hukuman tambahan berupa kebiri kimia. Muh Aris dianggap melanggar pasal 76D jo Pasal 81 ayat (2) Undang-Undang Nomor 17 Tahun 2016 Tentang Penetapan Perpu No 1 Tahun 2016 Tentang Perubahan Kedua atas Undang-Undang Nomor 23 Tahun 2002 Tentang Perlindungan Anak. </w:t>
      </w:r>
    </w:p>
    <w:p w:rsidR="008866E4" w:rsidRPr="00BA394E" w:rsidRDefault="008866E4" w:rsidP="008866E4">
      <w:pPr>
        <w:pStyle w:val="BodyTextIndent"/>
        <w:tabs>
          <w:tab w:val="clear" w:pos="0"/>
        </w:tabs>
        <w:ind w:firstLine="709"/>
        <w:rPr>
          <w:szCs w:val="24"/>
        </w:rPr>
      </w:pPr>
      <w:r w:rsidRPr="00BA394E">
        <w:rPr>
          <w:szCs w:val="24"/>
        </w:rPr>
        <w:t xml:space="preserve">Hukuman yang dijatuhkan menjadi sejarah baru dan kali pertama setelah munculnya Perppu tersebut. Atas putusan hakim tersebut, maka diajukanlah banding, tetapi oleh Majelis Hakim Pengadilan Tinggi Surabaya memperkuat putusan sebelumnya, dan sehingga putusan ini mendapatkan kekuatan hukum </w:t>
      </w:r>
      <w:r w:rsidRPr="00BA394E">
        <w:rPr>
          <w:szCs w:val="24"/>
        </w:rPr>
        <w:lastRenderedPageBreak/>
        <w:t xml:space="preserve">tetap atau </w:t>
      </w:r>
      <w:r w:rsidRPr="00BA394E">
        <w:rPr>
          <w:i/>
          <w:iCs/>
          <w:szCs w:val="24"/>
        </w:rPr>
        <w:t xml:space="preserve">inkrach. </w:t>
      </w:r>
      <w:r w:rsidRPr="00BA394E">
        <w:rPr>
          <w:szCs w:val="24"/>
        </w:rPr>
        <w:t>Putusan tersebut menimbulkan pro dan kontra di masyarakat, karena dianggap melanggar Hak Asasi Manusia, juga sempat terjadi penolakan eksekusi oleh Ikatan Dokter Indonesia.</w:t>
      </w:r>
      <w:r w:rsidRPr="00BA394E">
        <w:rPr>
          <w:rStyle w:val="FootnoteReference"/>
          <w:szCs w:val="24"/>
        </w:rPr>
        <w:footnoteReference w:id="25"/>
      </w:r>
    </w:p>
    <w:p w:rsidR="008866E4" w:rsidRPr="00BA394E" w:rsidRDefault="008866E4" w:rsidP="008866E4">
      <w:pPr>
        <w:pStyle w:val="BodyTextIndent"/>
        <w:tabs>
          <w:tab w:val="clear" w:pos="0"/>
        </w:tabs>
        <w:ind w:firstLine="709"/>
        <w:rPr>
          <w:szCs w:val="24"/>
        </w:rPr>
      </w:pPr>
      <w:r w:rsidRPr="00BA394E">
        <w:rPr>
          <w:szCs w:val="24"/>
        </w:rPr>
        <w:t>Dalam dunia kesehatan, pelaksanaan hukum kebiri justru banyak menimbulkan efek negatif. Sebagaimana dikutip dari National Geografic Indonesia, dijelaskan bahwa: "Hormon anti-androgen itu adalah anti-hormon laki-laki. Pemberian obat antiandrogen tidak akan memunculkan efek pada seorang pria akan menjadi feminin. Kebiri kimiawi menimbulkan efek negatif berupa penuaan dini pada tubuh. Cairan anti-androgen diketahui akan mengurangi kepadatan tulang sehingga risiko tulang keropos atau osteoporosis meningkat. Antiandrogen juga mengurangi massa otot, yang memperbesar kesempatan tubuh menumpuk lemak dan kemudian meningkatkan risiko penyakit jantung dan pembuluh darah.</w:t>
      </w:r>
      <w:r w:rsidRPr="00BA394E">
        <w:rPr>
          <w:rStyle w:val="FootnoteReference"/>
          <w:szCs w:val="24"/>
        </w:rPr>
        <w:footnoteReference w:id="26"/>
      </w:r>
    </w:p>
    <w:p w:rsidR="008866E4" w:rsidRPr="00BA394E" w:rsidRDefault="008866E4" w:rsidP="008866E4">
      <w:pPr>
        <w:pStyle w:val="BodyTextIndent"/>
        <w:tabs>
          <w:tab w:val="clear" w:pos="0"/>
        </w:tabs>
        <w:ind w:firstLine="709"/>
        <w:rPr>
          <w:szCs w:val="24"/>
        </w:rPr>
      </w:pPr>
      <w:r w:rsidRPr="00BA394E">
        <w:rPr>
          <w:szCs w:val="24"/>
        </w:rPr>
        <w:t xml:space="preserve">Lahirnya putusan PT Surabaya Nomor 695/PID.SUS/2019/PT SBY, tertanggal 18 Juli 2019, yang menguatkan putusan PN Mojokerto Nomor 69/Pid.Sus/2019/PN.Mjk, tertanggal 2 Mei 2019, yang memvonis M. Aris bin syukur bersalah melanggar Pasal 76 D juncto Pasal 81 Ayat (2) UU Nomor 23 Tahun 2002 juncto UU Nomor 35 tahun 2014 juncto UU Nomor 17 Tahun 2016 tentang Perlindungan Anak. Terbitnya Peraturan Pemerintah Nomor 70 Tahun 2020, maka hukuman kebiri wajib dilaksanakan oleh penegak hukum sesuai dengan amanat PP. No. 70 tahun 2020, akan tetapi untuk pelaksanaan ekskutor </w:t>
      </w:r>
      <w:r w:rsidRPr="00BA394E">
        <w:rPr>
          <w:szCs w:val="24"/>
        </w:rPr>
        <w:lastRenderedPageBreak/>
        <w:t>hukuman kebiri sesuai dengan bunyi Pasal 3 PP. No. 70 tahun 2020 masih menjadi perdebatan karena pihak Ikatan dokter Indonesia menolak sebagai ekskutor dikarenakan bertentangan dengan sumpah jabatan etika kedokteran terdapat pertentangan norma dengan Undang-Undang Nomor 36 Tahun 2009 tentang kesehatan dan rumusan pasal 3 PP. No. 70 tahun 2020 penjelasannya masih multitafsir dan kekaburan hukum.</w:t>
      </w:r>
      <w:r w:rsidRPr="00BA394E">
        <w:rPr>
          <w:rStyle w:val="FootnoteReference"/>
          <w:szCs w:val="24"/>
        </w:rPr>
        <w:footnoteReference w:id="27"/>
      </w:r>
    </w:p>
    <w:p w:rsidR="008866E4" w:rsidRPr="00BA394E" w:rsidRDefault="008866E4" w:rsidP="008866E4">
      <w:pPr>
        <w:pStyle w:val="BodyTextIndent"/>
        <w:tabs>
          <w:tab w:val="clear" w:pos="0"/>
        </w:tabs>
        <w:ind w:firstLine="709"/>
        <w:rPr>
          <w:szCs w:val="24"/>
        </w:rPr>
      </w:pPr>
      <w:r w:rsidRPr="00BA394E">
        <w:rPr>
          <w:szCs w:val="24"/>
        </w:rPr>
        <w:t>Pasal 5 Kode Etik Kedokteran dikatakan bahwa “setiap perbuatan, nasihat dokter yang mungkin melemahkan daya tahan psikis maupun fisik, wajib memperoleh persetujuan pasien/keluarganya dan hanya diberikan untuk kepentingan dan kebaikan pasien tersebut.” Pada penjelasan Pasal diterangkan bahwa melemahkan psikis maupun fisik pasien bertentangan dengan fitrah-fitrah ilmu kedokteran kecuali gila terdapat alasan pembenar dari tindakan tersebut, seperti prosedur penghilangan fungsi saraf yang digunakan dalam pembiusan pra bedah dan pemberian obat anti nyeri pada pasien dengan nyeri tak tertahankan sehubungan dengan tugas fungsi dan wewenang tenaga medis atau kedokteran yang adalah penyembuhan dan penghormatan hidup manusia secara alami, maka organisasi profesi yang telah mengeluarkan fatwa MKKEK PB, IDI nomor 1 tahun 2016 yang pada prinsipnya bahwa “tugas yang dapat bertentangan dengan penyembuhan adalah bukan tugas profesi kedokteran.”</w:t>
      </w:r>
      <w:r w:rsidRPr="00BA394E">
        <w:rPr>
          <w:rStyle w:val="FootnoteReference"/>
          <w:szCs w:val="24"/>
        </w:rPr>
        <w:footnoteReference w:id="28"/>
      </w:r>
    </w:p>
    <w:p w:rsidR="008866E4" w:rsidRPr="00BA394E" w:rsidRDefault="008866E4" w:rsidP="008866E4">
      <w:pPr>
        <w:pStyle w:val="BodyTextIndent"/>
        <w:tabs>
          <w:tab w:val="clear" w:pos="0"/>
        </w:tabs>
        <w:ind w:firstLine="709"/>
        <w:rPr>
          <w:szCs w:val="24"/>
        </w:rPr>
      </w:pPr>
      <w:r w:rsidRPr="00BA394E">
        <w:rPr>
          <w:szCs w:val="24"/>
        </w:rPr>
        <w:t xml:space="preserve">Kode etik kedokteran telah mengatur bahwa seorang dokter harus menjadi pelindung kehidupan berdasarkan Pasal 11 kode etik Kedokteran yang menyatakan bahwa “setiap dokter wajib senantiasa mengingat kewajiban dirinya </w:t>
      </w:r>
      <w:r w:rsidRPr="00BA394E">
        <w:rPr>
          <w:szCs w:val="24"/>
        </w:rPr>
        <w:lastRenderedPageBreak/>
        <w:t xml:space="preserve">melindungi hidup makhluk insani.” Hal yang akan menjadi ganjalan seorang dokter bertindak harus dengan </w:t>
      </w:r>
      <w:r w:rsidRPr="00BA394E">
        <w:rPr>
          <w:i/>
          <w:szCs w:val="24"/>
        </w:rPr>
        <w:t>inform consent</w:t>
      </w:r>
      <w:r w:rsidRPr="00BA394E">
        <w:rPr>
          <w:szCs w:val="24"/>
        </w:rPr>
        <w:t xml:space="preserve"> atau persetujuan tindakan medis dari pasien atau keluarganya. Tanpa itu, dokter tidak bisa melakukan tindakan medis. Penolakan Ikatan Dokter Indonesia dan Majelis Kehormatan dan Kode Etik Kedokteran menjadi eksekutor hukuman kebiri yang bertolak belakang dengan keinginan pemerintah membuat timbulnya kebingungan dan tanda tanya dari masyarakat.</w:t>
      </w:r>
    </w:p>
    <w:p w:rsidR="008866E4" w:rsidRPr="00BA394E" w:rsidRDefault="008866E4" w:rsidP="008866E4">
      <w:pPr>
        <w:pStyle w:val="BodyTextIndent"/>
        <w:tabs>
          <w:tab w:val="clear" w:pos="0"/>
        </w:tabs>
        <w:ind w:firstLine="709"/>
        <w:rPr>
          <w:szCs w:val="24"/>
        </w:rPr>
      </w:pPr>
      <w:r w:rsidRPr="00BA394E">
        <w:rPr>
          <w:szCs w:val="24"/>
        </w:rPr>
        <w:t>Peran dokter untuk memberikan saran prosedur yang lebih halus dengan dosis dan metode administrasi obat yang tepat serta mampu membuat keputusan medis yang lebih tepat pada kondisi genting, agar mengurangi rasa sakit yang harus dialami narapidana. Dokter yang ikut melaksanakan hukuman pidana tidak dapat secara begitu saja dicap tidak bermoral. Tujuan dari keikutsertaan tenaga medis bukanlah untuk mengakhiri hidup orang lain atau menimbulkan cacat permanen, tetapi mengurangi penderitaan atau komplikasi dari suatu keputusan hukum yang memang harus dilaksanakan.</w:t>
      </w:r>
      <w:r w:rsidRPr="00BA394E">
        <w:rPr>
          <w:rStyle w:val="FootnoteReference"/>
          <w:szCs w:val="24"/>
        </w:rPr>
        <w:footnoteReference w:id="29"/>
      </w:r>
    </w:p>
    <w:p w:rsidR="008866E4" w:rsidRPr="00BA394E" w:rsidRDefault="008866E4" w:rsidP="008866E4">
      <w:pPr>
        <w:pStyle w:val="BodyTextIndent"/>
        <w:tabs>
          <w:tab w:val="clear" w:pos="0"/>
        </w:tabs>
        <w:ind w:firstLine="709"/>
        <w:rPr>
          <w:szCs w:val="24"/>
        </w:rPr>
      </w:pPr>
      <w:r w:rsidRPr="00BA394E">
        <w:rPr>
          <w:szCs w:val="24"/>
        </w:rPr>
        <w:t>Mengebiri pelaku bukan jalan keluar yang adil bagi korban dan juga tidak ada hubungan yang signifikan antara kebiri dan berkurangnya kejahatan seksual anak, tidak ada efek yang ilmiah, korban akan pulih dengan diberikannya hukuman tambahan kebiri kepada pelaku.</w:t>
      </w:r>
      <w:r w:rsidRPr="00BA394E">
        <w:rPr>
          <w:rStyle w:val="FootnoteReference"/>
          <w:szCs w:val="24"/>
        </w:rPr>
        <w:footnoteReference w:id="30"/>
      </w:r>
      <w:r w:rsidRPr="00BA394E">
        <w:rPr>
          <w:szCs w:val="24"/>
        </w:rPr>
        <w:t xml:space="preserve"> Pengebirian atau yang dikenal juga sebagai </w:t>
      </w:r>
      <w:r w:rsidRPr="00BA394E">
        <w:rPr>
          <w:i/>
          <w:szCs w:val="24"/>
        </w:rPr>
        <w:t>gonadectomy</w:t>
      </w:r>
      <w:r w:rsidRPr="00BA394E">
        <w:rPr>
          <w:szCs w:val="24"/>
        </w:rPr>
        <w:t xml:space="preserve"> adalah prosedur pemotongan genital guna menghilangkan fungsi biologis. Hukuman kebiri secara kimiawi kini direncanakan Pemerintah untuk diterapkan kepada pelaku pedofilia kriminal. </w:t>
      </w:r>
      <w:bookmarkStart w:id="20" w:name="_Hlk137740849"/>
      <w:r w:rsidRPr="00BA394E">
        <w:rPr>
          <w:szCs w:val="24"/>
        </w:rPr>
        <w:t xml:space="preserve">Undang-Undang Nomor 17 </w:t>
      </w:r>
      <w:r w:rsidRPr="00BA394E">
        <w:rPr>
          <w:szCs w:val="24"/>
        </w:rPr>
        <w:lastRenderedPageBreak/>
        <w:t>Tahun 2016 Tentang Penetapan Perpu No 1 Tahun 2016 Tentang Perubahan Kedua atas Undang-Undang Nomor 23 Tahun 2002 Tentang Perlindungan Anak</w:t>
      </w:r>
      <w:bookmarkEnd w:id="20"/>
      <w:r w:rsidRPr="00BA394E">
        <w:rPr>
          <w:szCs w:val="24"/>
        </w:rPr>
        <w:t xml:space="preserve"> yang telah dilakukan perubahan yang mengatur adanya tiga sanksi tambahan, hal ini dapat ditemukan dalam:</w:t>
      </w:r>
    </w:p>
    <w:p w:rsidR="008866E4" w:rsidRPr="00BA394E" w:rsidRDefault="008866E4" w:rsidP="008866E4">
      <w:pPr>
        <w:pStyle w:val="BodyTextIndent"/>
        <w:numPr>
          <w:ilvl w:val="3"/>
          <w:numId w:val="42"/>
        </w:numPr>
        <w:tabs>
          <w:tab w:val="clear" w:pos="0"/>
          <w:tab w:val="clear" w:pos="2880"/>
          <w:tab w:val="num" w:pos="360"/>
        </w:tabs>
        <w:autoSpaceDE w:val="0"/>
        <w:autoSpaceDN w:val="0"/>
        <w:adjustRightInd w:val="0"/>
        <w:ind w:left="360"/>
        <w:rPr>
          <w:szCs w:val="24"/>
        </w:rPr>
      </w:pPr>
      <w:r w:rsidRPr="00BA394E">
        <w:rPr>
          <w:szCs w:val="24"/>
        </w:rPr>
        <w:t>Pada Pasal 81 Ayat 7 dan Pasal 82 Ayat 6 menuliskan bahwa setiap pelaku kekerasan seksual anak dapat dikenai tindakan berupa hukuman kebiri kimiawi dan pemasangan alat pendeteksi elektronik.</w:t>
      </w:r>
    </w:p>
    <w:p w:rsidR="008866E4" w:rsidRPr="00BA394E" w:rsidRDefault="008866E4" w:rsidP="008866E4">
      <w:pPr>
        <w:pStyle w:val="BodyTextIndent"/>
        <w:numPr>
          <w:ilvl w:val="3"/>
          <w:numId w:val="42"/>
        </w:numPr>
        <w:tabs>
          <w:tab w:val="clear" w:pos="0"/>
          <w:tab w:val="clear" w:pos="2880"/>
          <w:tab w:val="num" w:pos="360"/>
        </w:tabs>
        <w:autoSpaceDE w:val="0"/>
        <w:autoSpaceDN w:val="0"/>
        <w:adjustRightInd w:val="0"/>
        <w:ind w:left="360"/>
        <w:rPr>
          <w:szCs w:val="24"/>
        </w:rPr>
      </w:pPr>
      <w:r w:rsidRPr="00BA394E">
        <w:rPr>
          <w:szCs w:val="24"/>
        </w:rPr>
        <w:t>Pada Pasal 81 Ayat 6 dan Pasal 82 Ayat 5 dituliskan bahwa pelaku kekerasan seksual anak dapat dikenai hukuman pidana tambahan berupa pengumuman identitas ke publik,</w:t>
      </w:r>
    </w:p>
    <w:p w:rsidR="008866E4" w:rsidRPr="00BA394E" w:rsidRDefault="008866E4" w:rsidP="008866E4">
      <w:pPr>
        <w:pStyle w:val="BodyTextIndent"/>
        <w:tabs>
          <w:tab w:val="clear" w:pos="0"/>
        </w:tabs>
        <w:ind w:firstLine="709"/>
        <w:rPr>
          <w:szCs w:val="24"/>
        </w:rPr>
      </w:pPr>
      <w:r w:rsidRPr="00BA394E">
        <w:rPr>
          <w:szCs w:val="24"/>
        </w:rPr>
        <w:t>Ada dua macam kebiri yang diterapkan di berbagai negara, yaitu kebiri fisik dan kebiri kimiawi. Kebiri fisik dilakukan dengan cara mengamputasi testis pelaku pelaku paedofil sehingga membuat pelaku kekurangan hormon testosteron yang memengaruhi dorongan seksualnya. Sementara itu kebiri kimiawi, berbeda dengan kebiri fisik, tidak dilakukan dengan mengamputasi testis. kebiri kimiawi dilakukan dengan cara memasukkan bahan kimiawi antiandrogen, baik melalui pil atau suntikan ke tubuh seseorang dengan tujuan untuk memperlemah hormon testosteron. Secara sederhana, zat kimia yang dimasukkan ke dalam tubuh itu akan mengurangi bahkan menghilangkan kemampuan ereksi, libido atau hasrat seksual.</w:t>
      </w:r>
    </w:p>
    <w:p w:rsidR="008866E4" w:rsidRPr="00BA394E" w:rsidRDefault="008866E4" w:rsidP="008866E4">
      <w:pPr>
        <w:pStyle w:val="BodyTextIndent"/>
        <w:tabs>
          <w:tab w:val="clear" w:pos="0"/>
        </w:tabs>
        <w:ind w:firstLine="709"/>
        <w:rPr>
          <w:szCs w:val="24"/>
        </w:rPr>
      </w:pPr>
      <w:r w:rsidRPr="00BA394E">
        <w:rPr>
          <w:szCs w:val="24"/>
        </w:rPr>
        <w:t xml:space="preserve">Hukuman kebiri kimia berupa suntik antiandrogen, diketahui mempunyai dampak negatif yaitu mempercepat penuaan tubuh. Cairan antiandrogen yang disuntikkan ke dalam tubuh mengurangi kerapatan massa tulang sehingga tulang keropos dan memperbesar risiko patah tulang. Obat itu juga mengurangi massa </w:t>
      </w:r>
      <w:r w:rsidRPr="00BA394E">
        <w:rPr>
          <w:szCs w:val="24"/>
        </w:rPr>
        <w:lastRenderedPageBreak/>
        <w:t>otot dan meningkatkan lemak yang menaikkan risiko penyakit jantung dan pembuluh darah. Jika pemberian antiandrogen dihentikan, dorongan seksual dan fungsi ereksi seseorang akan muncul lagi.</w:t>
      </w:r>
      <w:r w:rsidRPr="00BA394E">
        <w:rPr>
          <w:rStyle w:val="FootnoteReference"/>
          <w:szCs w:val="24"/>
        </w:rPr>
        <w:footnoteReference w:id="31"/>
      </w:r>
    </w:p>
    <w:p w:rsidR="008866E4" w:rsidRPr="00BA394E" w:rsidRDefault="008866E4" w:rsidP="008866E4">
      <w:pPr>
        <w:pStyle w:val="BodyTextIndent"/>
        <w:tabs>
          <w:tab w:val="clear" w:pos="0"/>
        </w:tabs>
        <w:ind w:firstLine="709"/>
        <w:rPr>
          <w:szCs w:val="24"/>
        </w:rPr>
      </w:pPr>
      <w:r w:rsidRPr="00BA394E">
        <w:rPr>
          <w:szCs w:val="24"/>
        </w:rPr>
        <w:t>Dasar hukum dapat dilakukannya hukuman kebiri di Indonesia bagi pelaku kekerasan seksual terhadap anak dapat dilihat pada Undang-Undang Nomor 17 Tahun 20162 tentang Perlindungan Anak. Menurut Pasal 81 ayat (7) Undang-Undang Nomor 17 Tahun 2016 menyatakan: terhadap pelaku sebagaimana dimaksud pada ayat (4) dan ayat (5) dapat dikenai tindakan berupa kebiri kimia dan pemasangan alat pendeteksi elektronik.</w:t>
      </w:r>
    </w:p>
    <w:p w:rsidR="008866E4" w:rsidRPr="00BA394E" w:rsidRDefault="008866E4" w:rsidP="008866E4">
      <w:pPr>
        <w:pStyle w:val="BodyTextIndent"/>
        <w:tabs>
          <w:tab w:val="clear" w:pos="0"/>
        </w:tabs>
        <w:ind w:firstLine="709"/>
        <w:rPr>
          <w:szCs w:val="24"/>
        </w:rPr>
      </w:pPr>
      <w:r w:rsidRPr="00BA394E">
        <w:rPr>
          <w:szCs w:val="24"/>
        </w:rPr>
        <w:t>Tindakan tersebut diputuskan bersama-sama dengan pidana pokok dengan memuat jangka waktu pelaksanaan tindakan. Tindakan kebiri kimia dikenakan untuk jangka waktu paling lama 2 tahun dan dilaksanakan setelah terpidana menjalani pidana pokok, pelaksanaan tindakan kebiri kimia dibawah pengawasan secara berkala oleh kementerian yang menyelenggarakan urusan pemerintahan dibidang hukum, sosial, dan kesehatan yang disertai dengan rehabilitasi</w:t>
      </w:r>
    </w:p>
    <w:p w:rsidR="008866E4" w:rsidRPr="00BA394E" w:rsidRDefault="008866E4" w:rsidP="008866E4">
      <w:pPr>
        <w:pStyle w:val="BodyTextIndent"/>
        <w:tabs>
          <w:tab w:val="clear" w:pos="0"/>
        </w:tabs>
        <w:ind w:firstLine="709"/>
        <w:rPr>
          <w:szCs w:val="24"/>
        </w:rPr>
      </w:pPr>
      <w:r w:rsidRPr="00BA394E">
        <w:rPr>
          <w:szCs w:val="24"/>
        </w:rPr>
        <w:t>Melalui rumusan Pasal 81 ayat (7) Undang-Undang Nomor 17 Tahun 2016 diketahui bahwa tujuan penambahan ketentuan mengenai tindakan kebiri kimia, pemasangan alat pendeteksi dan rehabilitasi adalah untuk mengatasi kekerasan seksual terhadap anak, memberi efek jera terhadap pelaku, dan mencegah terjadinya kekerasan seksual terhadap anak. Bahwa penjatuhan tindakan kebiri kimia dibarengi dengan adanya pemasangan alat pendeteksi dan rehabilitasi bagi pelaku. Berdasarkan hal tersebut diketahui bahwa tujuan dari keberadaan Undang-</w:t>
      </w:r>
      <w:r w:rsidRPr="00BA394E">
        <w:rPr>
          <w:szCs w:val="24"/>
        </w:rPr>
        <w:lastRenderedPageBreak/>
        <w:t>Undang Nomor 17 Tahun 2016 adalah untuk merehabilitasi pelaku agar terdapat rasa jera dan guna mencegah terjadinya kembali kekerasan seksual terhadap anak.</w:t>
      </w:r>
      <w:r w:rsidRPr="00BA394E">
        <w:rPr>
          <w:rStyle w:val="FootnoteReference"/>
          <w:szCs w:val="24"/>
        </w:rPr>
        <w:footnoteReference w:id="32"/>
      </w:r>
    </w:p>
    <w:p w:rsidR="008866E4" w:rsidRPr="00BA394E" w:rsidRDefault="008866E4" w:rsidP="008866E4">
      <w:pPr>
        <w:pStyle w:val="BodyTextIndent"/>
        <w:tabs>
          <w:tab w:val="clear" w:pos="0"/>
        </w:tabs>
        <w:ind w:firstLine="709"/>
        <w:rPr>
          <w:szCs w:val="24"/>
        </w:rPr>
      </w:pPr>
      <w:r w:rsidRPr="00BA394E">
        <w:rPr>
          <w:szCs w:val="24"/>
        </w:rPr>
        <w:t>Kebiri kimia merupakan upaya untuk menurunkan kadar hormon testoteron laki-laki. Upaya ini berguna apabila diterapkan pada subjek yang memang tergolong sebagai seorang yang “sakit” dan perlu untuk diobati. Apabila kebiri kimia ini diterapkan pada orang yang sehat, maka tindakan ini bukan menjadi sarana rehabilitasi melainkan bersifat retributif. Menurut Penulis, keberadaan tindakan kebiri kimia bukan hanya sebagai suatu sanksi yang bertujuan rehabilitasi, namun memiliki tujuan sebagai pembalasan dan pertangguangjawaban atas tindak pidana yang telah dilakukan. Kedua hal tersebut merupakan suatu perpaduan dari tujuan pembalasan dan prevensi yang merupakan bagian dari teori gabungan atau teori integratif.</w:t>
      </w:r>
      <w:r w:rsidRPr="00BA394E">
        <w:rPr>
          <w:rStyle w:val="FootnoteReference"/>
          <w:szCs w:val="24"/>
        </w:rPr>
        <w:footnoteReference w:id="33"/>
      </w:r>
    </w:p>
    <w:p w:rsidR="008866E4" w:rsidRPr="00BA394E" w:rsidRDefault="008866E4" w:rsidP="008866E4">
      <w:pPr>
        <w:pStyle w:val="BodyTextIndent"/>
        <w:tabs>
          <w:tab w:val="clear" w:pos="0"/>
        </w:tabs>
        <w:ind w:firstLine="709"/>
        <w:rPr>
          <w:szCs w:val="24"/>
        </w:rPr>
      </w:pPr>
      <w:r w:rsidRPr="00BA394E">
        <w:rPr>
          <w:szCs w:val="24"/>
        </w:rPr>
        <w:t xml:space="preserve">Tindakan kebiri kimia memiliki tujuan rehabilitasi jika, dijatuhkan bagi pelaku yang menderita gangguan pedofilia, karena kebiri kimia dalam hal ini menyembuhkan penyakit dalam diri pelaku yang menyebabkan pelaku melakukan suatu pelanggaran hukum. Sedangkan bersifat punitif apabila kebiri kimia dijatuhkan bagi pelaku kekerasan seksual yang tidak menderita gangguan pedofilia. keberadaan kebiri kimia bagi orang yang tidak memiliki penyimpangan seksual menjadi suatu hal yang tidak memiliki manfaat dan hanya memberi rasa takut bagi pelaku. </w:t>
      </w:r>
    </w:p>
    <w:p w:rsidR="008866E4" w:rsidRPr="00BA394E" w:rsidRDefault="008866E4" w:rsidP="008866E4">
      <w:pPr>
        <w:pStyle w:val="BodyTextIndent"/>
        <w:tabs>
          <w:tab w:val="clear" w:pos="0"/>
        </w:tabs>
        <w:ind w:firstLine="709"/>
        <w:rPr>
          <w:szCs w:val="24"/>
        </w:rPr>
      </w:pPr>
      <w:r w:rsidRPr="00BA394E">
        <w:rPr>
          <w:szCs w:val="24"/>
        </w:rPr>
        <w:lastRenderedPageBreak/>
        <w:t>Berdasarkan hal tersebut, maka di dalam penjatuhan tindakan kebiri kimia terdapat dua tujuan pemidanaan yakni retributif dan rehabilitasi yang menurut penulis termasuk dalam teori pemidanaan integratif atau gabungan. Sanksi kebiri kimia bukan hanya menghukum pelaku, tapi juga untuk memulihkan dirinya, diantara tujuan-tujuan tersebut dilakukan dengan seimbang dan tidak berat sebeleh. Sehingga dapat dikatakan bahwa sanksi kebiri kimia mengandung teori pemidanaan integratif bentuk ketiga.</w:t>
      </w:r>
      <w:r w:rsidRPr="00BA394E">
        <w:rPr>
          <w:rStyle w:val="FootnoteReference"/>
          <w:szCs w:val="24"/>
        </w:rPr>
        <w:footnoteReference w:id="34"/>
      </w:r>
    </w:p>
    <w:p w:rsidR="008866E4" w:rsidRPr="00BA394E" w:rsidRDefault="008866E4" w:rsidP="008866E4">
      <w:pPr>
        <w:pStyle w:val="BodyTextIndent"/>
        <w:tabs>
          <w:tab w:val="clear" w:pos="0"/>
        </w:tabs>
        <w:ind w:firstLine="709"/>
        <w:rPr>
          <w:szCs w:val="24"/>
        </w:rPr>
      </w:pPr>
      <w:r w:rsidRPr="00BA394E">
        <w:rPr>
          <w:szCs w:val="24"/>
        </w:rPr>
        <w:t>Terkait dengan perumusan bentuk sanksi pidana maupun tindakan pada tahap legislasi, dalam prosesnya banyak dipengaruhi oleh konsep atau rancangan undang-undang yang diajukan ke lembaga legislatif tersebut.</w:t>
      </w:r>
      <w:r w:rsidRPr="00BA394E">
        <w:rPr>
          <w:rStyle w:val="FootnoteReference"/>
          <w:szCs w:val="24"/>
        </w:rPr>
        <w:footnoteReference w:id="35"/>
      </w:r>
      <w:r w:rsidRPr="00BA394E">
        <w:rPr>
          <w:szCs w:val="24"/>
        </w:rPr>
        <w:t xml:space="preserve"> Keberadaan tindakan kebiri kimia sebagai sanksi bagi pelaku kekerasan seksual terhadap anak tidak lepas dari peran KPAI. Dalam hal ini KPAI adalah pihak yang mengajukan kebiri kimia sebagai sanksi yang dapat dijatuhkan bagi pelaku kekerasan seksual terhadap anak.</w:t>
      </w:r>
    </w:p>
    <w:p w:rsidR="008866E4" w:rsidRPr="00BA394E" w:rsidRDefault="008866E4" w:rsidP="008866E4">
      <w:pPr>
        <w:pStyle w:val="BodyTextIndent"/>
        <w:tabs>
          <w:tab w:val="clear" w:pos="0"/>
        </w:tabs>
        <w:ind w:firstLine="709"/>
        <w:rPr>
          <w:szCs w:val="24"/>
        </w:rPr>
      </w:pPr>
      <w:r w:rsidRPr="00BA394E">
        <w:rPr>
          <w:szCs w:val="24"/>
        </w:rPr>
        <w:t>Pada dasarnya, keberadaan tindakan sebagai suatu sanksi pidana bertujuan untuk menyembuhkan pelaku kejahatan yang dianggap mengalami “penyakit”. Begitu pula dengan tindakan kebiri kimia yang diatur dalam Undang-Undang Nomor 17 Tahun 2016. Pelaku kejahatan seksual terhadap anak merupakan orang yang dianggap sakit sehingga ia melakukan suatu perbuatan tindak pidana berupa kekerasan seksual. Bentuk sanksi yang dijatuhkan tidak cukup hanya pidana (</w:t>
      </w:r>
      <w:r w:rsidRPr="00BA394E">
        <w:rPr>
          <w:i/>
          <w:iCs/>
          <w:szCs w:val="24"/>
        </w:rPr>
        <w:t>straf</w:t>
      </w:r>
      <w:r w:rsidRPr="00BA394E">
        <w:rPr>
          <w:szCs w:val="24"/>
        </w:rPr>
        <w:t xml:space="preserve">) yang berupa penjara saja, hal ini dikarenakan penyebab ia melakukan kejahatannya adalah karena ia sakit. Oleh karena itu, untuk mengatasi masalah </w:t>
      </w:r>
      <w:r w:rsidRPr="00BA394E">
        <w:rPr>
          <w:szCs w:val="24"/>
        </w:rPr>
        <w:lastRenderedPageBreak/>
        <w:t>dari akarnya, harus disembuhkan melalui tindakan sehingga, pelaku kejahatan seksual terhadap anak mendapat dua bentuk sanksi yakni pidana dan juga tindakan sebagai konsekuensi dari tindak pidana yang dilakukannya.</w:t>
      </w:r>
    </w:p>
    <w:p w:rsidR="008866E4" w:rsidRPr="00BA394E" w:rsidRDefault="008866E4" w:rsidP="008866E4">
      <w:pPr>
        <w:pStyle w:val="BodyTextIndent"/>
        <w:tabs>
          <w:tab w:val="clear" w:pos="0"/>
        </w:tabs>
        <w:ind w:firstLine="709"/>
        <w:rPr>
          <w:szCs w:val="24"/>
        </w:rPr>
      </w:pPr>
      <w:r w:rsidRPr="00BA394E">
        <w:rPr>
          <w:szCs w:val="24"/>
        </w:rPr>
        <w:t xml:space="preserve">Ketentuan sanksi atau hukuman yang dirumuskan dalam ketentuan Undang-Undang Nomor 17 Tahun 2016 tersebut menganut ketentuan </w:t>
      </w:r>
      <w:r w:rsidRPr="00BA394E">
        <w:rPr>
          <w:i/>
          <w:iCs/>
          <w:szCs w:val="24"/>
        </w:rPr>
        <w:t xml:space="preserve">double track system, </w:t>
      </w:r>
      <w:r w:rsidRPr="00BA394E">
        <w:rPr>
          <w:szCs w:val="24"/>
        </w:rPr>
        <w:t>yang menganulir ketentuan sanksi pidana dan tindakan dalam satu peraturan perundang-undangan, yaitu telah dirumuskannya sanksi pidana yang terdiri dari hukuman pokok dan hukuman tambahan dan ketentuan sanksi tindakan kepada pelaku kekerasan seksual terhadap anak. Sanksi pidana bersumber dari ide dasar mengapa diadakan pemidanaan, sedangkan sanksi tindakan bertolak dari ide dasar untuk apa diadakan pemidanaan itu. Sanksi pidana sesungguhnya bersifat reaktif terhadap suatu perbuatan, sedangkan sanksi tindakan lebih bersifat antisipatif terhadap pelaku perbuatan tersebut.Jika fokus sanksi pidana tertuju pada perbuatan salah seseorang lewat pengenaan penderitaan agar yang bersangkutan menjadi jera, sedangkan sanksi tindakan terarah pada upaya memberi pertolongan agar pelaku berubah.</w:t>
      </w:r>
    </w:p>
    <w:p w:rsidR="008866E4" w:rsidRPr="00BA394E" w:rsidRDefault="008866E4" w:rsidP="008866E4">
      <w:pPr>
        <w:pStyle w:val="BodyTextIndent"/>
        <w:tabs>
          <w:tab w:val="clear" w:pos="0"/>
        </w:tabs>
        <w:ind w:firstLine="709"/>
        <w:rPr>
          <w:szCs w:val="24"/>
        </w:rPr>
      </w:pPr>
      <w:r w:rsidRPr="00BA394E">
        <w:rPr>
          <w:szCs w:val="24"/>
        </w:rPr>
        <w:t xml:space="preserve">Berdasarkan tujuannya sanksi pidana dan sanksi tindakan juga bertolak dari ide dasar yang berbeda. Sanksi pidana bertujuan memberi penderitaan yang istimewa </w:t>
      </w:r>
      <w:r w:rsidRPr="00BA394E">
        <w:rPr>
          <w:i/>
          <w:iCs/>
          <w:szCs w:val="24"/>
        </w:rPr>
        <w:t xml:space="preserve">(bijzonder lead) </w:t>
      </w:r>
      <w:r w:rsidRPr="00BA394E">
        <w:rPr>
          <w:szCs w:val="24"/>
        </w:rPr>
        <w:t xml:space="preserve">kepada pelanggar supaya merasakan akibat perbuatannya. Selain ditujukan pada pengenaan penderitaan terhadap pelaku, sanksi pidana juga merupakan bentuk pernyataan pencelaan terhadap perbuatan pelaku. Dengan demikian, perbedaan prinsip antara sanksi pidana dengan sanksi </w:t>
      </w:r>
      <w:r w:rsidRPr="00BA394E">
        <w:rPr>
          <w:szCs w:val="24"/>
        </w:rPr>
        <w:lastRenderedPageBreak/>
        <w:t>tindakan terletak pada ada tidaknya unsur pencelaan, bukan pada ada tidaknya unsur penderitaan sedangkan sanksi tindakan tujuannya lebih bersifat mendidik.</w:t>
      </w:r>
      <w:r w:rsidRPr="00BA394E">
        <w:rPr>
          <w:rStyle w:val="FootnoteReference"/>
          <w:szCs w:val="24"/>
        </w:rPr>
        <w:footnoteReference w:id="36"/>
      </w:r>
    </w:p>
    <w:p w:rsidR="008866E4" w:rsidRPr="00BA394E" w:rsidRDefault="008866E4" w:rsidP="008866E4">
      <w:pPr>
        <w:pStyle w:val="BodyTextIndent"/>
        <w:tabs>
          <w:tab w:val="clear" w:pos="0"/>
        </w:tabs>
        <w:ind w:firstLine="709"/>
        <w:rPr>
          <w:szCs w:val="24"/>
        </w:rPr>
      </w:pPr>
      <w:r w:rsidRPr="00BA394E">
        <w:rPr>
          <w:szCs w:val="24"/>
        </w:rPr>
        <w:t>Pada hakikatnya antara pidana pokok, pidana tambahan dan pidana tindakan perbedaannya dapat dilihat melalui gradasi pidananya.Pidana pokok meruapakan pidana paling terberat dengan tujuan memberikan efek jera, seperti perampasan hak dasar berupa hak hidup (pidana mati), hak kebebasan (pidana penjara), dan hak milik (pidana denda).Sementara pidana tambahan yang tujuannya bermaksud memberikan penderitaan kepada pelaku, gradasi hukumnya lebih ringan dari hukuman pidana pokok, sebab lazimnya hanya merampas hak yang terkait dengan kepentingan Negara, tidak sampai menangguhkan hak yang sifatnya kodrati. Berbeda dengan pidana tindakan yang berpijak dari filosofi pemidanaan perawatan dan pemulihan terhadap pelaku kejahatan, sehingga tingkat pemidanaannya lebih ringan dari pidana tambahan. Pidana tindakan biasanya pelaku hanya diberikan pendidikan dan pengajaran melalui lembaga pembinaan pemerintah.</w:t>
      </w:r>
      <w:r w:rsidRPr="00BA394E">
        <w:rPr>
          <w:rStyle w:val="FootnoteReference"/>
          <w:szCs w:val="24"/>
        </w:rPr>
        <w:footnoteReference w:id="37"/>
      </w:r>
    </w:p>
    <w:p w:rsidR="008866E4" w:rsidRPr="00BA394E" w:rsidRDefault="008866E4" w:rsidP="008866E4">
      <w:pPr>
        <w:pStyle w:val="BodyTextIndent"/>
        <w:tabs>
          <w:tab w:val="clear" w:pos="0"/>
        </w:tabs>
        <w:ind w:firstLine="709"/>
        <w:rPr>
          <w:szCs w:val="24"/>
        </w:rPr>
      </w:pPr>
      <w:r w:rsidRPr="00BA394E">
        <w:rPr>
          <w:szCs w:val="24"/>
        </w:rPr>
        <w:t xml:space="preserve">Dalam konteks pidana kebiri, baik dari gradasi pidananya maupun metode pemidanaannya harus didapati bahwa pidana pokok telah menyimpangi prinsip pemidanaan. Pidana kebiri tiada lain sebagai perampasan hak fundamental berupa hak untuk berkeluarga serta bertentangan dengan filosofi pidana tindakan yaitu pelaku hanya diberikan pendidikan dan pengajaran, bukan pidana badan. Apabila pidana kebiri ditempatkan sebagai pidana tindakan, maka sama saja </w:t>
      </w:r>
      <w:r w:rsidRPr="00BA394E">
        <w:rPr>
          <w:szCs w:val="24"/>
        </w:rPr>
        <w:lastRenderedPageBreak/>
        <w:t>mengacaubalaukan filosofi pemidanaan antara bermaksud memberikan efek jera atau hendak memulihkan sikap dan keadaan mental pelaku.</w:t>
      </w:r>
    </w:p>
    <w:p w:rsidR="008866E4" w:rsidRPr="00BA394E" w:rsidRDefault="008866E4" w:rsidP="008866E4">
      <w:pPr>
        <w:pStyle w:val="BodyTextIndent"/>
        <w:tabs>
          <w:tab w:val="clear" w:pos="0"/>
        </w:tabs>
        <w:ind w:firstLine="709"/>
        <w:rPr>
          <w:szCs w:val="24"/>
        </w:rPr>
      </w:pPr>
      <w:r w:rsidRPr="00BA394E">
        <w:rPr>
          <w:szCs w:val="24"/>
        </w:rPr>
        <w:t>Kategori Sanksi atau hukuman kebiri kimia sebagaimana yang dirumuskan dalam ketentuan Pasal 81 Ayat (7) Undang-Undang No. 17 Tahun 2016 dikenakan terhadap pelaku kekerasan seksual terhadap anak yaitu :</w:t>
      </w:r>
    </w:p>
    <w:p w:rsidR="008866E4" w:rsidRPr="00BA394E" w:rsidRDefault="008866E4" w:rsidP="008866E4">
      <w:pPr>
        <w:pStyle w:val="BodyTextIndent"/>
        <w:numPr>
          <w:ilvl w:val="6"/>
          <w:numId w:val="43"/>
        </w:numPr>
        <w:tabs>
          <w:tab w:val="clear" w:pos="0"/>
          <w:tab w:val="clear" w:pos="5040"/>
          <w:tab w:val="num" w:pos="360"/>
        </w:tabs>
        <w:ind w:left="360"/>
        <w:rPr>
          <w:szCs w:val="24"/>
        </w:rPr>
      </w:pPr>
      <w:r w:rsidRPr="00BA394E">
        <w:rPr>
          <w:color w:val="000000"/>
          <w:szCs w:val="24"/>
        </w:rPr>
        <w:t>Orang tua, wali, orang-orang yang mempunyai hubungan keluarga, pengasuh anak, pendidik, tenaga kependidikan, aparat yang menangani perlindungan anak.</w:t>
      </w:r>
    </w:p>
    <w:p w:rsidR="008866E4" w:rsidRPr="00BA394E" w:rsidRDefault="008866E4" w:rsidP="008866E4">
      <w:pPr>
        <w:pStyle w:val="BodyTextIndent"/>
        <w:numPr>
          <w:ilvl w:val="6"/>
          <w:numId w:val="43"/>
        </w:numPr>
        <w:tabs>
          <w:tab w:val="clear" w:pos="0"/>
          <w:tab w:val="clear" w:pos="5040"/>
          <w:tab w:val="num" w:pos="360"/>
        </w:tabs>
        <w:ind w:left="360"/>
        <w:rPr>
          <w:szCs w:val="24"/>
        </w:rPr>
      </w:pPr>
      <w:r w:rsidRPr="00BA394E">
        <w:rPr>
          <w:color w:val="000000"/>
          <w:szCs w:val="24"/>
        </w:rPr>
        <w:t xml:space="preserve">Pelaku yang pernah dipidana karena melakukan tindak pidana kekerasan seksual terhadap anak (residivis) </w:t>
      </w:r>
    </w:p>
    <w:p w:rsidR="008866E4" w:rsidRPr="00BA394E" w:rsidRDefault="008866E4" w:rsidP="008866E4">
      <w:pPr>
        <w:pStyle w:val="BodyTextIndent"/>
        <w:numPr>
          <w:ilvl w:val="6"/>
          <w:numId w:val="43"/>
        </w:numPr>
        <w:tabs>
          <w:tab w:val="clear" w:pos="0"/>
          <w:tab w:val="clear" w:pos="5040"/>
          <w:tab w:val="num" w:pos="360"/>
        </w:tabs>
        <w:ind w:left="360"/>
        <w:rPr>
          <w:szCs w:val="24"/>
        </w:rPr>
      </w:pPr>
      <w:r w:rsidRPr="00BA394E">
        <w:rPr>
          <w:color w:val="000000"/>
          <w:szCs w:val="24"/>
        </w:rPr>
        <w:t xml:space="preserve">Pelaku yang menimbulkan korban lebih dari satu orang, yang mengakibatkan luka berat, gangguan jiwa, penyakit menular, terganggu atau hilangnya fungsi reproduksi, dan/atau korban meninggal dunia. </w:t>
      </w:r>
    </w:p>
    <w:p w:rsidR="008866E4" w:rsidRPr="00BA394E" w:rsidRDefault="008866E4" w:rsidP="008866E4">
      <w:pPr>
        <w:pStyle w:val="BodyTextIndent"/>
        <w:tabs>
          <w:tab w:val="clear" w:pos="0"/>
        </w:tabs>
        <w:ind w:firstLine="709"/>
        <w:rPr>
          <w:szCs w:val="24"/>
        </w:rPr>
      </w:pPr>
      <w:r w:rsidRPr="00BA394E">
        <w:rPr>
          <w:szCs w:val="24"/>
        </w:rPr>
        <w:t xml:space="preserve">Undang-Undang No. 17 Tahun 2016 sepanjang berkaitan dengan hukuman kastrasi telah menghidupkan kembali teori pidana klasik dimana hukuman dimaksudkan sebagai sarana pembalasan, yakni kejahatan dibalas kejahatan pula. Implisit di dalam konsep itu mendukung nuansa apa yang disebut oleh Hobbes dengan </w:t>
      </w:r>
      <w:r w:rsidRPr="00BA394E">
        <w:rPr>
          <w:i/>
          <w:iCs/>
          <w:szCs w:val="24"/>
        </w:rPr>
        <w:t xml:space="preserve">homo homini lupus, </w:t>
      </w:r>
      <w:r w:rsidRPr="00BA394E">
        <w:rPr>
          <w:szCs w:val="24"/>
        </w:rPr>
        <w:t>yang konsekuensinya manusia yang satu merupakan ancaman bagi manusia yang lain. Untuk menghilangkan ancaman itu, si pengancam harus dibinasakan.</w:t>
      </w:r>
      <w:r w:rsidRPr="00BA394E">
        <w:rPr>
          <w:rStyle w:val="FootnoteReference"/>
          <w:szCs w:val="24"/>
        </w:rPr>
        <w:footnoteReference w:id="38"/>
      </w:r>
    </w:p>
    <w:p w:rsidR="008866E4" w:rsidRPr="00BA394E" w:rsidRDefault="008866E4" w:rsidP="008866E4">
      <w:pPr>
        <w:pStyle w:val="BodyTextIndent"/>
        <w:tabs>
          <w:tab w:val="clear" w:pos="0"/>
        </w:tabs>
        <w:ind w:firstLine="709"/>
        <w:rPr>
          <w:szCs w:val="24"/>
        </w:rPr>
      </w:pPr>
      <w:r w:rsidRPr="00BA394E">
        <w:rPr>
          <w:szCs w:val="24"/>
        </w:rPr>
        <w:lastRenderedPageBreak/>
        <w:t xml:space="preserve">Sanksi atau hukuman kebiri kimia </w:t>
      </w:r>
      <w:r w:rsidRPr="00BA394E">
        <w:rPr>
          <w:i/>
          <w:iCs/>
          <w:szCs w:val="24"/>
        </w:rPr>
        <w:t xml:space="preserve">(chemical castration) </w:t>
      </w:r>
      <w:r w:rsidRPr="00BA394E">
        <w:rPr>
          <w:szCs w:val="24"/>
        </w:rPr>
        <w:t>yang dirumuskan dalam ketentuan Pasal 81 Ayat (7) Undang-Undang No. 17 Tahun 2016 yang dirumuskan sebagai tindakan kepada pelaku tindak pidana kekerasan seksual pada anak merupakan politik hukum pemerintah yang dalam hal ini yaitu politik hukum Presiden dalam merespon maraknya atau tingginya kasus kekerasan seksual yang terjadi pada anak di Indonesia.</w:t>
      </w:r>
    </w:p>
    <w:p w:rsidR="008866E4" w:rsidRPr="00BA394E" w:rsidRDefault="008866E4" w:rsidP="008866E4">
      <w:pPr>
        <w:pStyle w:val="BodyTextIndent"/>
        <w:tabs>
          <w:tab w:val="clear" w:pos="0"/>
          <w:tab w:val="left" w:leader="dot" w:pos="7088"/>
          <w:tab w:val="center" w:pos="7797"/>
        </w:tabs>
        <w:jc w:val="center"/>
        <w:rPr>
          <w:b/>
          <w:szCs w:val="24"/>
        </w:rPr>
      </w:pPr>
    </w:p>
    <w:p w:rsidR="008866E4" w:rsidRPr="00BA394E" w:rsidRDefault="008866E4" w:rsidP="008866E4">
      <w:pPr>
        <w:numPr>
          <w:ilvl w:val="2"/>
          <w:numId w:val="42"/>
        </w:numPr>
        <w:tabs>
          <w:tab w:val="clear" w:pos="2625"/>
          <w:tab w:val="num" w:pos="426"/>
        </w:tabs>
        <w:autoSpaceDE w:val="0"/>
        <w:autoSpaceDN w:val="0"/>
        <w:adjustRightInd w:val="0"/>
        <w:spacing w:line="480" w:lineRule="auto"/>
        <w:ind w:left="426" w:hanging="426"/>
        <w:jc w:val="both"/>
        <w:rPr>
          <w:b/>
          <w:color w:val="000000"/>
        </w:rPr>
      </w:pPr>
      <w:r w:rsidRPr="00BA394E">
        <w:rPr>
          <w:b/>
          <w:color w:val="000000"/>
        </w:rPr>
        <w:t xml:space="preserve">Kebijakan Hukum Pidana Indonesia </w:t>
      </w:r>
    </w:p>
    <w:p w:rsidR="008866E4" w:rsidRPr="00BA394E" w:rsidRDefault="008866E4" w:rsidP="008866E4">
      <w:pPr>
        <w:autoSpaceDE w:val="0"/>
        <w:autoSpaceDN w:val="0"/>
        <w:adjustRightInd w:val="0"/>
        <w:spacing w:line="480" w:lineRule="auto"/>
        <w:ind w:left="360"/>
        <w:jc w:val="both"/>
        <w:rPr>
          <w:b/>
          <w:color w:val="000000"/>
        </w:rPr>
      </w:pPr>
    </w:p>
    <w:p w:rsidR="008866E4" w:rsidRPr="00BA394E" w:rsidRDefault="008866E4" w:rsidP="008866E4">
      <w:pPr>
        <w:pStyle w:val="BodyText"/>
        <w:tabs>
          <w:tab w:val="clear" w:pos="709"/>
        </w:tabs>
        <w:ind w:firstLine="720"/>
        <w:rPr>
          <w:rFonts w:ascii="Times New Roman" w:hAnsi="Times New Roman"/>
          <w:b/>
          <w:szCs w:val="24"/>
        </w:rPr>
      </w:pPr>
      <w:r w:rsidRPr="00BA394E">
        <w:rPr>
          <w:rFonts w:ascii="Times New Roman" w:hAnsi="Times New Roman"/>
          <w:szCs w:val="24"/>
        </w:rPr>
        <w:t>Istilah kebijakan berasal dari istilah “</w:t>
      </w:r>
      <w:r w:rsidRPr="00BA394E">
        <w:rPr>
          <w:rFonts w:ascii="Times New Roman" w:hAnsi="Times New Roman"/>
          <w:i/>
          <w:iCs/>
          <w:szCs w:val="24"/>
        </w:rPr>
        <w:t>policy</w:t>
      </w:r>
      <w:r w:rsidRPr="00BA394E">
        <w:rPr>
          <w:rFonts w:ascii="Times New Roman" w:hAnsi="Times New Roman"/>
          <w:szCs w:val="24"/>
        </w:rPr>
        <w:t>” (Inggris) atau “</w:t>
      </w:r>
      <w:r w:rsidRPr="00BA394E">
        <w:rPr>
          <w:rFonts w:ascii="Times New Roman" w:hAnsi="Times New Roman"/>
          <w:i/>
          <w:iCs/>
          <w:szCs w:val="24"/>
        </w:rPr>
        <w:t>politiek</w:t>
      </w:r>
      <w:r w:rsidRPr="00BA394E">
        <w:rPr>
          <w:rFonts w:ascii="Times New Roman" w:hAnsi="Times New Roman"/>
          <w:szCs w:val="24"/>
        </w:rPr>
        <w:t>” (Belanda). Bertolak dari kedua istilah asing ini, maka istilah “kebijakan hukum pidana” dapat pula disebut dengan istilah politik hukum pidana. Istilah politik hukum pidana ini, dalam kepustakaan asing selalu dikenal dengan berbagai istilah antara lain “</w:t>
      </w:r>
      <w:r w:rsidRPr="00BA394E">
        <w:rPr>
          <w:rFonts w:ascii="Times New Roman" w:hAnsi="Times New Roman"/>
          <w:i/>
          <w:iCs/>
          <w:szCs w:val="24"/>
        </w:rPr>
        <w:t>penal policy</w:t>
      </w:r>
      <w:r w:rsidRPr="00BA394E">
        <w:rPr>
          <w:rFonts w:ascii="Times New Roman" w:hAnsi="Times New Roman"/>
          <w:szCs w:val="24"/>
        </w:rPr>
        <w:t>”, “</w:t>
      </w:r>
      <w:r w:rsidRPr="00BA394E">
        <w:rPr>
          <w:rFonts w:ascii="Times New Roman" w:hAnsi="Times New Roman"/>
          <w:i/>
          <w:iCs/>
          <w:szCs w:val="24"/>
        </w:rPr>
        <w:t>criminal law policy</w:t>
      </w:r>
      <w:r w:rsidRPr="00BA394E">
        <w:rPr>
          <w:rFonts w:ascii="Times New Roman" w:hAnsi="Times New Roman"/>
          <w:szCs w:val="24"/>
        </w:rPr>
        <w:t>”, atau “</w:t>
      </w:r>
      <w:r w:rsidRPr="00BA394E">
        <w:rPr>
          <w:rFonts w:ascii="Times New Roman" w:hAnsi="Times New Roman"/>
          <w:i/>
          <w:iCs/>
          <w:szCs w:val="24"/>
        </w:rPr>
        <w:t>strafrechtspolitiek</w:t>
      </w:r>
      <w:r w:rsidRPr="00BA394E">
        <w:rPr>
          <w:rFonts w:ascii="Times New Roman" w:hAnsi="Times New Roman"/>
          <w:szCs w:val="24"/>
        </w:rPr>
        <w:t>”.</w:t>
      </w:r>
      <w:r w:rsidRPr="00BA394E">
        <w:rPr>
          <w:rFonts w:ascii="Times New Roman" w:hAnsi="Times New Roman"/>
          <w:b/>
          <w:szCs w:val="24"/>
        </w:rPr>
        <w:t xml:space="preserve"> </w:t>
      </w:r>
      <w:r w:rsidRPr="00BA394E">
        <w:rPr>
          <w:rStyle w:val="FootnoteReference"/>
          <w:rFonts w:ascii="Times New Roman" w:hAnsi="Times New Roman"/>
          <w:szCs w:val="24"/>
        </w:rPr>
        <w:footnoteReference w:id="39"/>
      </w:r>
    </w:p>
    <w:p w:rsidR="008866E4" w:rsidRPr="00BA394E" w:rsidRDefault="008866E4" w:rsidP="008866E4">
      <w:pPr>
        <w:pStyle w:val="BodyText"/>
        <w:tabs>
          <w:tab w:val="clear" w:pos="709"/>
        </w:tabs>
        <w:ind w:firstLine="720"/>
        <w:rPr>
          <w:rFonts w:ascii="Times New Roman" w:hAnsi="Times New Roman"/>
          <w:color w:val="000000"/>
          <w:szCs w:val="24"/>
        </w:rPr>
      </w:pPr>
      <w:r w:rsidRPr="00BA394E">
        <w:rPr>
          <w:rFonts w:ascii="Times New Roman" w:hAnsi="Times New Roman"/>
          <w:color w:val="000000"/>
          <w:szCs w:val="24"/>
        </w:rPr>
        <w:t>Kebijakan atau politik kriminal mempunyai arti:</w:t>
      </w:r>
    </w:p>
    <w:p w:rsidR="008866E4" w:rsidRPr="00BA394E" w:rsidRDefault="008866E4" w:rsidP="008866E4">
      <w:pPr>
        <w:pStyle w:val="BodyText"/>
        <w:numPr>
          <w:ilvl w:val="1"/>
          <w:numId w:val="14"/>
        </w:numPr>
        <w:tabs>
          <w:tab w:val="clear" w:pos="709"/>
        </w:tabs>
        <w:ind w:left="1080"/>
        <w:rPr>
          <w:rFonts w:ascii="Times New Roman" w:hAnsi="Times New Roman"/>
          <w:color w:val="000000"/>
          <w:szCs w:val="24"/>
        </w:rPr>
      </w:pPr>
      <w:r w:rsidRPr="00BA394E">
        <w:rPr>
          <w:rFonts w:ascii="Times New Roman" w:hAnsi="Times New Roman"/>
          <w:color w:val="000000"/>
          <w:szCs w:val="24"/>
        </w:rPr>
        <w:t>Dalam arti sempit adalah keseluruhan asas dan metode yang menjadi dasar dari reaksi terhadap pelanggaran hukum yang berupa pidana;</w:t>
      </w:r>
    </w:p>
    <w:p w:rsidR="008866E4" w:rsidRPr="00BA394E" w:rsidRDefault="008866E4" w:rsidP="008866E4">
      <w:pPr>
        <w:pStyle w:val="BodyText"/>
        <w:numPr>
          <w:ilvl w:val="1"/>
          <w:numId w:val="14"/>
        </w:numPr>
        <w:tabs>
          <w:tab w:val="clear" w:pos="709"/>
        </w:tabs>
        <w:ind w:left="1080"/>
        <w:rPr>
          <w:rFonts w:ascii="Times New Roman" w:hAnsi="Times New Roman"/>
          <w:color w:val="000000"/>
          <w:szCs w:val="24"/>
        </w:rPr>
      </w:pPr>
      <w:r w:rsidRPr="00BA394E">
        <w:rPr>
          <w:rFonts w:ascii="Times New Roman" w:hAnsi="Times New Roman"/>
          <w:color w:val="000000"/>
          <w:szCs w:val="24"/>
        </w:rPr>
        <w:t>Dalam arti luas ialah keseluruhan fungsi dari aparatur penegak hukum, termasuk di dalamnya cara kerja dari pengadilan dan polisi;</w:t>
      </w:r>
    </w:p>
    <w:p w:rsidR="008866E4" w:rsidRPr="00BA394E" w:rsidRDefault="008866E4" w:rsidP="008866E4">
      <w:pPr>
        <w:pStyle w:val="BodyText"/>
        <w:numPr>
          <w:ilvl w:val="1"/>
          <w:numId w:val="14"/>
        </w:numPr>
        <w:tabs>
          <w:tab w:val="clear" w:pos="709"/>
        </w:tabs>
        <w:ind w:left="1080"/>
        <w:rPr>
          <w:rFonts w:ascii="Times New Roman" w:hAnsi="Times New Roman"/>
          <w:color w:val="000000"/>
          <w:szCs w:val="24"/>
        </w:rPr>
      </w:pPr>
      <w:r w:rsidRPr="00BA394E">
        <w:rPr>
          <w:rFonts w:ascii="Times New Roman" w:hAnsi="Times New Roman"/>
          <w:color w:val="000000"/>
          <w:szCs w:val="24"/>
        </w:rPr>
        <w:lastRenderedPageBreak/>
        <w:t>Dalam arti paling luas ialah keseluruhan kebijakan yang dilakukan melalui perundang-undangan dan badan-badan resmi yang bertujuan untuk menegakkan norma-norma sentral dari masyarakat.</w:t>
      </w:r>
      <w:r w:rsidRPr="00BA394E">
        <w:rPr>
          <w:rStyle w:val="FootnoteReference"/>
          <w:rFonts w:ascii="Times New Roman" w:hAnsi="Times New Roman"/>
          <w:color w:val="000000"/>
          <w:szCs w:val="24"/>
        </w:rPr>
        <w:footnoteReference w:id="40"/>
      </w:r>
    </w:p>
    <w:p w:rsidR="008866E4" w:rsidRPr="00BA394E" w:rsidRDefault="008866E4" w:rsidP="008866E4">
      <w:pPr>
        <w:pStyle w:val="BodyText"/>
        <w:tabs>
          <w:tab w:val="clear" w:pos="709"/>
        </w:tabs>
        <w:rPr>
          <w:rFonts w:ascii="Times New Roman" w:hAnsi="Times New Roman"/>
          <w:color w:val="000000"/>
          <w:szCs w:val="24"/>
        </w:rPr>
      </w:pPr>
    </w:p>
    <w:p w:rsidR="008866E4" w:rsidRPr="00BA394E" w:rsidRDefault="008866E4" w:rsidP="008866E4">
      <w:pPr>
        <w:pStyle w:val="BodyText"/>
        <w:tabs>
          <w:tab w:val="clear" w:pos="709"/>
        </w:tabs>
        <w:ind w:firstLine="720"/>
        <w:rPr>
          <w:rFonts w:ascii="Times New Roman" w:hAnsi="Times New Roman"/>
          <w:color w:val="000000"/>
          <w:szCs w:val="24"/>
        </w:rPr>
      </w:pPr>
      <w:r w:rsidRPr="00BA394E">
        <w:rPr>
          <w:rFonts w:ascii="Times New Roman" w:hAnsi="Times New Roman"/>
          <w:color w:val="000000"/>
          <w:szCs w:val="24"/>
        </w:rPr>
        <w:t xml:space="preserve">Kebijakan hukum yang akan atau telah dilaksanakan secara nasional oleh pemerintah; mencakup pula pengertian tentang bagaimana politik mempengaruhi hukum dengan cara melihat konfigurasi kekuatan yang ada di belakang pembuatan dan penegakan hukum itu. Disini hukum tidak. dapat hanya dipandang sebagai pasal-pasal yang bersifat </w:t>
      </w:r>
      <w:r w:rsidRPr="00BA394E">
        <w:rPr>
          <w:rFonts w:ascii="Times New Roman" w:hAnsi="Times New Roman"/>
          <w:i/>
          <w:color w:val="000000"/>
          <w:szCs w:val="24"/>
        </w:rPr>
        <w:t>imperatif</w:t>
      </w:r>
      <w:r w:rsidRPr="00BA394E">
        <w:rPr>
          <w:rFonts w:ascii="Times New Roman" w:hAnsi="Times New Roman"/>
          <w:color w:val="000000"/>
          <w:szCs w:val="24"/>
        </w:rPr>
        <w:t xml:space="preserve"> atau keharusan-keharusan, melainkan harus dipandang sebagai subsistem yang dalam kenyataan bukan tidak mungkin sangat ditentukan oleh politik, baik dalam perumusan materi dan pasal-pasalnya maupun dalam implementasi dan penegakannya.</w:t>
      </w:r>
    </w:p>
    <w:p w:rsidR="008866E4" w:rsidRPr="00BA394E" w:rsidRDefault="008866E4" w:rsidP="008866E4">
      <w:pPr>
        <w:pStyle w:val="BodyText"/>
        <w:tabs>
          <w:tab w:val="clear" w:pos="709"/>
        </w:tabs>
        <w:ind w:firstLine="720"/>
        <w:rPr>
          <w:rFonts w:ascii="Times New Roman" w:hAnsi="Times New Roman"/>
          <w:b/>
          <w:color w:val="000000"/>
          <w:szCs w:val="24"/>
        </w:rPr>
      </w:pPr>
      <w:r w:rsidRPr="00BA394E">
        <w:rPr>
          <w:rFonts w:ascii="Times New Roman" w:hAnsi="Times New Roman"/>
          <w:color w:val="000000"/>
          <w:szCs w:val="24"/>
        </w:rPr>
        <w:t>Kebijakan kriminalisasi diartikan sebagai proses penentuan suatu perbuatan yang dapat dipidana atau dilarang. Menentukan</w:t>
      </w:r>
      <w:r w:rsidRPr="00BA394E">
        <w:rPr>
          <w:rStyle w:val="FootnoteReference"/>
          <w:rFonts w:ascii="Times New Roman" w:hAnsi="Times New Roman"/>
          <w:color w:val="000000"/>
          <w:szCs w:val="24"/>
        </w:rPr>
        <w:t xml:space="preserve"> </w:t>
      </w:r>
      <w:r w:rsidRPr="00BA394E">
        <w:rPr>
          <w:rFonts w:ascii="Times New Roman" w:hAnsi="Times New Roman"/>
          <w:color w:val="000000"/>
          <w:szCs w:val="24"/>
        </w:rPr>
        <w:t xml:space="preserve"> suatu tindak pidana digunakan kebijakan hukum pidana atau </w:t>
      </w:r>
      <w:r w:rsidRPr="00BA394E">
        <w:rPr>
          <w:rFonts w:ascii="Times New Roman" w:hAnsi="Times New Roman"/>
          <w:i/>
          <w:color w:val="000000"/>
          <w:szCs w:val="24"/>
        </w:rPr>
        <w:t xml:space="preserve"> penal policy.</w:t>
      </w:r>
      <w:r w:rsidRPr="00BA394E">
        <w:rPr>
          <w:rFonts w:ascii="Times New Roman" w:hAnsi="Times New Roman"/>
          <w:color w:val="000000"/>
          <w:szCs w:val="24"/>
        </w:rPr>
        <w:t xml:space="preserve"> Melaksanakan politik hukum pidana berarti mengadakan pemilihan untuk mencapai hasil perundang-undangan pidana yang paling baik dalam arti memenuhi syarat keadilan dan daya guna atau usaha mewujudkan peraturan perundang-undangan pidana yang sesuai dengan keadaan dan situasi pada suatu waktu dan untuk masa-masa yang akan datang.</w:t>
      </w:r>
    </w:p>
    <w:p w:rsidR="008866E4" w:rsidRPr="00BA394E" w:rsidRDefault="008866E4" w:rsidP="008866E4">
      <w:pPr>
        <w:pStyle w:val="BodyText"/>
        <w:tabs>
          <w:tab w:val="clear" w:pos="709"/>
        </w:tabs>
        <w:ind w:firstLine="720"/>
        <w:rPr>
          <w:rFonts w:ascii="Times New Roman" w:hAnsi="Times New Roman"/>
          <w:color w:val="000000"/>
          <w:szCs w:val="24"/>
        </w:rPr>
      </w:pPr>
      <w:r w:rsidRPr="00BA394E">
        <w:rPr>
          <w:rFonts w:ascii="Times New Roman" w:hAnsi="Times New Roman"/>
          <w:color w:val="000000"/>
          <w:szCs w:val="24"/>
        </w:rPr>
        <w:t xml:space="preserve">Menurut Barda Nawawi Arief bahwa kebijakan atau upaya penanggulangan kejahatan pada hakikatnya merupakan untukan integral dari </w:t>
      </w:r>
      <w:r w:rsidRPr="00BA394E">
        <w:rPr>
          <w:rFonts w:ascii="Times New Roman" w:hAnsi="Times New Roman"/>
          <w:color w:val="000000"/>
          <w:szCs w:val="24"/>
        </w:rPr>
        <w:lastRenderedPageBreak/>
        <w:t xml:space="preserve">upaya perlindungan masyarakat </w:t>
      </w:r>
      <w:r w:rsidRPr="00BA394E">
        <w:rPr>
          <w:rFonts w:ascii="Times New Roman" w:hAnsi="Times New Roman"/>
          <w:i/>
          <w:color w:val="000000"/>
          <w:szCs w:val="24"/>
        </w:rPr>
        <w:t>(social defence)</w:t>
      </w:r>
      <w:r w:rsidRPr="00BA394E">
        <w:rPr>
          <w:rFonts w:ascii="Times New Roman" w:hAnsi="Times New Roman"/>
          <w:color w:val="000000"/>
          <w:szCs w:val="24"/>
        </w:rPr>
        <w:t xml:space="preserve"> dan upaya mencapai mencapai kesejahteraan masyarakat </w:t>
      </w:r>
      <w:r w:rsidRPr="00BA394E">
        <w:rPr>
          <w:rFonts w:ascii="Times New Roman" w:hAnsi="Times New Roman"/>
          <w:i/>
          <w:color w:val="000000"/>
          <w:szCs w:val="24"/>
        </w:rPr>
        <w:t>(social welfare)</w:t>
      </w:r>
      <w:r w:rsidRPr="00BA394E">
        <w:rPr>
          <w:rFonts w:ascii="Times New Roman" w:hAnsi="Times New Roman"/>
          <w:color w:val="000000"/>
          <w:szCs w:val="24"/>
        </w:rPr>
        <w:t>.</w:t>
      </w:r>
      <w:r w:rsidRPr="00BA394E">
        <w:rPr>
          <w:rStyle w:val="FootnoteReference"/>
          <w:rFonts w:ascii="Times New Roman" w:hAnsi="Times New Roman"/>
          <w:color w:val="000000"/>
          <w:szCs w:val="24"/>
        </w:rPr>
        <w:footnoteReference w:id="41"/>
      </w:r>
      <w:r w:rsidRPr="00BA394E">
        <w:rPr>
          <w:rFonts w:ascii="Times New Roman" w:hAnsi="Times New Roman"/>
          <w:color w:val="000000"/>
          <w:szCs w:val="24"/>
        </w:rPr>
        <w:t xml:space="preserve"> Tujuan akhir atau tujuan utama politik kriminal adalah perlindungan masyarakat untuk mencapai kesejahteraan masyarakat.</w:t>
      </w:r>
    </w:p>
    <w:p w:rsidR="008866E4" w:rsidRPr="00BA394E" w:rsidRDefault="008866E4" w:rsidP="008866E4">
      <w:pPr>
        <w:pStyle w:val="BodyText"/>
        <w:tabs>
          <w:tab w:val="clear" w:pos="709"/>
        </w:tabs>
        <w:ind w:firstLine="720"/>
        <w:rPr>
          <w:rFonts w:ascii="Times New Roman" w:hAnsi="Times New Roman"/>
          <w:szCs w:val="24"/>
        </w:rPr>
      </w:pPr>
      <w:r w:rsidRPr="00BA394E">
        <w:rPr>
          <w:rFonts w:ascii="Times New Roman" w:hAnsi="Times New Roman"/>
          <w:szCs w:val="24"/>
        </w:rPr>
        <w:t>Menurut Barda Nawawi Arief, politik hukum adalah:</w:t>
      </w:r>
    </w:p>
    <w:p w:rsidR="008866E4" w:rsidRPr="00BA394E" w:rsidRDefault="008866E4" w:rsidP="008866E4">
      <w:pPr>
        <w:pStyle w:val="BodyText"/>
        <w:numPr>
          <w:ilvl w:val="3"/>
          <w:numId w:val="14"/>
        </w:numPr>
        <w:tabs>
          <w:tab w:val="clear" w:pos="709"/>
        </w:tabs>
        <w:autoSpaceDE w:val="0"/>
        <w:autoSpaceDN w:val="0"/>
        <w:adjustRightInd w:val="0"/>
        <w:ind w:left="1080"/>
        <w:rPr>
          <w:rFonts w:ascii="Times New Roman" w:hAnsi="Times New Roman"/>
          <w:szCs w:val="24"/>
        </w:rPr>
      </w:pPr>
      <w:r w:rsidRPr="00BA394E">
        <w:rPr>
          <w:rFonts w:ascii="Times New Roman" w:hAnsi="Times New Roman"/>
          <w:szCs w:val="24"/>
        </w:rPr>
        <w:t>Usaha untuk mewujudkan peraturan-peraturan yang baik sesuai dengan keadaan dan situasi suatu saat.</w:t>
      </w:r>
    </w:p>
    <w:p w:rsidR="008866E4" w:rsidRPr="00BA394E" w:rsidRDefault="008866E4" w:rsidP="008866E4">
      <w:pPr>
        <w:pStyle w:val="BodyText"/>
        <w:numPr>
          <w:ilvl w:val="3"/>
          <w:numId w:val="14"/>
        </w:numPr>
        <w:tabs>
          <w:tab w:val="clear" w:pos="709"/>
        </w:tabs>
        <w:autoSpaceDE w:val="0"/>
        <w:autoSpaceDN w:val="0"/>
        <w:adjustRightInd w:val="0"/>
        <w:ind w:left="1080"/>
        <w:rPr>
          <w:rFonts w:ascii="Times New Roman" w:hAnsi="Times New Roman"/>
          <w:szCs w:val="24"/>
        </w:rPr>
      </w:pPr>
      <w:r w:rsidRPr="00BA394E">
        <w:rPr>
          <w:rFonts w:ascii="Times New Roman" w:hAnsi="Times New Roman"/>
          <w:szCs w:val="24"/>
        </w:rPr>
        <w:t>Kebijakan dari negara melalui badan-badan yang berwenang untuk menetapkan peraturan-peraturan yang dikehendaki yang diperkirakan bisa digunakan untuk mengekspresikan apa yang terkandung dalam masyarakat dan untuk mencapai apa yang dicita-citakan.</w:t>
      </w:r>
      <w:r w:rsidRPr="00BA394E">
        <w:rPr>
          <w:rStyle w:val="FootnoteReference"/>
          <w:rFonts w:ascii="Times New Roman" w:hAnsi="Times New Roman"/>
          <w:szCs w:val="24"/>
        </w:rPr>
        <w:footnoteReference w:id="42"/>
      </w:r>
    </w:p>
    <w:p w:rsidR="008866E4" w:rsidRPr="00BA394E" w:rsidRDefault="008866E4" w:rsidP="008866E4">
      <w:pPr>
        <w:pStyle w:val="BodyText"/>
        <w:tabs>
          <w:tab w:val="clear" w:pos="709"/>
        </w:tabs>
        <w:ind w:firstLine="720"/>
        <w:rPr>
          <w:rFonts w:ascii="Times New Roman" w:hAnsi="Times New Roman"/>
          <w:color w:val="000000"/>
          <w:szCs w:val="24"/>
        </w:rPr>
      </w:pPr>
    </w:p>
    <w:p w:rsidR="008866E4" w:rsidRPr="00BA394E" w:rsidRDefault="008866E4" w:rsidP="008866E4">
      <w:pPr>
        <w:autoSpaceDE w:val="0"/>
        <w:autoSpaceDN w:val="0"/>
        <w:adjustRightInd w:val="0"/>
        <w:spacing w:line="480" w:lineRule="auto"/>
        <w:ind w:firstLine="709"/>
        <w:jc w:val="both"/>
        <w:rPr>
          <w:color w:val="000000"/>
        </w:rPr>
      </w:pPr>
      <w:r w:rsidRPr="00BA394E">
        <w:rPr>
          <w:color w:val="000000"/>
        </w:rPr>
        <w:t>Menurut dari pengertian di atas bahwa melaksanakan politik hukum pidana berarti mengadakan pemilihan untuk mencapai hasil peraturan perundang-undangan pidana yang paling baik dalam arti memenuhi syarat keadilan dan daya guna. Melaksanakan politik hukum pidana berarti usaha mewujudkan peraturan perundang-undangan pidana yang sesuai dengan keadaan dan situasi pada suatu waktu dan untuk masa-masa yang akan datang.</w:t>
      </w:r>
    </w:p>
    <w:p w:rsidR="008866E4" w:rsidRPr="00BA394E" w:rsidRDefault="008866E4" w:rsidP="008866E4">
      <w:pPr>
        <w:autoSpaceDE w:val="0"/>
        <w:autoSpaceDN w:val="0"/>
        <w:adjustRightInd w:val="0"/>
        <w:spacing w:line="480" w:lineRule="auto"/>
        <w:ind w:firstLine="709"/>
        <w:jc w:val="both"/>
        <w:rPr>
          <w:color w:val="000000"/>
        </w:rPr>
      </w:pPr>
      <w:r w:rsidRPr="00BA394E">
        <w:rPr>
          <w:color w:val="000000"/>
        </w:rPr>
        <w:t>Barda Nawawi Arief menyebutkan bahwa upaya penanggulangan kejahatan perlu ditempuh dengan pendekatan kebijakan dalam arti:</w:t>
      </w:r>
    </w:p>
    <w:p w:rsidR="008866E4" w:rsidRPr="00BA394E" w:rsidRDefault="008866E4" w:rsidP="008866E4">
      <w:pPr>
        <w:numPr>
          <w:ilvl w:val="1"/>
          <w:numId w:val="13"/>
        </w:numPr>
        <w:autoSpaceDE w:val="0"/>
        <w:autoSpaceDN w:val="0"/>
        <w:adjustRightInd w:val="0"/>
        <w:spacing w:line="480" w:lineRule="auto"/>
        <w:ind w:left="360"/>
        <w:jc w:val="both"/>
        <w:rPr>
          <w:color w:val="000000"/>
        </w:rPr>
      </w:pPr>
      <w:r w:rsidRPr="00BA394E">
        <w:rPr>
          <w:color w:val="000000"/>
        </w:rPr>
        <w:t>Ada keterpaduan (integritas) antara politik kriminal dan politik sosial.</w:t>
      </w:r>
    </w:p>
    <w:p w:rsidR="008866E4" w:rsidRPr="00BA394E" w:rsidRDefault="008866E4" w:rsidP="008866E4">
      <w:pPr>
        <w:numPr>
          <w:ilvl w:val="1"/>
          <w:numId w:val="13"/>
        </w:numPr>
        <w:autoSpaceDE w:val="0"/>
        <w:autoSpaceDN w:val="0"/>
        <w:adjustRightInd w:val="0"/>
        <w:spacing w:line="480" w:lineRule="auto"/>
        <w:ind w:left="360"/>
        <w:jc w:val="both"/>
        <w:rPr>
          <w:color w:val="000000"/>
        </w:rPr>
      </w:pPr>
      <w:r w:rsidRPr="00BA394E">
        <w:rPr>
          <w:color w:val="000000"/>
        </w:rPr>
        <w:lastRenderedPageBreak/>
        <w:t xml:space="preserve">Ada keterpaduan (integritas) antara upaya penanggulangan kejahatan dengan </w:t>
      </w:r>
      <w:r w:rsidRPr="00BA394E">
        <w:rPr>
          <w:i/>
          <w:color w:val="000000"/>
        </w:rPr>
        <w:t xml:space="preserve"> penal </w:t>
      </w:r>
      <w:r w:rsidRPr="00BA394E">
        <w:rPr>
          <w:color w:val="000000"/>
        </w:rPr>
        <w:t xml:space="preserve"> dan</w:t>
      </w:r>
      <w:r w:rsidRPr="00BA394E">
        <w:rPr>
          <w:i/>
          <w:color w:val="000000"/>
        </w:rPr>
        <w:t xml:space="preserve"> nonpenal</w:t>
      </w:r>
      <w:r w:rsidRPr="00BA394E">
        <w:rPr>
          <w:color w:val="000000"/>
        </w:rPr>
        <w:t>.</w:t>
      </w:r>
      <w:r w:rsidRPr="00BA394E">
        <w:rPr>
          <w:rStyle w:val="FootnoteReference"/>
          <w:color w:val="000000"/>
        </w:rPr>
        <w:footnoteReference w:id="43"/>
      </w:r>
    </w:p>
    <w:p w:rsidR="008866E4" w:rsidRPr="00BA394E" w:rsidRDefault="008866E4" w:rsidP="008866E4">
      <w:pPr>
        <w:autoSpaceDE w:val="0"/>
        <w:autoSpaceDN w:val="0"/>
        <w:adjustRightInd w:val="0"/>
        <w:spacing w:line="480" w:lineRule="auto"/>
        <w:ind w:firstLine="720"/>
        <w:jc w:val="both"/>
      </w:pPr>
      <w:r w:rsidRPr="00BA394E">
        <w:rPr>
          <w:color w:val="000000"/>
        </w:rPr>
        <w:t>Kebijakan hukum pidana sebagai untukan dari politik hukum mengandung arti bagaimana mengusahakan atau membuat dan merumuskan suatu perundang-undangan yang baik.</w:t>
      </w:r>
      <w:r w:rsidRPr="00BA394E">
        <w:rPr>
          <w:rStyle w:val="FootnoteReference"/>
          <w:color w:val="000000"/>
        </w:rPr>
        <w:footnoteReference w:id="44"/>
      </w:r>
      <w:r w:rsidRPr="00BA394E">
        <w:rPr>
          <w:color w:val="000000"/>
        </w:rPr>
        <w:t xml:space="preserve"> Kebijakan hukum pidana atau </w:t>
      </w:r>
      <w:r w:rsidRPr="00BA394E">
        <w:rPr>
          <w:i/>
          <w:color w:val="000000"/>
        </w:rPr>
        <w:t>penal policy</w:t>
      </w:r>
      <w:r w:rsidRPr="00BA394E">
        <w:t xml:space="preserve"> merupakan tindakan yang berhubungan dengan hal-hal:</w:t>
      </w:r>
    </w:p>
    <w:p w:rsidR="008866E4" w:rsidRPr="00BA394E" w:rsidRDefault="008866E4" w:rsidP="008866E4">
      <w:pPr>
        <w:numPr>
          <w:ilvl w:val="0"/>
          <w:numId w:val="15"/>
        </w:numPr>
        <w:autoSpaceDE w:val="0"/>
        <w:autoSpaceDN w:val="0"/>
        <w:adjustRightInd w:val="0"/>
        <w:spacing w:line="480" w:lineRule="auto"/>
        <w:ind w:left="1080"/>
        <w:jc w:val="both"/>
      </w:pPr>
      <w:r w:rsidRPr="00BA394E">
        <w:t>Bagaimana upaya pemerintah untuk menanggulangi kejahatan dengan hukum pidana.</w:t>
      </w:r>
    </w:p>
    <w:p w:rsidR="008866E4" w:rsidRPr="00BA394E" w:rsidRDefault="008866E4" w:rsidP="008866E4">
      <w:pPr>
        <w:numPr>
          <w:ilvl w:val="0"/>
          <w:numId w:val="15"/>
        </w:numPr>
        <w:autoSpaceDE w:val="0"/>
        <w:autoSpaceDN w:val="0"/>
        <w:adjustRightInd w:val="0"/>
        <w:spacing w:line="480" w:lineRule="auto"/>
        <w:ind w:left="1080"/>
        <w:jc w:val="both"/>
      </w:pPr>
      <w:r w:rsidRPr="00BA394E">
        <w:t>Bagaimana merumuskan hukum pidana agar sesuai dengan kondisi masyarakat.</w:t>
      </w:r>
    </w:p>
    <w:p w:rsidR="008866E4" w:rsidRPr="00BA394E" w:rsidRDefault="008866E4" w:rsidP="008866E4">
      <w:pPr>
        <w:numPr>
          <w:ilvl w:val="0"/>
          <w:numId w:val="15"/>
        </w:numPr>
        <w:autoSpaceDE w:val="0"/>
        <w:autoSpaceDN w:val="0"/>
        <w:adjustRightInd w:val="0"/>
        <w:spacing w:line="480" w:lineRule="auto"/>
        <w:ind w:left="1080"/>
        <w:jc w:val="both"/>
      </w:pPr>
      <w:r w:rsidRPr="00BA394E">
        <w:t>Bagaimana kebijakan pemerintah untuk mengatur masyarakat dengan hukum pidana.</w:t>
      </w:r>
    </w:p>
    <w:p w:rsidR="008866E4" w:rsidRPr="00BA394E" w:rsidRDefault="008866E4" w:rsidP="008866E4">
      <w:pPr>
        <w:numPr>
          <w:ilvl w:val="0"/>
          <w:numId w:val="15"/>
        </w:numPr>
        <w:autoSpaceDE w:val="0"/>
        <w:autoSpaceDN w:val="0"/>
        <w:adjustRightInd w:val="0"/>
        <w:spacing w:line="480" w:lineRule="auto"/>
        <w:ind w:left="1080"/>
        <w:jc w:val="both"/>
      </w:pPr>
      <w:r w:rsidRPr="00BA394E">
        <w:t>Bagaimana menggunakan hukum pidana untuk mengatur masyarakat dalam rangka mencapai tujuan yang lebih besar.</w:t>
      </w:r>
      <w:r w:rsidRPr="00BA394E">
        <w:rPr>
          <w:rStyle w:val="FootnoteReference"/>
        </w:rPr>
        <w:footnoteReference w:id="45"/>
      </w:r>
    </w:p>
    <w:p w:rsidR="008866E4" w:rsidRPr="00BA394E" w:rsidRDefault="008866E4" w:rsidP="008866E4">
      <w:pPr>
        <w:autoSpaceDE w:val="0"/>
        <w:autoSpaceDN w:val="0"/>
        <w:adjustRightInd w:val="0"/>
        <w:spacing w:line="480" w:lineRule="auto"/>
        <w:ind w:left="1080"/>
        <w:jc w:val="both"/>
      </w:pPr>
    </w:p>
    <w:p w:rsidR="008866E4" w:rsidRPr="00BA394E" w:rsidRDefault="008866E4" w:rsidP="008866E4">
      <w:pPr>
        <w:autoSpaceDE w:val="0"/>
        <w:autoSpaceDN w:val="0"/>
        <w:adjustRightInd w:val="0"/>
        <w:spacing w:line="480" w:lineRule="auto"/>
        <w:ind w:firstLine="720"/>
        <w:jc w:val="both"/>
        <w:rPr>
          <w:color w:val="000000"/>
        </w:rPr>
      </w:pPr>
      <w:r w:rsidRPr="00BA394E">
        <w:rPr>
          <w:color w:val="000000"/>
        </w:rPr>
        <w:t xml:space="preserve">Menurut pendapat di atas,  pada hakekatnya masalah kebijakan hukum  pidana </w:t>
      </w:r>
      <w:r w:rsidRPr="00BA394E">
        <w:rPr>
          <w:i/>
          <w:color w:val="000000"/>
        </w:rPr>
        <w:t>(penal policy)</w:t>
      </w:r>
      <w:r w:rsidRPr="00BA394E">
        <w:rPr>
          <w:color w:val="000000"/>
        </w:rPr>
        <w:t xml:space="preserve"> bukanlah semata-mata pekerjaan teknik perundang-undangan yang dapat dilakukan secara yuridis normatif dan bersifat dogmatic. Di samping pendekatan yuridis normatif, kebijakan hukum pidana juga memerlukan pendekatan sosiologis, historis dan komporatif, bahkan memerlukan pula </w:t>
      </w:r>
      <w:r w:rsidRPr="00BA394E">
        <w:rPr>
          <w:color w:val="000000"/>
        </w:rPr>
        <w:lastRenderedPageBreak/>
        <w:t>pendekatan komprehensif dari berbagai disiplin sosial lainnya dan pendekatan integral dengan kebijakan sosial dan pembangunan nasional pada umumnya.</w:t>
      </w:r>
      <w:r w:rsidRPr="00BA394E">
        <w:rPr>
          <w:rStyle w:val="FootnoteReference"/>
          <w:color w:val="000000"/>
        </w:rPr>
        <w:footnoteReference w:id="46"/>
      </w:r>
    </w:p>
    <w:p w:rsidR="00934309" w:rsidRPr="008866E4" w:rsidRDefault="008866E4" w:rsidP="008866E4">
      <w:pPr>
        <w:spacing w:line="480" w:lineRule="auto"/>
      </w:pPr>
      <w:r w:rsidRPr="00BA394E">
        <w:rPr>
          <w:color w:val="000000"/>
        </w:rPr>
        <w:t>Usaha untuk membuat peraturan perundang-undangan hukum pidana yang baik tidak dapat dilepaskan dengan tujuan dari penanggulangan kejahatan itu sendiri. Upaya atau kebijakan untuk berbuat pencegahan dan penanggulangan kejahatan termasuk bidang kebijakan kriminal, maka kebijakan atau politik hukum pidana merupakan untukan dari kebijakan atau politik kriminal.</w:t>
      </w:r>
    </w:p>
    <w:sectPr w:rsidR="00934309" w:rsidRPr="008866E4" w:rsidSect="00F12F8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573" w:rsidRDefault="00F00573">
      <w:r>
        <w:separator/>
      </w:r>
    </w:p>
  </w:endnote>
  <w:endnote w:type="continuationSeparator" w:id="1">
    <w:p w:rsidR="00F00573" w:rsidRDefault="00F00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Sans">
    <w:altName w:val="Arial Unicode MS"/>
    <w:panose1 w:val="00000000000000000000"/>
    <w:charset w:val="81"/>
    <w:family w:val="auto"/>
    <w:notTrueType/>
    <w:pitch w:val="default"/>
    <w:sig w:usb0="00000000"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548" w:rsidRDefault="003425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342548">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573" w:rsidRDefault="00F00573">
      <w:r>
        <w:separator/>
      </w:r>
    </w:p>
  </w:footnote>
  <w:footnote w:type="continuationSeparator" w:id="1">
    <w:p w:rsidR="00F00573" w:rsidRDefault="00F00573">
      <w:r>
        <w:continuationSeparator/>
      </w:r>
    </w:p>
  </w:footnote>
  <w:footnote w:id="2">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iCs/>
        </w:rPr>
        <w:t>I.S. Susanto</w:t>
      </w:r>
      <w:r w:rsidRPr="007F4DED">
        <w:t>,</w:t>
      </w:r>
      <w:r w:rsidRPr="007F4DED">
        <w:rPr>
          <w:i/>
        </w:rPr>
        <w:t xml:space="preserve"> Op.Cit, </w:t>
      </w:r>
      <w:r w:rsidRPr="007F4DED">
        <w:t xml:space="preserve"> lm 11.  </w:t>
      </w:r>
    </w:p>
  </w:footnote>
  <w:footnote w:id="3">
    <w:p w:rsidR="008866E4" w:rsidRPr="007F4DED" w:rsidRDefault="008866E4" w:rsidP="008866E4">
      <w:pPr>
        <w:pStyle w:val="FootnoteText"/>
        <w:ind w:firstLine="720"/>
        <w:jc w:val="both"/>
      </w:pPr>
      <w:r w:rsidRPr="007F4DED">
        <w:rPr>
          <w:rStyle w:val="FootnoteReference"/>
        </w:rPr>
        <w:footnoteRef/>
      </w:r>
      <w:r w:rsidRPr="007F4DED">
        <w:t xml:space="preserve"> </w:t>
      </w:r>
      <w:bookmarkStart w:id="2" w:name="_Hlk133182906"/>
      <w:r w:rsidRPr="007F4DED">
        <w:t xml:space="preserve">Romli Atmasasmitha. </w:t>
      </w:r>
      <w:r w:rsidRPr="007F4DED">
        <w:rPr>
          <w:i/>
          <w:iCs/>
        </w:rPr>
        <w:t>Teori &amp; Kapita Selekta Kriminologi</w:t>
      </w:r>
      <w:r w:rsidRPr="007F4DED">
        <w:t>, Eresco, Bandung, 2012</w:t>
      </w:r>
      <w:bookmarkEnd w:id="2"/>
      <w:r w:rsidRPr="007F4DED">
        <w:t xml:space="preserve">, hlm.55.  </w:t>
      </w:r>
    </w:p>
  </w:footnote>
  <w:footnote w:id="4">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i/>
        </w:rPr>
        <w:t>Ibid</w:t>
      </w:r>
      <w:r w:rsidRPr="007F4DED">
        <w:t>, halaman 57</w:t>
      </w:r>
    </w:p>
  </w:footnote>
  <w:footnote w:id="5">
    <w:p w:rsidR="008866E4" w:rsidRPr="007F4DED" w:rsidRDefault="008866E4" w:rsidP="008866E4">
      <w:pPr>
        <w:pStyle w:val="FootnoteText"/>
        <w:ind w:firstLine="720"/>
        <w:jc w:val="both"/>
      </w:pPr>
      <w:r w:rsidRPr="007F4DED">
        <w:rPr>
          <w:rStyle w:val="FootnoteReference"/>
        </w:rPr>
        <w:footnoteRef/>
      </w:r>
      <w:bookmarkStart w:id="3" w:name="_Hlk133182944"/>
      <w:r w:rsidRPr="007F4DED">
        <w:t xml:space="preserve">Yesmil Anwar, </w:t>
      </w:r>
      <w:r w:rsidRPr="007F4DED">
        <w:rPr>
          <w:i/>
          <w:iCs/>
        </w:rPr>
        <w:t xml:space="preserve">Saat Menuai Kejahatan: Sebuah Pendekatan Sosiokultural Kriminologi, Hukum, </w:t>
      </w:r>
      <w:r w:rsidRPr="007F4DED">
        <w:t>UNPAD Press, Bandung, 2014</w:t>
      </w:r>
      <w:bookmarkEnd w:id="3"/>
      <w:r w:rsidRPr="007F4DED">
        <w:t xml:space="preserve">, hlm. 54.  </w:t>
      </w:r>
    </w:p>
  </w:footnote>
  <w:footnote w:id="6">
    <w:p w:rsidR="008866E4" w:rsidRPr="007F4DED" w:rsidRDefault="008866E4" w:rsidP="008866E4">
      <w:pPr>
        <w:pStyle w:val="FootnoteText"/>
        <w:ind w:firstLine="720"/>
        <w:jc w:val="both"/>
      </w:pPr>
      <w:r w:rsidRPr="007F4DED">
        <w:rPr>
          <w:rStyle w:val="FootnoteReference"/>
          <w:i/>
        </w:rPr>
        <w:footnoteRef/>
      </w:r>
      <w:bookmarkStart w:id="4" w:name="_Hlk133182970"/>
      <w:r w:rsidRPr="007F4DED">
        <w:rPr>
          <w:i/>
        </w:rPr>
        <w:t>https://andhikafrancisco.wordpress.com</w:t>
      </w:r>
      <w:r w:rsidRPr="007F4DED">
        <w:t xml:space="preserve">//pandangan-teoritis-tentang-kejahatan-dengan-kekerasan/ diakses Senin, </w:t>
      </w:r>
      <w:r>
        <w:t>01 Juli 2024</w:t>
      </w:r>
      <w:r w:rsidRPr="007F4DED">
        <w:t xml:space="preserve"> Pukul 09.</w:t>
      </w:r>
      <w:r w:rsidRPr="007F4DED">
        <w:rPr>
          <w:vertAlign w:val="superscript"/>
        </w:rPr>
        <w:t>00</w:t>
      </w:r>
      <w:r w:rsidRPr="007F4DED">
        <w:t xml:space="preserve"> Wib</w:t>
      </w:r>
      <w:bookmarkEnd w:id="4"/>
      <w:r w:rsidRPr="007F4DED">
        <w:t>.</w:t>
      </w:r>
    </w:p>
  </w:footnote>
  <w:footnote w:id="7">
    <w:p w:rsidR="008866E4" w:rsidRPr="007F4DED" w:rsidRDefault="008866E4" w:rsidP="008866E4">
      <w:pPr>
        <w:pStyle w:val="FootnoteText"/>
        <w:ind w:firstLine="720"/>
        <w:jc w:val="both"/>
      </w:pPr>
      <w:r w:rsidRPr="007F4DED">
        <w:rPr>
          <w:rStyle w:val="FootnoteReference"/>
        </w:rPr>
        <w:footnoteRef/>
      </w:r>
      <w:r w:rsidRPr="007F4DED">
        <w:t xml:space="preserve"> </w:t>
      </w:r>
      <w:bookmarkStart w:id="5" w:name="_Hlk133183010"/>
      <w:r w:rsidRPr="007F4DED">
        <w:rPr>
          <w:color w:val="000000"/>
        </w:rPr>
        <w:t>Aris Budiman, “</w:t>
      </w:r>
      <w:r w:rsidRPr="007F4DED">
        <w:rPr>
          <w:iCs/>
          <w:color w:val="000000"/>
        </w:rPr>
        <w:t>Kekerasaan dalam Budaya Masyarakat”</w:t>
      </w:r>
      <w:r w:rsidRPr="007F4DED">
        <w:rPr>
          <w:i/>
          <w:iCs/>
          <w:color w:val="000000"/>
        </w:rPr>
        <w:t xml:space="preserve">, </w:t>
      </w:r>
      <w:r w:rsidRPr="007F4DED">
        <w:rPr>
          <w:i/>
          <w:color w:val="000000"/>
        </w:rPr>
        <w:t>www.bkkbn.go.id</w:t>
      </w:r>
      <w:r w:rsidRPr="007F4DED">
        <w:rPr>
          <w:color w:val="000000"/>
        </w:rPr>
        <w:t xml:space="preserve">, </w:t>
      </w:r>
      <w:r w:rsidRPr="007F4DED">
        <w:t xml:space="preserve">diakses Senin, </w:t>
      </w:r>
      <w:r>
        <w:t>01 Juli 2024</w:t>
      </w:r>
      <w:r w:rsidRPr="007F4DED">
        <w:t xml:space="preserve"> Pukul 09.</w:t>
      </w:r>
      <w:r w:rsidRPr="007F4DED">
        <w:rPr>
          <w:vertAlign w:val="superscript"/>
        </w:rPr>
        <w:t>00</w:t>
      </w:r>
      <w:r w:rsidRPr="007F4DED">
        <w:t xml:space="preserve"> Wib</w:t>
      </w:r>
      <w:bookmarkEnd w:id="5"/>
      <w:r w:rsidRPr="007F4DED">
        <w:rPr>
          <w:color w:val="000000"/>
        </w:rPr>
        <w:t>.</w:t>
      </w:r>
    </w:p>
  </w:footnote>
  <w:footnote w:id="8">
    <w:p w:rsidR="008866E4" w:rsidRPr="007F4DED" w:rsidRDefault="008866E4" w:rsidP="008866E4">
      <w:pPr>
        <w:autoSpaceDE w:val="0"/>
        <w:autoSpaceDN w:val="0"/>
        <w:adjustRightInd w:val="0"/>
        <w:ind w:firstLine="720"/>
        <w:jc w:val="both"/>
        <w:rPr>
          <w:sz w:val="20"/>
          <w:szCs w:val="20"/>
        </w:rPr>
      </w:pPr>
      <w:r w:rsidRPr="007F4DED">
        <w:rPr>
          <w:rStyle w:val="FootnoteReference"/>
          <w:sz w:val="20"/>
          <w:szCs w:val="20"/>
        </w:rPr>
        <w:footnoteRef/>
      </w:r>
      <w:r w:rsidRPr="007F4DED">
        <w:rPr>
          <w:sz w:val="20"/>
          <w:szCs w:val="20"/>
        </w:rPr>
        <w:t xml:space="preserve"> </w:t>
      </w:r>
      <w:bookmarkStart w:id="6" w:name="_Hlk133183041"/>
      <w:r w:rsidRPr="007F4DED">
        <w:rPr>
          <w:sz w:val="20"/>
          <w:szCs w:val="20"/>
        </w:rPr>
        <w:t xml:space="preserve">Abdul Wahid dan Moh. Irvan, </w:t>
      </w:r>
      <w:r w:rsidRPr="007F4DED">
        <w:rPr>
          <w:i/>
          <w:iCs/>
          <w:sz w:val="20"/>
          <w:szCs w:val="20"/>
        </w:rPr>
        <w:t>Perlindungan Terhadap Korban Kekerasaan Seksual</w:t>
      </w:r>
      <w:r w:rsidRPr="007F4DED">
        <w:rPr>
          <w:sz w:val="20"/>
          <w:szCs w:val="20"/>
        </w:rPr>
        <w:t>, Refika Aditama, Bandung, 2011</w:t>
      </w:r>
      <w:bookmarkEnd w:id="6"/>
      <w:r w:rsidRPr="007F4DED">
        <w:rPr>
          <w:sz w:val="20"/>
          <w:szCs w:val="20"/>
        </w:rPr>
        <w:t>, hlm 30.</w:t>
      </w:r>
    </w:p>
  </w:footnote>
  <w:footnote w:id="9">
    <w:p w:rsidR="008866E4" w:rsidRPr="007F4DED" w:rsidRDefault="008866E4" w:rsidP="008866E4">
      <w:pPr>
        <w:autoSpaceDE w:val="0"/>
        <w:autoSpaceDN w:val="0"/>
        <w:adjustRightInd w:val="0"/>
        <w:ind w:firstLine="720"/>
        <w:jc w:val="both"/>
        <w:rPr>
          <w:sz w:val="20"/>
          <w:szCs w:val="20"/>
        </w:rPr>
      </w:pPr>
      <w:r w:rsidRPr="007F4DED">
        <w:rPr>
          <w:rStyle w:val="FootnoteReference"/>
          <w:sz w:val="20"/>
          <w:szCs w:val="20"/>
        </w:rPr>
        <w:footnoteRef/>
      </w:r>
      <w:r w:rsidRPr="007F4DED">
        <w:rPr>
          <w:sz w:val="20"/>
          <w:szCs w:val="20"/>
        </w:rPr>
        <w:t xml:space="preserve"> </w:t>
      </w:r>
      <w:bookmarkStart w:id="7" w:name="_Hlk133183074"/>
      <w:r w:rsidRPr="007F4DED">
        <w:rPr>
          <w:sz w:val="20"/>
          <w:szCs w:val="20"/>
        </w:rPr>
        <w:t xml:space="preserve">Muhammad Mustofa. </w:t>
      </w:r>
      <w:r w:rsidRPr="007F4DED">
        <w:rPr>
          <w:i/>
          <w:iCs/>
          <w:sz w:val="20"/>
          <w:szCs w:val="20"/>
        </w:rPr>
        <w:t xml:space="preserve">Prevensi Masalah Kekerasan Di Kalangan Remaja. </w:t>
      </w:r>
      <w:r w:rsidRPr="007F4DED">
        <w:rPr>
          <w:sz w:val="20"/>
          <w:szCs w:val="20"/>
        </w:rPr>
        <w:t>Universitas Indonesia, Depok, 2016</w:t>
      </w:r>
      <w:bookmarkEnd w:id="7"/>
      <w:r w:rsidRPr="007F4DED">
        <w:rPr>
          <w:sz w:val="20"/>
          <w:szCs w:val="20"/>
        </w:rPr>
        <w:t>, hlm. 8.</w:t>
      </w:r>
    </w:p>
  </w:footnote>
  <w:footnote w:id="10">
    <w:p w:rsidR="008866E4" w:rsidRPr="007F4DED" w:rsidRDefault="008866E4" w:rsidP="008866E4">
      <w:pPr>
        <w:autoSpaceDE w:val="0"/>
        <w:autoSpaceDN w:val="0"/>
        <w:adjustRightInd w:val="0"/>
        <w:ind w:firstLine="720"/>
        <w:jc w:val="both"/>
        <w:rPr>
          <w:sz w:val="20"/>
          <w:szCs w:val="20"/>
        </w:rPr>
      </w:pPr>
      <w:r w:rsidRPr="007F4DED">
        <w:rPr>
          <w:rStyle w:val="FootnoteReference"/>
          <w:sz w:val="20"/>
          <w:szCs w:val="20"/>
        </w:rPr>
        <w:footnoteRef/>
      </w:r>
      <w:r w:rsidRPr="007F4DED">
        <w:rPr>
          <w:sz w:val="20"/>
          <w:szCs w:val="20"/>
        </w:rPr>
        <w:t xml:space="preserve"> IS. Susanto,  </w:t>
      </w:r>
      <w:r w:rsidRPr="007F4DED">
        <w:rPr>
          <w:i/>
          <w:iCs/>
          <w:sz w:val="20"/>
          <w:szCs w:val="20"/>
        </w:rPr>
        <w:t>Op.Cit</w:t>
      </w:r>
      <w:r w:rsidRPr="007F4DED">
        <w:rPr>
          <w:sz w:val="20"/>
          <w:szCs w:val="20"/>
        </w:rPr>
        <w:t>, hlm. 11.</w:t>
      </w:r>
    </w:p>
  </w:footnote>
  <w:footnote w:id="11">
    <w:p w:rsidR="008866E4" w:rsidRPr="007F4DED" w:rsidRDefault="008866E4" w:rsidP="008866E4">
      <w:pPr>
        <w:pStyle w:val="FootnoteText"/>
        <w:ind w:firstLine="720"/>
        <w:jc w:val="both"/>
      </w:pPr>
      <w:r w:rsidRPr="007F4DED">
        <w:rPr>
          <w:rStyle w:val="FootnoteReference"/>
        </w:rPr>
        <w:footnoteRef/>
      </w:r>
      <w:r w:rsidRPr="007F4DED">
        <w:t xml:space="preserve"> Romli Atmasasmitha. </w:t>
      </w:r>
      <w:r w:rsidRPr="007F4DED">
        <w:rPr>
          <w:i/>
          <w:iCs/>
        </w:rPr>
        <w:t>Op.Cit</w:t>
      </w:r>
      <w:r w:rsidRPr="007F4DED">
        <w:t>, hlm.55.</w:t>
      </w:r>
    </w:p>
  </w:footnote>
  <w:footnote w:id="12">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i/>
        </w:rPr>
        <w:t xml:space="preserve">Ibid, </w:t>
      </w:r>
      <w:r w:rsidRPr="007F4DED">
        <w:t>hlm. 57.</w:t>
      </w:r>
    </w:p>
  </w:footnote>
  <w:footnote w:id="13">
    <w:p w:rsidR="008866E4" w:rsidRPr="007F4DED" w:rsidRDefault="008866E4" w:rsidP="008866E4">
      <w:pPr>
        <w:autoSpaceDE w:val="0"/>
        <w:autoSpaceDN w:val="0"/>
        <w:adjustRightInd w:val="0"/>
        <w:ind w:firstLine="720"/>
        <w:jc w:val="both"/>
        <w:rPr>
          <w:sz w:val="20"/>
          <w:szCs w:val="20"/>
        </w:rPr>
      </w:pPr>
      <w:r w:rsidRPr="007F4DED">
        <w:rPr>
          <w:rStyle w:val="FootnoteReference"/>
          <w:sz w:val="20"/>
          <w:szCs w:val="20"/>
        </w:rPr>
        <w:footnoteRef/>
      </w:r>
      <w:r w:rsidRPr="007F4DED">
        <w:rPr>
          <w:sz w:val="20"/>
          <w:szCs w:val="20"/>
        </w:rPr>
        <w:t xml:space="preserve"> Yesmil Anwar, </w:t>
      </w:r>
      <w:r w:rsidRPr="007F4DED">
        <w:rPr>
          <w:i/>
          <w:sz w:val="20"/>
          <w:szCs w:val="20"/>
        </w:rPr>
        <w:t>Op.Cit</w:t>
      </w:r>
      <w:r w:rsidRPr="007F4DED">
        <w:rPr>
          <w:sz w:val="20"/>
          <w:szCs w:val="20"/>
        </w:rPr>
        <w:t>, hlm 54.</w:t>
      </w:r>
    </w:p>
  </w:footnote>
  <w:footnote w:id="14">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color w:val="000000"/>
        </w:rPr>
        <w:t xml:space="preserve">Aris Budiman, </w:t>
      </w:r>
      <w:r w:rsidRPr="007F4DED">
        <w:rPr>
          <w:i/>
          <w:iCs/>
          <w:color w:val="000000"/>
        </w:rPr>
        <w:t>Op.Cit</w:t>
      </w:r>
      <w:r w:rsidRPr="007F4DED">
        <w:rPr>
          <w:color w:val="000000"/>
        </w:rPr>
        <w:t>, hlm. 1.</w:t>
      </w:r>
    </w:p>
  </w:footnote>
  <w:footnote w:id="15">
    <w:p w:rsidR="008866E4" w:rsidRPr="007F4DED" w:rsidRDefault="008866E4" w:rsidP="008866E4">
      <w:pPr>
        <w:pStyle w:val="FootnoteText"/>
        <w:ind w:firstLine="720"/>
        <w:jc w:val="both"/>
      </w:pPr>
      <w:r w:rsidRPr="007F4DED">
        <w:rPr>
          <w:rStyle w:val="FootnoteReference"/>
        </w:rPr>
        <w:footnoteRef/>
      </w:r>
      <w:r w:rsidRPr="007F4DED">
        <w:t xml:space="preserve"> Romli Atmasasmita. </w:t>
      </w:r>
      <w:r w:rsidRPr="007F4DED">
        <w:rPr>
          <w:i/>
        </w:rPr>
        <w:t>Op Cit</w:t>
      </w:r>
      <w:r w:rsidRPr="007F4DED">
        <w:t>, hlm.57.</w:t>
      </w:r>
    </w:p>
  </w:footnote>
  <w:footnote w:id="16">
    <w:p w:rsidR="008866E4" w:rsidRPr="007F4DED" w:rsidRDefault="008866E4" w:rsidP="008866E4">
      <w:pPr>
        <w:pStyle w:val="FootnoteText"/>
        <w:ind w:firstLine="720"/>
        <w:jc w:val="both"/>
      </w:pPr>
      <w:r w:rsidRPr="007F4DED">
        <w:rPr>
          <w:rStyle w:val="FootnoteReference"/>
        </w:rPr>
        <w:footnoteRef/>
      </w:r>
      <w:r w:rsidRPr="007F4DED">
        <w:t xml:space="preserve"> </w:t>
      </w:r>
      <w:bookmarkStart w:id="8" w:name="_Hlk133183218"/>
      <w:r w:rsidRPr="007F4DED">
        <w:t xml:space="preserve">Leden Marpaung. </w:t>
      </w:r>
      <w:r w:rsidRPr="007F4DED">
        <w:rPr>
          <w:i/>
          <w:iCs/>
        </w:rPr>
        <w:t>Kejahatan Terhadap Kesusilaan Dan Masalah Prevensinya</w:t>
      </w:r>
      <w:r w:rsidRPr="007F4DED">
        <w:t>, Sinar Grafika, Jakarta, 2014</w:t>
      </w:r>
      <w:bookmarkEnd w:id="8"/>
      <w:r w:rsidRPr="007F4DED">
        <w:t xml:space="preserve">, hlm. 7  </w:t>
      </w:r>
    </w:p>
  </w:footnote>
  <w:footnote w:id="17">
    <w:p w:rsidR="008866E4" w:rsidRPr="007F4DED" w:rsidRDefault="008866E4" w:rsidP="008866E4">
      <w:pPr>
        <w:pStyle w:val="FootnoteText"/>
        <w:ind w:firstLine="720"/>
        <w:jc w:val="both"/>
        <w:rPr>
          <w:i/>
        </w:rPr>
      </w:pPr>
      <w:r w:rsidRPr="007F4DED">
        <w:rPr>
          <w:rStyle w:val="FootnoteReference"/>
        </w:rPr>
        <w:footnoteRef/>
      </w:r>
      <w:r w:rsidRPr="007F4DED">
        <w:t xml:space="preserve"> </w:t>
      </w:r>
      <w:r w:rsidRPr="007F4DED">
        <w:rPr>
          <w:i/>
        </w:rPr>
        <w:t>Ibid,</w:t>
      </w:r>
      <w:r w:rsidRPr="007F4DED">
        <w:t xml:space="preserve"> hlm.7-8  </w:t>
      </w:r>
    </w:p>
  </w:footnote>
  <w:footnote w:id="18">
    <w:p w:rsidR="008866E4" w:rsidRPr="007F4DED" w:rsidRDefault="008866E4" w:rsidP="008866E4">
      <w:pPr>
        <w:pStyle w:val="FootnoteText"/>
        <w:ind w:firstLine="720"/>
        <w:jc w:val="both"/>
      </w:pPr>
      <w:r w:rsidRPr="007F4DED">
        <w:rPr>
          <w:rStyle w:val="FootnoteReference"/>
          <w:i/>
        </w:rPr>
        <w:footnoteRef/>
      </w:r>
      <w:r w:rsidRPr="007F4DED">
        <w:rPr>
          <w:i/>
        </w:rPr>
        <w:t xml:space="preserve"> </w:t>
      </w:r>
      <w:bookmarkStart w:id="9" w:name="_Hlk133183241"/>
      <w:r w:rsidRPr="007F4DED">
        <w:t>Ivo Noviana, “</w:t>
      </w:r>
      <w:r w:rsidRPr="007F4DED">
        <w:rPr>
          <w:iCs/>
        </w:rPr>
        <w:t>Kekerasan</w:t>
      </w:r>
      <w:r w:rsidRPr="007F4DED">
        <w:rPr>
          <w:i/>
          <w:iCs/>
        </w:rPr>
        <w:t xml:space="preserve"> </w:t>
      </w:r>
      <w:r w:rsidRPr="007F4DED">
        <w:rPr>
          <w:iCs/>
        </w:rPr>
        <w:t>Seksual Terhadap Anak : Dampak dan Penanganannya</w:t>
      </w:r>
      <w:r w:rsidRPr="007F4DED">
        <w:t>”</w:t>
      </w:r>
      <w:r w:rsidRPr="007F4DED">
        <w:rPr>
          <w:i/>
        </w:rPr>
        <w:t>,</w:t>
      </w:r>
      <w:r w:rsidRPr="007F4DED">
        <w:t xml:space="preserve"> </w:t>
      </w:r>
      <w:r w:rsidRPr="007F4DED">
        <w:rPr>
          <w:i/>
        </w:rPr>
        <w:t>Jurnal Sosio Informa</w:t>
      </w:r>
      <w:r w:rsidRPr="007F4DED">
        <w:t>, Vol. 01, No. 1, (20</w:t>
      </w:r>
      <w:bookmarkEnd w:id="9"/>
      <w:r w:rsidRPr="007F4DED">
        <w:t xml:space="preserve">21), hlm. 18  </w:t>
      </w:r>
    </w:p>
  </w:footnote>
  <w:footnote w:id="19">
    <w:p w:rsidR="008866E4" w:rsidRPr="007F4DED" w:rsidRDefault="008866E4" w:rsidP="008866E4">
      <w:pPr>
        <w:pStyle w:val="FootnoteText"/>
        <w:ind w:firstLine="720"/>
        <w:jc w:val="both"/>
      </w:pPr>
      <w:r w:rsidRPr="007F4DED">
        <w:rPr>
          <w:rStyle w:val="FootnoteReference"/>
        </w:rPr>
        <w:footnoteRef/>
      </w:r>
      <w:r w:rsidRPr="007F4DED">
        <w:t xml:space="preserve"> </w:t>
      </w:r>
      <w:bookmarkStart w:id="10" w:name="_Hlk133183278"/>
      <w:r w:rsidRPr="007F4DED">
        <w:t>Maidin Gultom,</w:t>
      </w:r>
      <w:r w:rsidRPr="007F4DED">
        <w:rPr>
          <w:i/>
          <w:iCs/>
        </w:rPr>
        <w:t>Perlindungan Hukum terhadap Anak dan Perempuan,</w:t>
      </w:r>
      <w:r w:rsidRPr="007F4DED">
        <w:t xml:space="preserve"> Refika Aditama, Bandung, 2014</w:t>
      </w:r>
      <w:bookmarkEnd w:id="10"/>
      <w:r w:rsidRPr="007F4DED">
        <w:t xml:space="preserve">, hlm. 3.  </w:t>
      </w:r>
    </w:p>
  </w:footnote>
  <w:footnote w:id="20">
    <w:p w:rsidR="008866E4" w:rsidRPr="007F4DED" w:rsidRDefault="008866E4" w:rsidP="008866E4">
      <w:pPr>
        <w:pStyle w:val="FootnoteText"/>
        <w:ind w:firstLine="720"/>
        <w:jc w:val="both"/>
      </w:pPr>
      <w:r w:rsidRPr="007F4DED">
        <w:rPr>
          <w:rStyle w:val="FootnoteReference"/>
        </w:rPr>
        <w:footnoteRef/>
      </w:r>
      <w:r w:rsidRPr="007F4DED">
        <w:t xml:space="preserve"> </w:t>
      </w:r>
      <w:bookmarkStart w:id="11" w:name="_Hlk133183312"/>
      <w:r w:rsidRPr="007F4DED">
        <w:t xml:space="preserve">Thathit Manon Andini, dkk, “ </w:t>
      </w:r>
      <w:r w:rsidRPr="007F4DED">
        <w:rPr>
          <w:iCs/>
        </w:rPr>
        <w:t>Identifikasi Kejadian Kekerasan pada Anak di Kota Malang</w:t>
      </w:r>
      <w:r w:rsidRPr="007F4DED">
        <w:t xml:space="preserve">”, </w:t>
      </w:r>
      <w:r w:rsidRPr="007F4DED">
        <w:rPr>
          <w:i/>
        </w:rPr>
        <w:t>Jurnal Perempuan dan Anak (JPA</w:t>
      </w:r>
      <w:r w:rsidRPr="007F4DED">
        <w:t xml:space="preserve">), Vol. 2, No.1, (2019), </w:t>
      </w:r>
      <w:bookmarkEnd w:id="11"/>
      <w:r w:rsidRPr="007F4DED">
        <w:t xml:space="preserve">hlm. 17  </w:t>
      </w:r>
    </w:p>
  </w:footnote>
  <w:footnote w:id="21">
    <w:p w:rsidR="008866E4" w:rsidRPr="007F4DED" w:rsidRDefault="008866E4" w:rsidP="008866E4">
      <w:pPr>
        <w:pStyle w:val="FootnoteText"/>
        <w:ind w:firstLine="720"/>
        <w:jc w:val="both"/>
      </w:pPr>
      <w:r w:rsidRPr="007F4DED">
        <w:rPr>
          <w:rStyle w:val="FootnoteReference"/>
        </w:rPr>
        <w:footnoteRef/>
      </w:r>
      <w:r w:rsidRPr="007F4DED">
        <w:t xml:space="preserve"> </w:t>
      </w:r>
      <w:bookmarkStart w:id="12" w:name="_Hlk133183333"/>
      <w:r w:rsidRPr="007F4DED">
        <w:t xml:space="preserve">Diesmy Humaira B. </w:t>
      </w:r>
      <w:r w:rsidRPr="007F4DED">
        <w:rPr>
          <w:i/>
          <w:iCs/>
        </w:rPr>
        <w:t>et al.</w:t>
      </w:r>
      <w:r w:rsidRPr="007F4DED">
        <w:t xml:space="preserve">, “Kekerasan Seksual pada Anak: Telaah Relasi Pelaku Korban dan Kerentanan pada Anak”, </w:t>
      </w:r>
      <w:r w:rsidRPr="007F4DED">
        <w:rPr>
          <w:i/>
          <w:iCs/>
        </w:rPr>
        <w:t xml:space="preserve">Jurnal Psikologi,, </w:t>
      </w:r>
      <w:r w:rsidRPr="007F4DED">
        <w:t>Vol. 12, Nomor 2, (20</w:t>
      </w:r>
      <w:bookmarkEnd w:id="12"/>
      <w:r w:rsidRPr="007F4DED">
        <w:t xml:space="preserve">21), hlm. 6  </w:t>
      </w:r>
    </w:p>
  </w:footnote>
  <w:footnote w:id="22">
    <w:p w:rsidR="008866E4" w:rsidRPr="007F4DED" w:rsidRDefault="008866E4" w:rsidP="008866E4">
      <w:pPr>
        <w:pStyle w:val="Default"/>
        <w:ind w:firstLine="720"/>
        <w:jc w:val="both"/>
        <w:rPr>
          <w:rFonts w:ascii="Times New Roman" w:hAnsi="Times New Roman" w:cs="Times New Roman"/>
          <w:sz w:val="20"/>
          <w:szCs w:val="20"/>
          <w:lang w:val="en-US"/>
        </w:rPr>
      </w:pPr>
      <w:r w:rsidRPr="007F4DED">
        <w:rPr>
          <w:rStyle w:val="FootnoteReference"/>
          <w:rFonts w:ascii="Times New Roman" w:hAnsi="Times New Roman" w:cs="Times New Roman"/>
          <w:sz w:val="20"/>
          <w:szCs w:val="20"/>
        </w:rPr>
        <w:footnoteRef/>
      </w:r>
      <w:r w:rsidRPr="007F4DED">
        <w:rPr>
          <w:rFonts w:ascii="Times New Roman" w:hAnsi="Times New Roman" w:cs="Times New Roman"/>
          <w:sz w:val="20"/>
          <w:szCs w:val="20"/>
        </w:rPr>
        <w:t xml:space="preserve">  </w:t>
      </w:r>
      <w:bookmarkStart w:id="13" w:name="_Hlk133183562"/>
      <w:r w:rsidRPr="007F4DED">
        <w:rPr>
          <w:rFonts w:ascii="Times New Roman" w:hAnsi="Times New Roman" w:cs="Times New Roman"/>
          <w:bCs/>
          <w:sz w:val="20"/>
          <w:szCs w:val="20"/>
        </w:rPr>
        <w:t>Tunggal S dan Nathalina Naibaho</w:t>
      </w:r>
      <w:r w:rsidRPr="007F4DED">
        <w:rPr>
          <w:rFonts w:ascii="Times New Roman" w:hAnsi="Times New Roman" w:cs="Times New Roman"/>
          <w:i/>
          <w:iCs/>
          <w:sz w:val="20"/>
          <w:szCs w:val="20"/>
          <w:lang w:val="en-US"/>
        </w:rPr>
        <w:t xml:space="preserve">, </w:t>
      </w:r>
      <w:r w:rsidRPr="007F4DED">
        <w:rPr>
          <w:rFonts w:ascii="Times New Roman" w:hAnsi="Times New Roman" w:cs="Times New Roman"/>
          <w:iCs/>
          <w:sz w:val="20"/>
          <w:szCs w:val="20"/>
          <w:lang w:val="en-US"/>
        </w:rPr>
        <w:t xml:space="preserve"> “</w:t>
      </w:r>
      <w:r w:rsidRPr="007F4DED">
        <w:rPr>
          <w:rFonts w:ascii="Times New Roman" w:hAnsi="Times New Roman" w:cs="Times New Roman"/>
          <w:bCs/>
          <w:sz w:val="20"/>
          <w:szCs w:val="20"/>
          <w:lang w:val="en-US" w:eastAsia="en-US"/>
        </w:rPr>
        <w:t xml:space="preserve">Penjatuhan Kebiri Kimia Bagi Pelaku Kejahatan Seksual Terhadap Anak Dalam Perspektif Falsafah Pemidanaan”, </w:t>
      </w:r>
      <w:r w:rsidRPr="007F4DED">
        <w:rPr>
          <w:rFonts w:ascii="Times New Roman" w:hAnsi="Times New Roman" w:cs="Times New Roman"/>
          <w:i/>
          <w:sz w:val="20"/>
          <w:szCs w:val="20"/>
          <w:lang w:val="en-US" w:eastAsia="en-US"/>
        </w:rPr>
        <w:t>Jurnal Hukum &amp; Pembangunan,</w:t>
      </w:r>
      <w:r w:rsidRPr="007F4DED">
        <w:rPr>
          <w:rFonts w:ascii="Times New Roman" w:hAnsi="Times New Roman" w:cs="Times New Roman"/>
          <w:sz w:val="20"/>
          <w:szCs w:val="20"/>
          <w:lang w:val="en-US" w:eastAsia="en-US"/>
        </w:rPr>
        <w:t xml:space="preserve"> Vol. 50 No. 2 (2020</w:t>
      </w:r>
      <w:bookmarkEnd w:id="13"/>
      <w:r w:rsidRPr="007F4DED">
        <w:rPr>
          <w:rFonts w:ascii="Times New Roman" w:hAnsi="Times New Roman" w:cs="Times New Roman"/>
          <w:sz w:val="20"/>
          <w:szCs w:val="20"/>
          <w:lang w:val="en-US" w:eastAsia="en-US"/>
        </w:rPr>
        <w:t>), hlm. 329</w:t>
      </w:r>
    </w:p>
  </w:footnote>
  <w:footnote w:id="23">
    <w:p w:rsidR="008866E4" w:rsidRPr="007F4DED" w:rsidRDefault="008866E4" w:rsidP="008866E4">
      <w:pPr>
        <w:pStyle w:val="FootnoteText"/>
        <w:ind w:firstLine="720"/>
        <w:jc w:val="both"/>
      </w:pPr>
      <w:r w:rsidRPr="007F4DED">
        <w:rPr>
          <w:rStyle w:val="FootnoteReference"/>
        </w:rPr>
        <w:footnoteRef/>
      </w:r>
      <w:r w:rsidRPr="007F4DED">
        <w:rPr>
          <w:i/>
        </w:rPr>
        <w:t xml:space="preserve"> Ibid</w:t>
      </w:r>
      <w:r w:rsidRPr="007F4DED">
        <w:t xml:space="preserve">  </w:t>
      </w:r>
    </w:p>
  </w:footnote>
  <w:footnote w:id="24">
    <w:p w:rsidR="008866E4" w:rsidRDefault="008866E4" w:rsidP="008866E4">
      <w:pPr>
        <w:pStyle w:val="FootnoteText"/>
        <w:jc w:val="both"/>
      </w:pPr>
      <w:r>
        <w:tab/>
      </w:r>
      <w:r>
        <w:rPr>
          <w:rStyle w:val="FootnoteReference"/>
        </w:rPr>
        <w:footnoteRef/>
      </w:r>
      <w:r>
        <w:t xml:space="preserve"> </w:t>
      </w:r>
      <w:bookmarkStart w:id="15" w:name="_Hlk137744843"/>
      <w:r>
        <w:t xml:space="preserve">Ratih Probosiswi, “Pedofilia dan Kekerasan Seksual: Masalah dan Perlindungan Seksual Terhadap Anak”, </w:t>
      </w:r>
      <w:r w:rsidRPr="002C46B6">
        <w:rPr>
          <w:i/>
        </w:rPr>
        <w:t>Sosio Informa</w:t>
      </w:r>
      <w:r>
        <w:t xml:space="preserve"> Vol. 1, No. I, Januari-April 2021</w:t>
      </w:r>
      <w:bookmarkEnd w:id="15"/>
      <w:r>
        <w:t>, hlm. 33.</w:t>
      </w:r>
    </w:p>
  </w:footnote>
  <w:footnote w:id="25">
    <w:p w:rsidR="008866E4" w:rsidRPr="007F4DED" w:rsidRDefault="008866E4" w:rsidP="008866E4">
      <w:pPr>
        <w:pStyle w:val="FootnoteText"/>
        <w:jc w:val="both"/>
      </w:pPr>
      <w:r w:rsidRPr="007F4DED">
        <w:tab/>
      </w:r>
      <w:r w:rsidRPr="007F4DED">
        <w:rPr>
          <w:rStyle w:val="FootnoteReference"/>
        </w:rPr>
        <w:footnoteRef/>
      </w:r>
      <w:r w:rsidRPr="007F4DED">
        <w:t xml:space="preserve"> </w:t>
      </w:r>
      <w:bookmarkStart w:id="16" w:name="_Hlk137740943"/>
      <w:r w:rsidRPr="007F4DED">
        <w:t xml:space="preserve">Nabain Idrus, “Sanksi Hukuman Kebiri Kimia Ditinjau Dari Perspektif Hak Asasi Manusia”, </w:t>
      </w:r>
      <w:r w:rsidRPr="007F4DED">
        <w:rPr>
          <w:i/>
        </w:rPr>
        <w:t>Jurnal Kertha Semaya,</w:t>
      </w:r>
      <w:r w:rsidRPr="007F4DED">
        <w:t xml:space="preserve"> Vol. 9 No. 12 Tahun 2021</w:t>
      </w:r>
      <w:bookmarkEnd w:id="16"/>
      <w:r w:rsidRPr="007F4DED">
        <w:t>,hlm.2480</w:t>
      </w:r>
    </w:p>
  </w:footnote>
  <w:footnote w:id="26">
    <w:p w:rsidR="008866E4" w:rsidRPr="007F4DED" w:rsidRDefault="008866E4" w:rsidP="008866E4">
      <w:pPr>
        <w:autoSpaceDE w:val="0"/>
        <w:autoSpaceDN w:val="0"/>
        <w:adjustRightInd w:val="0"/>
        <w:jc w:val="both"/>
        <w:rPr>
          <w:sz w:val="20"/>
          <w:szCs w:val="20"/>
        </w:rPr>
      </w:pPr>
      <w:r w:rsidRPr="007F4DED">
        <w:rPr>
          <w:sz w:val="20"/>
          <w:szCs w:val="20"/>
        </w:rPr>
        <w:tab/>
      </w:r>
      <w:r w:rsidRPr="007F4DED">
        <w:rPr>
          <w:rStyle w:val="FootnoteReference"/>
          <w:sz w:val="20"/>
          <w:szCs w:val="20"/>
        </w:rPr>
        <w:footnoteRef/>
      </w:r>
      <w:r w:rsidRPr="007F4DED">
        <w:rPr>
          <w:sz w:val="20"/>
          <w:szCs w:val="20"/>
        </w:rPr>
        <w:t xml:space="preserve"> </w:t>
      </w:r>
      <w:bookmarkStart w:id="17" w:name="_Hlk137741084"/>
      <w:r w:rsidRPr="007F4DED">
        <w:rPr>
          <w:sz w:val="20"/>
          <w:szCs w:val="20"/>
        </w:rPr>
        <w:t>Sabarrudin Daming,  “Mengkaji Pidana Kebiri Dalam Perspektif Medis, Hukum dan HAM’’</w:t>
      </w:r>
      <w:r w:rsidRPr="007F4DED">
        <w:rPr>
          <w:i/>
          <w:iCs/>
          <w:sz w:val="20"/>
          <w:szCs w:val="20"/>
        </w:rPr>
        <w:t xml:space="preserve">Jurnal, </w:t>
      </w:r>
      <w:r w:rsidRPr="007F4DED">
        <w:rPr>
          <w:i/>
          <w:sz w:val="20"/>
          <w:szCs w:val="20"/>
        </w:rPr>
        <w:t>Fakultas Hukum Univ.Ibnu Khaldun Bogor</w:t>
      </w:r>
      <w:r w:rsidRPr="007F4DED">
        <w:rPr>
          <w:sz w:val="20"/>
          <w:szCs w:val="20"/>
        </w:rPr>
        <w:t>, Volume 9 No 1 Juni 2020</w:t>
      </w:r>
      <w:bookmarkEnd w:id="17"/>
      <w:r w:rsidRPr="007F4DED">
        <w:rPr>
          <w:sz w:val="20"/>
          <w:szCs w:val="20"/>
        </w:rPr>
        <w:t>, hlm.5.</w:t>
      </w:r>
    </w:p>
  </w:footnote>
  <w:footnote w:id="27">
    <w:p w:rsidR="008866E4" w:rsidRPr="007F4DED" w:rsidRDefault="008866E4" w:rsidP="008866E4">
      <w:pPr>
        <w:pStyle w:val="FootnoteText"/>
        <w:jc w:val="both"/>
      </w:pPr>
      <w:r w:rsidRPr="007F4DED">
        <w:tab/>
      </w:r>
      <w:r w:rsidRPr="007F4DED">
        <w:rPr>
          <w:rStyle w:val="FootnoteReference"/>
        </w:rPr>
        <w:footnoteRef/>
      </w:r>
      <w:r w:rsidRPr="007F4DED">
        <w:t xml:space="preserve"> Ibid, hlm.2481</w:t>
      </w:r>
    </w:p>
  </w:footnote>
  <w:footnote w:id="28">
    <w:p w:rsidR="008866E4" w:rsidRPr="007F4DED" w:rsidRDefault="008866E4" w:rsidP="008866E4">
      <w:pPr>
        <w:autoSpaceDE w:val="0"/>
        <w:autoSpaceDN w:val="0"/>
        <w:adjustRightInd w:val="0"/>
        <w:jc w:val="both"/>
        <w:rPr>
          <w:sz w:val="20"/>
          <w:szCs w:val="20"/>
        </w:rPr>
      </w:pPr>
      <w:r w:rsidRPr="007F4DED">
        <w:rPr>
          <w:sz w:val="20"/>
          <w:szCs w:val="20"/>
        </w:rPr>
        <w:tab/>
      </w:r>
      <w:r w:rsidRPr="007F4DED">
        <w:rPr>
          <w:rStyle w:val="FootnoteReference"/>
          <w:sz w:val="20"/>
          <w:szCs w:val="20"/>
        </w:rPr>
        <w:footnoteRef/>
      </w:r>
      <w:r w:rsidRPr="007F4DED">
        <w:rPr>
          <w:sz w:val="20"/>
          <w:szCs w:val="20"/>
        </w:rPr>
        <w:t xml:space="preserve"> </w:t>
      </w:r>
      <w:bookmarkStart w:id="18" w:name="_Hlk137741366"/>
      <w:r w:rsidRPr="007F4DED">
        <w:rPr>
          <w:sz w:val="20"/>
          <w:szCs w:val="20"/>
        </w:rPr>
        <w:t>Soetejo, Yulitasari Sunboro, Ali Sulaiman, “Tinjauan Etika Kedokteran Indonesia”</w:t>
      </w:r>
      <w:r w:rsidRPr="007F4DED">
        <w:rPr>
          <w:i/>
          <w:iCs/>
          <w:sz w:val="20"/>
          <w:szCs w:val="20"/>
        </w:rPr>
        <w:t xml:space="preserve">, Jurnal Etika Kedokteran Indonesia, </w:t>
      </w:r>
      <w:r w:rsidRPr="007F4DED">
        <w:rPr>
          <w:sz w:val="20"/>
          <w:szCs w:val="20"/>
        </w:rPr>
        <w:t>Volume 2, 2020</w:t>
      </w:r>
      <w:bookmarkEnd w:id="18"/>
      <w:r w:rsidRPr="007F4DED">
        <w:rPr>
          <w:sz w:val="20"/>
          <w:szCs w:val="20"/>
        </w:rPr>
        <w:t>, hlm.70.</w:t>
      </w:r>
    </w:p>
  </w:footnote>
  <w:footnote w:id="29">
    <w:p w:rsidR="008866E4" w:rsidRPr="007F4DED" w:rsidRDefault="008866E4" w:rsidP="008866E4">
      <w:pPr>
        <w:autoSpaceDE w:val="0"/>
        <w:autoSpaceDN w:val="0"/>
        <w:adjustRightInd w:val="0"/>
        <w:jc w:val="both"/>
        <w:rPr>
          <w:sz w:val="20"/>
          <w:szCs w:val="20"/>
        </w:rPr>
      </w:pPr>
      <w:r w:rsidRPr="007F4DED">
        <w:rPr>
          <w:sz w:val="20"/>
          <w:szCs w:val="20"/>
        </w:rPr>
        <w:tab/>
      </w:r>
      <w:r w:rsidRPr="007F4DED">
        <w:rPr>
          <w:rStyle w:val="FootnoteReference"/>
          <w:sz w:val="20"/>
          <w:szCs w:val="20"/>
        </w:rPr>
        <w:footnoteRef/>
      </w:r>
      <w:r w:rsidRPr="007F4DED">
        <w:rPr>
          <w:sz w:val="20"/>
          <w:szCs w:val="20"/>
        </w:rPr>
        <w:t xml:space="preserve"> </w:t>
      </w:r>
      <w:bookmarkStart w:id="19" w:name="_Hlk137741526"/>
      <w:r w:rsidRPr="007F4DED">
        <w:rPr>
          <w:sz w:val="20"/>
          <w:szCs w:val="20"/>
        </w:rPr>
        <w:t>Zulhasmar “Implikasi Hukum Penolakan Tindakan Medis”</w:t>
      </w:r>
      <w:r w:rsidRPr="007F4DED">
        <w:rPr>
          <w:i/>
          <w:iCs/>
          <w:sz w:val="20"/>
          <w:szCs w:val="20"/>
        </w:rPr>
        <w:t xml:space="preserve">. Lex Jurnalica, </w:t>
      </w:r>
      <w:r w:rsidRPr="007F4DED">
        <w:rPr>
          <w:sz w:val="20"/>
          <w:szCs w:val="20"/>
        </w:rPr>
        <w:t>Vol. 5, No. 2, April 2020</w:t>
      </w:r>
      <w:bookmarkEnd w:id="19"/>
      <w:r w:rsidRPr="007F4DED">
        <w:rPr>
          <w:sz w:val="20"/>
          <w:szCs w:val="20"/>
        </w:rPr>
        <w:t>, hlm.99.</w:t>
      </w:r>
    </w:p>
  </w:footnote>
  <w:footnote w:id="30">
    <w:p w:rsidR="008866E4" w:rsidRPr="007F4DED" w:rsidRDefault="008866E4" w:rsidP="008866E4">
      <w:pPr>
        <w:autoSpaceDE w:val="0"/>
        <w:autoSpaceDN w:val="0"/>
        <w:adjustRightInd w:val="0"/>
        <w:jc w:val="both"/>
        <w:rPr>
          <w:sz w:val="20"/>
          <w:szCs w:val="20"/>
        </w:rPr>
      </w:pPr>
      <w:r w:rsidRPr="007F4DED">
        <w:rPr>
          <w:sz w:val="20"/>
          <w:szCs w:val="20"/>
        </w:rPr>
        <w:tab/>
      </w:r>
      <w:r w:rsidRPr="007F4DED">
        <w:rPr>
          <w:rStyle w:val="FootnoteReference"/>
          <w:sz w:val="20"/>
          <w:szCs w:val="20"/>
        </w:rPr>
        <w:footnoteRef/>
      </w:r>
      <w:r w:rsidRPr="007F4DED">
        <w:rPr>
          <w:sz w:val="20"/>
          <w:szCs w:val="20"/>
        </w:rPr>
        <w:t xml:space="preserve"> Saharuddin Daming, </w:t>
      </w:r>
      <w:r w:rsidRPr="007F4DED">
        <w:rPr>
          <w:i/>
          <w:sz w:val="20"/>
          <w:szCs w:val="20"/>
        </w:rPr>
        <w:t>Op.Cit</w:t>
      </w:r>
      <w:r w:rsidRPr="007F4DED">
        <w:rPr>
          <w:sz w:val="20"/>
          <w:szCs w:val="20"/>
        </w:rPr>
        <w:t>, hlm.33.</w:t>
      </w:r>
    </w:p>
  </w:footnote>
  <w:footnote w:id="31">
    <w:p w:rsidR="008866E4" w:rsidRPr="007F4DED" w:rsidRDefault="008866E4" w:rsidP="008866E4">
      <w:pPr>
        <w:pStyle w:val="FootnoteText"/>
        <w:ind w:firstLine="720"/>
        <w:jc w:val="both"/>
      </w:pPr>
      <w:r w:rsidRPr="007F4DED">
        <w:rPr>
          <w:rStyle w:val="FootnoteReference"/>
        </w:rPr>
        <w:footnoteRef/>
      </w:r>
      <w:bookmarkStart w:id="21" w:name="_Hlk133183703"/>
      <w:r w:rsidRPr="007F4DED">
        <w:rPr>
          <w:i/>
        </w:rPr>
        <w:t>https://beritagar.id/artikel/sains</w:t>
      </w:r>
      <w:r w:rsidRPr="007F4DED">
        <w:t xml:space="preserve">-tekno, “Apa Dan Bagaimana Kebiri Kimiawi Bagi Paedofil”, diakses Senin,  </w:t>
      </w:r>
      <w:r>
        <w:t>01 Juli 2024</w:t>
      </w:r>
      <w:bookmarkEnd w:id="21"/>
    </w:p>
  </w:footnote>
  <w:footnote w:id="32">
    <w:p w:rsidR="008866E4" w:rsidRPr="007F4DED" w:rsidRDefault="008866E4" w:rsidP="008866E4">
      <w:pPr>
        <w:pStyle w:val="Default"/>
        <w:ind w:firstLine="720"/>
        <w:jc w:val="both"/>
        <w:rPr>
          <w:rFonts w:ascii="Times New Roman" w:hAnsi="Times New Roman" w:cs="Times New Roman"/>
          <w:sz w:val="20"/>
          <w:szCs w:val="20"/>
        </w:rPr>
      </w:pPr>
      <w:r w:rsidRPr="007F4DED">
        <w:rPr>
          <w:rStyle w:val="FootnoteReference"/>
          <w:rFonts w:ascii="Times New Roman" w:hAnsi="Times New Roman" w:cs="Times New Roman"/>
          <w:sz w:val="20"/>
          <w:szCs w:val="20"/>
        </w:rPr>
        <w:footnoteRef/>
      </w:r>
      <w:r w:rsidRPr="007F4DED">
        <w:rPr>
          <w:rFonts w:ascii="Times New Roman" w:hAnsi="Times New Roman" w:cs="Times New Roman"/>
          <w:sz w:val="20"/>
          <w:szCs w:val="20"/>
        </w:rPr>
        <w:t xml:space="preserve">  </w:t>
      </w:r>
      <w:r w:rsidRPr="007F4DED">
        <w:rPr>
          <w:rFonts w:ascii="Times New Roman" w:hAnsi="Times New Roman" w:cs="Times New Roman"/>
          <w:bCs/>
          <w:sz w:val="20"/>
          <w:szCs w:val="20"/>
        </w:rPr>
        <w:t>Tunggal S</w:t>
      </w:r>
      <w:r w:rsidRPr="007F4DED">
        <w:rPr>
          <w:rFonts w:ascii="Times New Roman" w:hAnsi="Times New Roman" w:cs="Times New Roman"/>
          <w:bCs/>
          <w:sz w:val="20"/>
          <w:szCs w:val="20"/>
          <w:lang w:val="en-US"/>
        </w:rPr>
        <w:t xml:space="preserve"> dan</w:t>
      </w:r>
      <w:r w:rsidRPr="007F4DED">
        <w:rPr>
          <w:rFonts w:ascii="Times New Roman" w:hAnsi="Times New Roman" w:cs="Times New Roman"/>
          <w:bCs/>
          <w:sz w:val="20"/>
          <w:szCs w:val="20"/>
        </w:rPr>
        <w:t xml:space="preserve"> Nathalina Naibaho</w:t>
      </w:r>
      <w:r w:rsidRPr="007F4DED">
        <w:rPr>
          <w:rFonts w:ascii="Times New Roman" w:hAnsi="Times New Roman" w:cs="Times New Roman"/>
          <w:b/>
          <w:bCs/>
          <w:sz w:val="20"/>
          <w:szCs w:val="20"/>
        </w:rPr>
        <w:t xml:space="preserve"> </w:t>
      </w:r>
      <w:r w:rsidRPr="007F4DED">
        <w:rPr>
          <w:rFonts w:ascii="Times New Roman" w:hAnsi="Times New Roman" w:cs="Times New Roman"/>
          <w:i/>
          <w:iCs/>
          <w:sz w:val="20"/>
          <w:szCs w:val="20"/>
          <w:lang w:val="en-US"/>
        </w:rPr>
        <w:t>Op.Cit</w:t>
      </w:r>
      <w:r w:rsidRPr="007F4DED">
        <w:rPr>
          <w:rFonts w:ascii="Times New Roman" w:hAnsi="Times New Roman" w:cs="Times New Roman"/>
          <w:iCs/>
          <w:sz w:val="20"/>
          <w:szCs w:val="20"/>
        </w:rPr>
        <w:t>, hlm.336.</w:t>
      </w:r>
    </w:p>
  </w:footnote>
  <w:footnote w:id="33">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i/>
        </w:rPr>
        <w:t>Ibid</w:t>
      </w:r>
      <w:r w:rsidRPr="007F4DED">
        <w:t>, hlm.337.</w:t>
      </w:r>
    </w:p>
  </w:footnote>
  <w:footnote w:id="34">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i/>
        </w:rPr>
        <w:t>Ibid</w:t>
      </w:r>
      <w:r w:rsidRPr="007F4DED">
        <w:t>, hlm.338.</w:t>
      </w:r>
    </w:p>
  </w:footnote>
  <w:footnote w:id="35">
    <w:p w:rsidR="008866E4" w:rsidRPr="007F4DED" w:rsidRDefault="008866E4" w:rsidP="008866E4">
      <w:pPr>
        <w:pStyle w:val="FootnoteText"/>
        <w:ind w:firstLine="720"/>
        <w:jc w:val="both"/>
      </w:pPr>
      <w:r w:rsidRPr="007F4DED">
        <w:rPr>
          <w:rStyle w:val="FootnoteReference"/>
        </w:rPr>
        <w:footnoteRef/>
      </w:r>
      <w:r w:rsidRPr="007F4DED">
        <w:t xml:space="preserve"> M. Sholehuddin, </w:t>
      </w:r>
      <w:r w:rsidRPr="007F4DED">
        <w:rPr>
          <w:i/>
          <w:iCs/>
        </w:rPr>
        <w:t>Op.Cit</w:t>
      </w:r>
      <w:r w:rsidRPr="007F4DED">
        <w:t xml:space="preserve">, hlm. 116  </w:t>
      </w:r>
    </w:p>
  </w:footnote>
  <w:footnote w:id="36">
    <w:p w:rsidR="008866E4" w:rsidRPr="007F4DED" w:rsidRDefault="008866E4" w:rsidP="008866E4">
      <w:pPr>
        <w:pStyle w:val="FootnoteText"/>
        <w:ind w:firstLine="720"/>
        <w:jc w:val="both"/>
      </w:pPr>
      <w:r w:rsidRPr="007F4DED">
        <w:rPr>
          <w:rStyle w:val="FootnoteReference"/>
        </w:rPr>
        <w:footnoteRef/>
      </w:r>
      <w:r w:rsidRPr="007F4DED">
        <w:t xml:space="preserve"> Teguh Prasetyo, </w:t>
      </w:r>
      <w:r w:rsidRPr="007F4DED">
        <w:rPr>
          <w:i/>
          <w:iCs/>
        </w:rPr>
        <w:t xml:space="preserve">Op.Cit, </w:t>
      </w:r>
      <w:r w:rsidRPr="007F4DED">
        <w:t xml:space="preserve">hlm. 87-88  </w:t>
      </w:r>
    </w:p>
  </w:footnote>
  <w:footnote w:id="37">
    <w:p w:rsidR="008866E4" w:rsidRPr="007F4DED" w:rsidRDefault="008866E4" w:rsidP="008866E4">
      <w:pPr>
        <w:pStyle w:val="FootnoteText"/>
        <w:ind w:firstLine="720"/>
        <w:jc w:val="both"/>
      </w:pPr>
      <w:r w:rsidRPr="007F4DED">
        <w:rPr>
          <w:rStyle w:val="FootnoteReference"/>
        </w:rPr>
        <w:footnoteRef/>
      </w:r>
      <w:bookmarkStart w:id="22" w:name="_Hlk133183898"/>
      <w:r w:rsidRPr="007F4DED">
        <w:t xml:space="preserve">Muhammad Ichsan, “Kedudukan Pidana Kebiri Dalam Sistem Pemidanaan di Indonesia (Pasca Dikeluarkannya Perppu No. 1 Tahun 2016”, </w:t>
      </w:r>
      <w:r w:rsidRPr="007F4DED">
        <w:rPr>
          <w:i/>
        </w:rPr>
        <w:t>Jurnal Novelty</w:t>
      </w:r>
      <w:r w:rsidRPr="007F4DED">
        <w:t xml:space="preserve"> Vol. 8 No. 1 Februari 20</w:t>
      </w:r>
      <w:bookmarkEnd w:id="22"/>
      <w:r>
        <w:t>21</w:t>
      </w:r>
      <w:r w:rsidRPr="007F4DED">
        <w:t>, hlm.79.</w:t>
      </w:r>
    </w:p>
  </w:footnote>
  <w:footnote w:id="38">
    <w:p w:rsidR="008866E4" w:rsidRPr="007F4DED" w:rsidRDefault="008866E4" w:rsidP="008866E4">
      <w:pPr>
        <w:pStyle w:val="FootnoteText"/>
        <w:ind w:firstLine="720"/>
        <w:jc w:val="both"/>
      </w:pPr>
      <w:r w:rsidRPr="007F4DED">
        <w:rPr>
          <w:rStyle w:val="FootnoteReference"/>
        </w:rPr>
        <w:footnoteRef/>
      </w:r>
      <w:r w:rsidRPr="007F4DED">
        <w:t xml:space="preserve"> </w:t>
      </w:r>
      <w:bookmarkStart w:id="23" w:name="_Hlk133183918"/>
      <w:r w:rsidRPr="007F4DED">
        <w:t>Mailan Sobirin, “</w:t>
      </w:r>
      <w:r w:rsidRPr="007F4DED">
        <w:rPr>
          <w:iCs/>
        </w:rPr>
        <w:t>Analisis Keunikan dan Missing Lik Antara Hukum Pidana Internasional, Etika Profesi, dan Politik ; Telaah Kritis PERPPU Nomor 1 Tahun 2016 Tentang Perubahan Atas Undang-Undang Nomor 23 Tahun 2002 Tentang Perlindungan Anak</w:t>
      </w:r>
      <w:r w:rsidRPr="007F4DED">
        <w:rPr>
          <w:i/>
          <w:iCs/>
        </w:rPr>
        <w:t>”,</w:t>
      </w:r>
      <w:r w:rsidRPr="007F4DED">
        <w:t xml:space="preserve"> </w:t>
      </w:r>
      <w:r w:rsidRPr="007F4DED">
        <w:rPr>
          <w:i/>
        </w:rPr>
        <w:t>Jurnal Hukum Novelty</w:t>
      </w:r>
      <w:r w:rsidRPr="007F4DED">
        <w:t xml:space="preserve"> Vol. 7 No. 2 Agustus</w:t>
      </w:r>
      <w:r w:rsidRPr="007F4DED">
        <w:rPr>
          <w:i/>
          <w:iCs/>
        </w:rPr>
        <w:t xml:space="preserve"> </w:t>
      </w:r>
      <w:r w:rsidRPr="007F4DED">
        <w:t>20</w:t>
      </w:r>
      <w:bookmarkEnd w:id="23"/>
      <w:r>
        <w:t>20</w:t>
      </w:r>
      <w:r w:rsidRPr="007F4DED">
        <w:t>, hlm.103.</w:t>
      </w:r>
    </w:p>
  </w:footnote>
  <w:footnote w:id="39">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color w:val="000000"/>
        </w:rPr>
        <w:t xml:space="preserve">Barda Nawawi Arief. </w:t>
      </w:r>
      <w:r w:rsidRPr="007F4DED">
        <w:rPr>
          <w:i/>
          <w:color w:val="000000"/>
        </w:rPr>
        <w:t>Bunga Rampai Kebijakan Hukum Pidana Perkembangan Penyusunan Konsep KUHP Baru</w:t>
      </w:r>
      <w:r w:rsidRPr="007F4DED">
        <w:rPr>
          <w:color w:val="000000"/>
        </w:rPr>
        <w:t>,  Kencana</w:t>
      </w:r>
      <w:r w:rsidRPr="007F4DED">
        <w:t>,</w:t>
      </w:r>
      <w:r w:rsidRPr="007F4DED">
        <w:rPr>
          <w:color w:val="000000"/>
        </w:rPr>
        <w:t xml:space="preserve"> Jakarta: 2017,</w:t>
      </w:r>
      <w:r w:rsidRPr="007F4DED">
        <w:rPr>
          <w:i/>
          <w:color w:val="000000"/>
        </w:rPr>
        <w:t xml:space="preserve"> </w:t>
      </w:r>
      <w:r w:rsidRPr="007F4DED">
        <w:t xml:space="preserve"> hlm  26.</w:t>
      </w:r>
    </w:p>
  </w:footnote>
  <w:footnote w:id="40">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color w:val="000000"/>
        </w:rPr>
        <w:t xml:space="preserve">Nursariani Simatupang dan Faisal, </w:t>
      </w:r>
      <w:r w:rsidRPr="007F4DED">
        <w:rPr>
          <w:i/>
          <w:color w:val="000000"/>
        </w:rPr>
        <w:t xml:space="preserve">Kriminologi Suatu Pengantar. </w:t>
      </w:r>
      <w:r w:rsidRPr="007F4DED">
        <w:rPr>
          <w:color w:val="000000"/>
        </w:rPr>
        <w:t>Pustaka Prima</w:t>
      </w:r>
      <w:r w:rsidRPr="007F4DED">
        <w:rPr>
          <w:i/>
        </w:rPr>
        <w:t>,</w:t>
      </w:r>
      <w:r w:rsidRPr="007F4DED">
        <w:rPr>
          <w:color w:val="000000"/>
        </w:rPr>
        <w:t xml:space="preserve"> Medan, 2017, hlm.</w:t>
      </w:r>
      <w:r w:rsidRPr="007F4DED">
        <w:t xml:space="preserve"> 248.</w:t>
      </w:r>
    </w:p>
  </w:footnote>
  <w:footnote w:id="41">
    <w:p w:rsidR="008866E4" w:rsidRPr="007F4DED" w:rsidRDefault="008866E4" w:rsidP="008866E4">
      <w:pPr>
        <w:pStyle w:val="FootnoteText"/>
        <w:ind w:firstLine="720"/>
        <w:jc w:val="both"/>
      </w:pPr>
      <w:r w:rsidRPr="007F4DED">
        <w:rPr>
          <w:rStyle w:val="FootnoteReference"/>
        </w:rPr>
        <w:footnoteRef/>
      </w:r>
      <w:r w:rsidRPr="007F4DED">
        <w:t xml:space="preserve"> Barda Nawawi Arief, </w:t>
      </w:r>
      <w:r w:rsidRPr="007F4DED">
        <w:rPr>
          <w:i/>
        </w:rPr>
        <w:t xml:space="preserve">Op.Cit., </w:t>
      </w:r>
      <w:r w:rsidRPr="007F4DED">
        <w:t>hlm 4.</w:t>
      </w:r>
    </w:p>
  </w:footnote>
  <w:footnote w:id="42">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i/>
        </w:rPr>
        <w:t xml:space="preserve">Ibid., </w:t>
      </w:r>
      <w:r w:rsidRPr="007F4DED">
        <w:t xml:space="preserve"> hlm.26.</w:t>
      </w:r>
    </w:p>
  </w:footnote>
  <w:footnote w:id="43">
    <w:p w:rsidR="008866E4" w:rsidRPr="007F4DED" w:rsidRDefault="008866E4" w:rsidP="008866E4">
      <w:pPr>
        <w:autoSpaceDE w:val="0"/>
        <w:autoSpaceDN w:val="0"/>
        <w:adjustRightInd w:val="0"/>
        <w:ind w:firstLine="720"/>
        <w:jc w:val="both"/>
        <w:rPr>
          <w:sz w:val="20"/>
          <w:szCs w:val="20"/>
        </w:rPr>
      </w:pPr>
      <w:r w:rsidRPr="007F4DED">
        <w:rPr>
          <w:rStyle w:val="FootnoteReference"/>
          <w:sz w:val="20"/>
          <w:szCs w:val="20"/>
        </w:rPr>
        <w:footnoteRef/>
      </w:r>
      <w:r w:rsidRPr="007F4DED">
        <w:rPr>
          <w:sz w:val="20"/>
          <w:szCs w:val="20"/>
        </w:rPr>
        <w:t xml:space="preserve"> </w:t>
      </w:r>
      <w:r w:rsidRPr="007F4DED">
        <w:rPr>
          <w:color w:val="000000"/>
          <w:sz w:val="20"/>
          <w:szCs w:val="20"/>
        </w:rPr>
        <w:t>Nursariani Simatupang Faisal</w:t>
      </w:r>
      <w:r w:rsidRPr="007F4DED">
        <w:rPr>
          <w:i/>
          <w:sz w:val="20"/>
          <w:szCs w:val="20"/>
        </w:rPr>
        <w:t xml:space="preserve">, Op. Cit, </w:t>
      </w:r>
      <w:r w:rsidRPr="007F4DED">
        <w:rPr>
          <w:sz w:val="20"/>
          <w:szCs w:val="20"/>
        </w:rPr>
        <w:t xml:space="preserve"> hlm248.</w:t>
      </w:r>
    </w:p>
  </w:footnote>
  <w:footnote w:id="44">
    <w:p w:rsidR="008866E4" w:rsidRPr="007F4DED" w:rsidRDefault="008866E4" w:rsidP="008866E4">
      <w:pPr>
        <w:pStyle w:val="FootnoteText"/>
        <w:ind w:firstLine="720"/>
        <w:jc w:val="both"/>
      </w:pPr>
      <w:r w:rsidRPr="007F4DED">
        <w:rPr>
          <w:rStyle w:val="FootnoteReference"/>
        </w:rPr>
        <w:footnoteRef/>
      </w:r>
      <w:r w:rsidRPr="007F4DED">
        <w:t xml:space="preserve"> Dey Ravena dan Kristian, </w:t>
      </w:r>
      <w:r w:rsidRPr="007F4DED">
        <w:rPr>
          <w:i/>
        </w:rPr>
        <w:t xml:space="preserve">Op. Cit., </w:t>
      </w:r>
      <w:r w:rsidRPr="007F4DED">
        <w:t>hlm 117.</w:t>
      </w:r>
    </w:p>
  </w:footnote>
  <w:footnote w:id="45">
    <w:p w:rsidR="008866E4" w:rsidRPr="007F4DED" w:rsidRDefault="008866E4" w:rsidP="008866E4">
      <w:pPr>
        <w:pStyle w:val="FootnoteText"/>
        <w:ind w:firstLine="720"/>
        <w:jc w:val="both"/>
      </w:pPr>
      <w:r w:rsidRPr="007F4DED">
        <w:rPr>
          <w:rStyle w:val="FootnoteReference"/>
        </w:rPr>
        <w:footnoteRef/>
      </w:r>
      <w:r w:rsidRPr="007F4DED">
        <w:t xml:space="preserve"> </w:t>
      </w:r>
      <w:r w:rsidRPr="007F4DED">
        <w:rPr>
          <w:i/>
        </w:rPr>
        <w:t xml:space="preserve">Ibid., </w:t>
      </w:r>
      <w:r w:rsidRPr="007F4DED">
        <w:t>hlm.118.</w:t>
      </w:r>
    </w:p>
  </w:footnote>
  <w:footnote w:id="46">
    <w:p w:rsidR="008866E4" w:rsidRPr="007F4DED" w:rsidRDefault="008866E4" w:rsidP="008866E4">
      <w:pPr>
        <w:pStyle w:val="FootnoteText"/>
        <w:ind w:firstLine="720"/>
        <w:jc w:val="both"/>
        <w:rPr>
          <w:i/>
        </w:rPr>
      </w:pPr>
      <w:r w:rsidRPr="007F4DED">
        <w:rPr>
          <w:rStyle w:val="FootnoteReference"/>
        </w:rPr>
        <w:footnoteRef/>
      </w:r>
      <w:r w:rsidRPr="007F4DED">
        <w:t xml:space="preserve"> </w:t>
      </w:r>
      <w:r w:rsidRPr="007F4DED">
        <w:rPr>
          <w:i/>
        </w:rPr>
        <w:t xml:space="preserve">Ibid., </w:t>
      </w:r>
      <w:r w:rsidRPr="007F4DED">
        <w:t>hlm.  119.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342548">
      <w:rPr>
        <w:rStyle w:val="PageNumber"/>
        <w:noProof/>
      </w:rPr>
      <w:t>107</w:t>
    </w:r>
    <w:r w:rsidR="00641F0E">
      <w:rPr>
        <w:rStyle w:val="PageNumber"/>
      </w:rPr>
      <w:fldChar w:fldCharType="end"/>
    </w:r>
  </w:p>
  <w:p w:rsidR="00342548" w:rsidRPr="004C4471" w:rsidRDefault="00342548" w:rsidP="00342548">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10:48:29</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548" w:rsidRPr="004C4471" w:rsidRDefault="00342548" w:rsidP="00342548">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10:48:29</w:t>
    </w:r>
  </w:p>
  <w:p w:rsidR="00CB3AF2" w:rsidRDefault="00CB3AF2">
    <w:pPr>
      <w:pStyle w:val="Header"/>
    </w:pPr>
    <w:r>
      <w:rPr>
        <w:noProof/>
      </w:rPr>
      <w:pict>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6285A14"/>
    <w:multiLevelType w:val="hybridMultilevel"/>
    <w:tmpl w:val="F61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4">
    <w:nsid w:val="124478DB"/>
    <w:multiLevelType w:val="multilevel"/>
    <w:tmpl w:val="B45CAF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5">
    <w:nsid w:val="126F52D7"/>
    <w:multiLevelType w:val="hybridMultilevel"/>
    <w:tmpl w:val="3A6E1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91FD9"/>
    <w:multiLevelType w:val="hybridMultilevel"/>
    <w:tmpl w:val="DA769A84"/>
    <w:lvl w:ilvl="0" w:tplc="2BE67962">
      <w:start w:val="1"/>
      <w:numFmt w:val="decimal"/>
      <w:lvlText w:val="%1."/>
      <w:lvlJc w:val="left"/>
      <w:pPr>
        <w:tabs>
          <w:tab w:val="num" w:pos="1800"/>
        </w:tabs>
        <w:ind w:left="180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55258E"/>
    <w:multiLevelType w:val="multilevel"/>
    <w:tmpl w:val="62F4C3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5DE0771"/>
    <w:multiLevelType w:val="hybridMultilevel"/>
    <w:tmpl w:val="46326FF8"/>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105CDA76">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0">
    <w:nsid w:val="16F5591F"/>
    <w:multiLevelType w:val="multilevel"/>
    <w:tmpl w:val="F5E4BC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B3868"/>
    <w:multiLevelType w:val="hybridMultilevel"/>
    <w:tmpl w:val="CF1A8D26"/>
    <w:lvl w:ilvl="0" w:tplc="CFBE60D2">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nsid w:val="1BB94B58"/>
    <w:multiLevelType w:val="hybridMultilevel"/>
    <w:tmpl w:val="3BC4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AF6884"/>
    <w:multiLevelType w:val="hybridMultilevel"/>
    <w:tmpl w:val="A1EA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100F3"/>
    <w:multiLevelType w:val="hybridMultilevel"/>
    <w:tmpl w:val="1F1CD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48175A"/>
    <w:multiLevelType w:val="hybridMultilevel"/>
    <w:tmpl w:val="E97A7044"/>
    <w:lvl w:ilvl="0" w:tplc="22767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C9382C"/>
    <w:multiLevelType w:val="singleLevel"/>
    <w:tmpl w:val="744E5658"/>
    <w:lvl w:ilvl="0">
      <w:start w:val="1"/>
      <w:numFmt w:val="decimal"/>
      <w:lvlText w:val="%1."/>
      <w:lvlJc w:val="left"/>
      <w:pPr>
        <w:tabs>
          <w:tab w:val="num" w:pos="720"/>
        </w:tabs>
        <w:ind w:left="720" w:hanging="360"/>
      </w:pPr>
    </w:lvl>
  </w:abstractNum>
  <w:abstractNum w:abstractNumId="18">
    <w:nsid w:val="2F020D0F"/>
    <w:multiLevelType w:val="hybridMultilevel"/>
    <w:tmpl w:val="E6EA5082"/>
    <w:lvl w:ilvl="0" w:tplc="6F6AA77E">
      <w:start w:val="1"/>
      <w:numFmt w:val="decimal"/>
      <w:lvlText w:val="%1)"/>
      <w:lvlJc w:val="left"/>
      <w:pPr>
        <w:ind w:left="720" w:hanging="360"/>
      </w:pPr>
      <w:rPr>
        <w:rFonts w:hint="default"/>
        <w:i w:val="0"/>
      </w:rPr>
    </w:lvl>
    <w:lvl w:ilvl="1" w:tplc="D7045E18">
      <w:start w:val="1"/>
      <w:numFmt w:val="decimal"/>
      <w:lvlText w:val="(%2)"/>
      <w:lvlJc w:val="left"/>
      <w:pPr>
        <w:ind w:left="1440" w:hanging="360"/>
      </w:pPr>
      <w:rPr>
        <w:rFonts w:hint="default"/>
      </w:rPr>
    </w:lvl>
    <w:lvl w:ilvl="2" w:tplc="E006C54C">
      <w:start w:val="1"/>
      <w:numFmt w:val="decimal"/>
      <w:lvlText w:val="%3)"/>
      <w:lvlJc w:val="left"/>
      <w:pPr>
        <w:ind w:left="2340" w:hanging="360"/>
      </w:pPr>
      <w:rPr>
        <w:rFonts w:ascii="Caladea-Regular" w:hAnsi="Caladea-Regular" w:cs="Caladea-Regular"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061097"/>
    <w:multiLevelType w:val="hybridMultilevel"/>
    <w:tmpl w:val="735E4720"/>
    <w:lvl w:ilvl="0" w:tplc="D4D20096">
      <w:start w:val="1"/>
      <w:numFmt w:val="decimal"/>
      <w:lvlText w:val="%1."/>
      <w:lvlJc w:val="left"/>
      <w:pPr>
        <w:ind w:left="720" w:hanging="360"/>
      </w:pPr>
      <w:rPr>
        <w:rFonts w:hint="default"/>
        <w:b w:val="0"/>
      </w:rPr>
    </w:lvl>
    <w:lvl w:ilvl="1" w:tplc="12024BC4">
      <w:start w:val="1"/>
      <w:numFmt w:val="decimal"/>
      <w:lvlText w:val="%2."/>
      <w:lvlJc w:val="left"/>
      <w:pPr>
        <w:ind w:left="1440" w:hanging="360"/>
      </w:pPr>
      <w:rPr>
        <w:rFonts w:ascii="Times New Roman" w:eastAsia="Times New Roman" w:hAnsi="Times New Roman" w:cs="Times New Roman" w:hint="default"/>
      </w:rPr>
    </w:lvl>
    <w:lvl w:ilvl="2" w:tplc="7818B6BC">
      <w:start w:val="1"/>
      <w:numFmt w:val="decimal"/>
      <w:lvlText w:val="%3)"/>
      <w:lvlJc w:val="left"/>
      <w:pPr>
        <w:ind w:left="2340" w:hanging="360"/>
      </w:pPr>
      <w:rPr>
        <w:rFonts w:hint="default"/>
      </w:rPr>
    </w:lvl>
    <w:lvl w:ilvl="3" w:tplc="70D0756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53610"/>
    <w:multiLevelType w:val="hybridMultilevel"/>
    <w:tmpl w:val="EF38FF50"/>
    <w:lvl w:ilvl="0" w:tplc="F790073C">
      <w:start w:val="1"/>
      <w:numFmt w:val="upperLetter"/>
      <w:lvlText w:val="%1."/>
      <w:lvlJc w:val="left"/>
      <w:pPr>
        <w:tabs>
          <w:tab w:val="num" w:pos="720"/>
        </w:tabs>
        <w:ind w:left="720" w:hanging="360"/>
      </w:pPr>
      <w:rPr>
        <w:rFonts w:hint="default"/>
      </w:rPr>
    </w:lvl>
    <w:lvl w:ilvl="1" w:tplc="5D56434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100E27B6">
      <w:start w:val="1"/>
      <w:numFmt w:val="decimal"/>
      <w:lvlText w:val="%5)"/>
      <w:lvlJc w:val="left"/>
      <w:pPr>
        <w:ind w:left="3600" w:hanging="360"/>
      </w:pPr>
      <w:rPr>
        <w:rFonts w:ascii="Arial" w:eastAsia="Times New Roman" w:hAnsi="Arial" w:cs="Arial"/>
      </w:rPr>
    </w:lvl>
    <w:lvl w:ilvl="5" w:tplc="3856B81A">
      <w:start w:val="1"/>
      <w:numFmt w:val="decimal"/>
      <w:lvlText w:val="%6)"/>
      <w:lvlJc w:val="left"/>
      <w:pPr>
        <w:ind w:left="4500" w:hanging="360"/>
      </w:pPr>
      <w:rPr>
        <w:rFonts w:ascii="Arial" w:eastAsia="Times New Roman" w:hAnsi="Arial" w:cs="Arial"/>
      </w:rPr>
    </w:lvl>
    <w:lvl w:ilvl="6" w:tplc="B5EA683A">
      <w:start w:val="2"/>
      <w:numFmt w:val="decimal"/>
      <w:lvlText w:val="%7"/>
      <w:lvlJc w:val="left"/>
      <w:pPr>
        <w:ind w:left="5040" w:hanging="360"/>
      </w:pPr>
      <w:rPr>
        <w:rFonts w:hint="default"/>
        <w:color w:val="auto"/>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DD207E"/>
    <w:multiLevelType w:val="hybridMultilevel"/>
    <w:tmpl w:val="2890707C"/>
    <w:lvl w:ilvl="0" w:tplc="F3B04BE6">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33852391"/>
    <w:multiLevelType w:val="multilevel"/>
    <w:tmpl w:val="53B24CD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23">
    <w:nsid w:val="3CAA0FF6"/>
    <w:multiLevelType w:val="hybridMultilevel"/>
    <w:tmpl w:val="432C6DD6"/>
    <w:lvl w:ilvl="0" w:tplc="4B0A4B76">
      <w:start w:val="1"/>
      <w:numFmt w:val="decimal"/>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5">
    <w:nsid w:val="43D9120C"/>
    <w:multiLevelType w:val="hybridMultilevel"/>
    <w:tmpl w:val="E7867DB4"/>
    <w:lvl w:ilvl="0" w:tplc="069261D4">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678363F"/>
    <w:multiLevelType w:val="hybridMultilevel"/>
    <w:tmpl w:val="531A9D70"/>
    <w:lvl w:ilvl="0" w:tplc="2E862048">
      <w:start w:val="1"/>
      <w:numFmt w:val="lowerLetter"/>
      <w:lvlText w:val="%1."/>
      <w:lvlJc w:val="left"/>
      <w:pPr>
        <w:tabs>
          <w:tab w:val="num" w:pos="720"/>
        </w:tabs>
        <w:ind w:left="720" w:hanging="360"/>
      </w:pPr>
      <w:rPr>
        <w:rFonts w:ascii="Arial" w:eastAsia="Times New Roman" w:hAnsi="Arial" w:cs="Arial" w:hint="default"/>
      </w:rPr>
    </w:lvl>
    <w:lvl w:ilvl="1" w:tplc="62B2A9E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5C06DC24">
      <w:start w:val="1"/>
      <w:numFmt w:val="upperLetter"/>
      <w:lvlText w:val="%3."/>
      <w:lvlJc w:val="left"/>
      <w:pPr>
        <w:tabs>
          <w:tab w:val="num" w:pos="2340"/>
        </w:tabs>
        <w:ind w:left="2340" w:hanging="360"/>
      </w:pPr>
      <w:rPr>
        <w:rFonts w:hint="default"/>
      </w:rPr>
    </w:lvl>
    <w:lvl w:ilvl="3" w:tplc="62F82994">
      <w:start w:val="1"/>
      <w:numFmt w:val="decimal"/>
      <w:lvlText w:val="%4)"/>
      <w:lvlJc w:val="left"/>
      <w:pPr>
        <w:ind w:left="2880" w:hanging="360"/>
      </w:pPr>
      <w:rPr>
        <w:rFonts w:hint="default"/>
      </w:rPr>
    </w:lvl>
    <w:lvl w:ilvl="4" w:tplc="04C076E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6736F1"/>
    <w:multiLevelType w:val="hybridMultilevel"/>
    <w:tmpl w:val="652CC012"/>
    <w:lvl w:ilvl="0" w:tplc="3E746DEA">
      <w:start w:val="1"/>
      <w:numFmt w:val="upperLetter"/>
      <w:lvlText w:val="%1."/>
      <w:lvlJc w:val="left"/>
      <w:pPr>
        <w:ind w:left="1080" w:hanging="360"/>
      </w:pPr>
      <w:rPr>
        <w:rFonts w:hint="default"/>
        <w:b/>
      </w:rPr>
    </w:lvl>
    <w:lvl w:ilvl="1" w:tplc="1CC2BB48">
      <w:start w:val="1"/>
      <w:numFmt w:val="decimal"/>
      <w:lvlText w:val="%2."/>
      <w:lvlJc w:val="left"/>
      <w:pPr>
        <w:ind w:left="1800" w:hanging="360"/>
      </w:pPr>
      <w:rPr>
        <w:rFonts w:ascii="Arial" w:eastAsia="Times New Roman" w:hAnsi="Arial" w:cs="Arial" w:hint="default"/>
        <w:b w:val="0"/>
      </w:rPr>
    </w:lvl>
    <w:lvl w:ilvl="2" w:tplc="482413A8">
      <w:start w:val="1"/>
      <w:numFmt w:val="decimal"/>
      <w:lvlText w:val="%3)"/>
      <w:lvlJc w:val="left"/>
      <w:pPr>
        <w:ind w:left="2700" w:hanging="360"/>
      </w:pPr>
      <w:rPr>
        <w:rFonts w:hint="default"/>
        <w:color w:val="auto"/>
        <w:sz w:val="16"/>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FC067A"/>
    <w:multiLevelType w:val="hybridMultilevel"/>
    <w:tmpl w:val="6D024B0E"/>
    <w:lvl w:ilvl="0" w:tplc="E3140764">
      <w:start w:val="1"/>
      <w:numFmt w:val="decimal"/>
      <w:lvlText w:val="%1."/>
      <w:lvlJc w:val="left"/>
      <w:pPr>
        <w:tabs>
          <w:tab w:val="num" w:pos="720"/>
        </w:tabs>
        <w:ind w:left="720" w:hanging="360"/>
      </w:pPr>
      <w:rPr>
        <w:rFonts w:ascii="Times New Roman" w:eastAsia="Times New Roman" w:hAnsi="Times New Roman" w:cs="Times New Roman" w:hint="default"/>
      </w:rPr>
    </w:lvl>
    <w:lvl w:ilvl="1" w:tplc="4712D0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465E169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373291"/>
    <w:multiLevelType w:val="singleLevel"/>
    <w:tmpl w:val="14C88894"/>
    <w:lvl w:ilvl="0">
      <w:start w:val="1"/>
      <w:numFmt w:val="upperLetter"/>
      <w:lvlText w:val="%1."/>
      <w:lvlJc w:val="left"/>
      <w:pPr>
        <w:tabs>
          <w:tab w:val="num" w:pos="360"/>
        </w:tabs>
        <w:ind w:left="360" w:hanging="360"/>
      </w:pPr>
    </w:lvl>
  </w:abstractNum>
  <w:abstractNum w:abstractNumId="31">
    <w:nsid w:val="4F460730"/>
    <w:multiLevelType w:val="hybridMultilevel"/>
    <w:tmpl w:val="BEC40572"/>
    <w:lvl w:ilvl="0" w:tplc="FFFFFFFF">
      <w:start w:val="1"/>
      <w:numFmt w:val="decimal"/>
      <w:lvlText w:val="%1."/>
      <w:lvlJc w:val="left"/>
      <w:pPr>
        <w:tabs>
          <w:tab w:val="num" w:pos="720"/>
        </w:tabs>
        <w:ind w:left="720" w:hanging="360"/>
      </w:pPr>
      <w:rPr>
        <w:rFonts w:cs="Times New Roman" w:hint="default"/>
      </w:rPr>
    </w:lvl>
    <w:lvl w:ilvl="1" w:tplc="5BFA20A4">
      <w:start w:val="1"/>
      <w:numFmt w:val="decimal"/>
      <w:lvlText w:val="%2."/>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517E0A4F"/>
    <w:multiLevelType w:val="hybridMultilevel"/>
    <w:tmpl w:val="2ADA40DA"/>
    <w:lvl w:ilvl="0" w:tplc="73064DF2">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A86CA96">
      <w:start w:val="1"/>
      <w:numFmt w:val="decimal"/>
      <w:lvlText w:val="%3)"/>
      <w:lvlJc w:val="left"/>
      <w:pPr>
        <w:ind w:left="2340" w:hanging="360"/>
      </w:pPr>
      <w:rPr>
        <w:rFonts w:ascii="Calibri" w:eastAsia="DejaVuSans" w:hAnsi="Calibri" w:cs="DejaVuSans" w:hint="default"/>
      </w:rPr>
    </w:lvl>
    <w:lvl w:ilvl="3" w:tplc="0409000F">
      <w:start w:val="1"/>
      <w:numFmt w:val="decimal"/>
      <w:lvlText w:val="%4."/>
      <w:lvlJc w:val="left"/>
      <w:pPr>
        <w:ind w:left="2880" w:hanging="360"/>
      </w:pPr>
    </w:lvl>
    <w:lvl w:ilvl="4" w:tplc="6F4066D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5410EA"/>
    <w:multiLevelType w:val="singleLevel"/>
    <w:tmpl w:val="0409000F"/>
    <w:lvl w:ilvl="0">
      <w:start w:val="1"/>
      <w:numFmt w:val="decimal"/>
      <w:lvlText w:val="%1."/>
      <w:lvlJc w:val="left"/>
      <w:pPr>
        <w:tabs>
          <w:tab w:val="num" w:pos="360"/>
        </w:tabs>
        <w:ind w:left="360" w:hanging="360"/>
      </w:pPr>
    </w:lvl>
  </w:abstractNum>
  <w:abstractNum w:abstractNumId="34">
    <w:nsid w:val="57F2399F"/>
    <w:multiLevelType w:val="multilevel"/>
    <w:tmpl w:val="47D06A9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FC34F1"/>
    <w:multiLevelType w:val="multilevel"/>
    <w:tmpl w:val="F364E94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36">
    <w:nsid w:val="5BAF1BB2"/>
    <w:multiLevelType w:val="hybridMultilevel"/>
    <w:tmpl w:val="7E2A7618"/>
    <w:lvl w:ilvl="0" w:tplc="05888274">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56A52"/>
    <w:multiLevelType w:val="multilevel"/>
    <w:tmpl w:val="7A7A127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i w:val="0"/>
      </w:rPr>
    </w:lvl>
    <w:lvl w:ilvl="6">
      <w:start w:val="1"/>
      <w:numFmt w:val="decimal"/>
      <w:lvlText w:val="%7."/>
      <w:lvlJc w:val="left"/>
      <w:pPr>
        <w:tabs>
          <w:tab w:val="num" w:pos="5040"/>
        </w:tabs>
        <w:ind w:left="5040" w:hanging="360"/>
      </w:pPr>
      <w:rPr>
        <w:rFonts w:cs="Times New Roman"/>
        <w:b w:val="0"/>
        <w:i w:val="0"/>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65C802C9"/>
    <w:multiLevelType w:val="hybridMultilevel"/>
    <w:tmpl w:val="68B43740"/>
    <w:lvl w:ilvl="0" w:tplc="24C89422">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63E1846"/>
    <w:multiLevelType w:val="hybridMultilevel"/>
    <w:tmpl w:val="EBCE0030"/>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0">
    <w:nsid w:val="6F2657F9"/>
    <w:multiLevelType w:val="multilevel"/>
    <w:tmpl w:val="01E85B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right"/>
      <w:pPr>
        <w:tabs>
          <w:tab w:val="num" w:pos="3960"/>
        </w:tabs>
        <w:ind w:left="3960" w:hanging="180"/>
      </w:pPr>
      <w:rPr>
        <w:rFonts w:ascii="Times New Roman" w:eastAsia="Times New Roman" w:hAnsi="Times New Roman" w:cs="Times New Roman"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41">
    <w:nsid w:val="727D6BE5"/>
    <w:multiLevelType w:val="hybridMultilevel"/>
    <w:tmpl w:val="F23EC5DC"/>
    <w:lvl w:ilvl="0" w:tplc="9208DD34">
      <w:start w:val="1"/>
      <w:numFmt w:val="decimal"/>
      <w:lvlText w:val="%1."/>
      <w:lvlJc w:val="left"/>
      <w:pPr>
        <w:ind w:left="720" w:hanging="360"/>
      </w:pPr>
    </w:lvl>
    <w:lvl w:ilvl="1" w:tplc="88AA7268">
      <w:start w:val="1"/>
      <w:numFmt w:val="lowerLetter"/>
      <w:lvlText w:val="%2."/>
      <w:lvlJc w:val="left"/>
      <w:pPr>
        <w:ind w:left="1440" w:hanging="360"/>
      </w:pPr>
      <w:rPr>
        <w:rFonts w:hint="default"/>
      </w:rPr>
    </w:lvl>
    <w:lvl w:ilvl="2" w:tplc="DB500DE2">
      <w:start w:val="1"/>
      <w:numFmt w:val="lowerRoman"/>
      <w:lvlText w:val="%3."/>
      <w:lvlJc w:val="right"/>
      <w:pPr>
        <w:ind w:left="2160" w:hanging="180"/>
      </w:pPr>
    </w:lvl>
    <w:lvl w:ilvl="3" w:tplc="B8540DA8"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3">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4">
    <w:nsid w:val="799051F7"/>
    <w:multiLevelType w:val="singleLevel"/>
    <w:tmpl w:val="6264EBEA"/>
    <w:lvl w:ilvl="0">
      <w:start w:val="1"/>
      <w:numFmt w:val="upperRoman"/>
      <w:lvlText w:val="%1."/>
      <w:lvlJc w:val="left"/>
      <w:pPr>
        <w:tabs>
          <w:tab w:val="num" w:pos="720"/>
        </w:tabs>
        <w:ind w:left="720" w:hanging="720"/>
      </w:pPr>
    </w:lvl>
  </w:abstractNum>
  <w:num w:numId="1">
    <w:abstractNumId w:val="30"/>
    <w:lvlOverride w:ilvl="0">
      <w:startOverride w:val="1"/>
    </w:lvlOverride>
  </w:num>
  <w:num w:numId="2">
    <w:abstractNumId w:val="44"/>
    <w:lvlOverride w:ilvl="0">
      <w:startOverride w:val="1"/>
    </w:lvlOverride>
  </w:num>
  <w:num w:numId="3">
    <w:abstractNumId w:val="3"/>
  </w:num>
  <w:num w:numId="4">
    <w:abstractNumId w:val="33"/>
    <w:lvlOverride w:ilvl="0">
      <w:startOverride w:val="1"/>
    </w:lvlOverride>
  </w:num>
  <w:num w:numId="5">
    <w:abstractNumId w:val="17"/>
    <w:lvlOverride w:ilvl="0">
      <w:startOverride w:val="1"/>
    </w:lvlOverride>
  </w:num>
  <w:num w:numId="6">
    <w:abstractNumId w:val="4"/>
  </w:num>
  <w:num w:numId="7">
    <w:abstractNumId w:val="32"/>
  </w:num>
  <w:num w:numId="8">
    <w:abstractNumId w:val="26"/>
  </w:num>
  <w:num w:numId="9">
    <w:abstractNumId w:val="6"/>
  </w:num>
  <w:num w:numId="10">
    <w:abstractNumId w:val="27"/>
  </w:num>
  <w:num w:numId="11">
    <w:abstractNumId w:val="20"/>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8"/>
  </w:num>
  <w:num w:numId="15">
    <w:abstractNumId w:val="14"/>
  </w:num>
  <w:num w:numId="16">
    <w:abstractNumId w:val="25"/>
  </w:num>
  <w:num w:numId="17">
    <w:abstractNumId w:val="1"/>
  </w:num>
  <w:num w:numId="18">
    <w:abstractNumId w:val="18"/>
  </w:num>
  <w:num w:numId="19">
    <w:abstractNumId w:val="23"/>
  </w:num>
  <w:num w:numId="20">
    <w:abstractNumId w:val="12"/>
  </w:num>
  <w:num w:numId="21">
    <w:abstractNumId w:val="10"/>
  </w:num>
  <w:num w:numId="22">
    <w:abstractNumId w:val="29"/>
  </w:num>
  <w:num w:numId="23">
    <w:abstractNumId w:val="7"/>
  </w:num>
  <w:num w:numId="24">
    <w:abstractNumId w:val="13"/>
  </w:num>
  <w:num w:numId="25">
    <w:abstractNumId w:val="5"/>
  </w:num>
  <w:num w:numId="26">
    <w:abstractNumId w:val="36"/>
  </w:num>
  <w:num w:numId="27">
    <w:abstractNumId w:val="39"/>
  </w:num>
  <w:num w:numId="28">
    <w:abstractNumId w:val="35"/>
  </w:num>
  <w:num w:numId="29">
    <w:abstractNumId w:val="22"/>
  </w:num>
  <w:num w:numId="30">
    <w:abstractNumId w:val="40"/>
  </w:num>
  <w:num w:numId="31">
    <w:abstractNumId w:val="15"/>
  </w:num>
  <w:num w:numId="32">
    <w:abstractNumId w:val="11"/>
  </w:num>
  <w:num w:numId="33">
    <w:abstractNumId w:val="24"/>
  </w:num>
  <w:num w:numId="34">
    <w:abstractNumId w:val="0"/>
  </w:num>
  <w:num w:numId="35">
    <w:abstractNumId w:val="9"/>
  </w:num>
  <w:num w:numId="36">
    <w:abstractNumId w:val="43"/>
  </w:num>
  <w:num w:numId="37">
    <w:abstractNumId w:val="42"/>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6"/>
  </w:num>
  <w:num w:numId="42">
    <w:abstractNumId w:val="37"/>
  </w:num>
  <w:num w:numId="43">
    <w:abstractNumId w:val="31"/>
  </w:num>
  <w:num w:numId="44">
    <w:abstractNumId w:val="41"/>
  </w:num>
  <w:num w:numId="45">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S+EbD487nxE+HyUXm8HvjcsG6+8=" w:salt="e6+rFW+ygCh7mhhiIfo2oA=="/>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07C88"/>
    <w:rsid w:val="00324E79"/>
    <w:rsid w:val="00342548"/>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A7"/>
    <w:rsid w:val="004371E4"/>
    <w:rsid w:val="0044174A"/>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1684E"/>
    <w:rsid w:val="0052036A"/>
    <w:rsid w:val="00523762"/>
    <w:rsid w:val="00540096"/>
    <w:rsid w:val="005403EC"/>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54CD6"/>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D6C9A"/>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C5417"/>
    <w:rsid w:val="007D1585"/>
    <w:rsid w:val="007D7A81"/>
    <w:rsid w:val="0080428B"/>
    <w:rsid w:val="008157E6"/>
    <w:rsid w:val="008166DE"/>
    <w:rsid w:val="00817150"/>
    <w:rsid w:val="00820682"/>
    <w:rsid w:val="008215AE"/>
    <w:rsid w:val="00834BA3"/>
    <w:rsid w:val="00836AAC"/>
    <w:rsid w:val="0084601F"/>
    <w:rsid w:val="008603EB"/>
    <w:rsid w:val="00865784"/>
    <w:rsid w:val="008866E4"/>
    <w:rsid w:val="008928EF"/>
    <w:rsid w:val="00893285"/>
    <w:rsid w:val="008A776F"/>
    <w:rsid w:val="008B02C0"/>
    <w:rsid w:val="008B7566"/>
    <w:rsid w:val="008B77D2"/>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D143E"/>
    <w:rsid w:val="009E1187"/>
    <w:rsid w:val="009E3ED7"/>
    <w:rsid w:val="00A001EE"/>
    <w:rsid w:val="00A16600"/>
    <w:rsid w:val="00A248F0"/>
    <w:rsid w:val="00A24F55"/>
    <w:rsid w:val="00A2589D"/>
    <w:rsid w:val="00A25B80"/>
    <w:rsid w:val="00A37AC0"/>
    <w:rsid w:val="00A4382C"/>
    <w:rsid w:val="00A52380"/>
    <w:rsid w:val="00A54A94"/>
    <w:rsid w:val="00A5550B"/>
    <w:rsid w:val="00A905EB"/>
    <w:rsid w:val="00AB5E23"/>
    <w:rsid w:val="00AC5B2D"/>
    <w:rsid w:val="00AD0DF8"/>
    <w:rsid w:val="00AD55A7"/>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24409"/>
    <w:rsid w:val="00D37C86"/>
    <w:rsid w:val="00D5011F"/>
    <w:rsid w:val="00D6706C"/>
    <w:rsid w:val="00D67796"/>
    <w:rsid w:val="00D80400"/>
    <w:rsid w:val="00D840AA"/>
    <w:rsid w:val="00D86DE0"/>
    <w:rsid w:val="00D937A3"/>
    <w:rsid w:val="00DB5F2C"/>
    <w:rsid w:val="00DD31E3"/>
    <w:rsid w:val="00DE4D55"/>
    <w:rsid w:val="00DE6A8B"/>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0573"/>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uiPriority w:val="99"/>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Header Char1"/>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Header Char1 Char"/>
    <w:link w:val="ListParagraph"/>
    <w:uiPriority w:val="34"/>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rsid w:val="00934309"/>
    <w:rPr>
      <w:sz w:val="24"/>
      <w:szCs w:val="24"/>
      <w:lang w:val="en-US" w:eastAsia="en-US"/>
    </w:rPr>
  </w:style>
  <w:style w:type="character" w:customStyle="1" w:styleId="FooterChar">
    <w:name w:val="Footer Char"/>
    <w:link w:val="Footer"/>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 w:type="character" w:customStyle="1" w:styleId="A610">
    <w:name w:val="A6+10"/>
    <w:uiPriority w:val="99"/>
    <w:rsid w:val="00654CD6"/>
    <w:rPr>
      <w:rFonts w:cs="Cambria"/>
      <w:color w:val="000000"/>
      <w:sz w:val="12"/>
      <w:szCs w:val="12"/>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622F-44ED-416D-9457-813BBB45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5430</Words>
  <Characters>30956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2025-11-21T03:51:00Z</dcterms:created>
  <dcterms:modified xsi:type="dcterms:W3CDTF">2025-11-21T03:51:00Z</dcterms:modified>
</cp:coreProperties>
</file>