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3EC" w:rsidRPr="007576A7" w:rsidRDefault="005403EC" w:rsidP="005403EC">
      <w:pPr>
        <w:pStyle w:val="BodyTextIndent"/>
        <w:tabs>
          <w:tab w:val="left" w:pos="1134"/>
          <w:tab w:val="left" w:pos="1276"/>
          <w:tab w:val="left" w:leader="dot" w:pos="7371"/>
          <w:tab w:val="center" w:pos="7797"/>
        </w:tabs>
        <w:jc w:val="center"/>
        <w:rPr>
          <w:b/>
          <w:szCs w:val="24"/>
          <w:lang w:val="sv-SE"/>
        </w:rPr>
      </w:pPr>
      <w:r w:rsidRPr="007576A7">
        <w:rPr>
          <w:b/>
          <w:szCs w:val="24"/>
          <w:lang w:val="sv-SE"/>
        </w:rPr>
        <w:t>BAB II</w:t>
      </w:r>
    </w:p>
    <w:p w:rsidR="005403EC" w:rsidRPr="007576A7" w:rsidRDefault="005403EC" w:rsidP="005403EC">
      <w:pPr>
        <w:pStyle w:val="BodyTextIndent"/>
        <w:tabs>
          <w:tab w:val="left" w:pos="1134"/>
          <w:tab w:val="left" w:pos="1276"/>
          <w:tab w:val="left" w:leader="dot" w:pos="7371"/>
          <w:tab w:val="center" w:pos="7797"/>
        </w:tabs>
        <w:jc w:val="center"/>
        <w:rPr>
          <w:b/>
          <w:szCs w:val="24"/>
          <w:lang w:val="sv-SE"/>
        </w:rPr>
      </w:pPr>
      <w:r w:rsidRPr="007576A7">
        <w:rPr>
          <w:b/>
          <w:szCs w:val="24"/>
          <w:lang w:val="sv-SE"/>
        </w:rPr>
        <w:t>TINJAUAN PUSTAKA</w:t>
      </w:r>
    </w:p>
    <w:p w:rsidR="005403EC" w:rsidRPr="007576A7" w:rsidRDefault="005403EC" w:rsidP="00816D6F">
      <w:pPr>
        <w:numPr>
          <w:ilvl w:val="5"/>
          <w:numId w:val="12"/>
        </w:numPr>
        <w:tabs>
          <w:tab w:val="clear" w:pos="4320"/>
        </w:tabs>
        <w:spacing w:line="480" w:lineRule="auto"/>
        <w:ind w:left="360"/>
        <w:jc w:val="both"/>
        <w:rPr>
          <w:b/>
        </w:rPr>
      </w:pPr>
      <w:r w:rsidRPr="007576A7">
        <w:rPr>
          <w:b/>
          <w:bCs/>
        </w:rPr>
        <w:t>Dasar Hukum Hakim Dalam Penjatuhan Pidana</w:t>
      </w:r>
    </w:p>
    <w:p w:rsidR="005403EC" w:rsidRPr="007576A7" w:rsidRDefault="005403EC" w:rsidP="005403EC">
      <w:pPr>
        <w:autoSpaceDE w:val="0"/>
        <w:autoSpaceDN w:val="0"/>
        <w:adjustRightInd w:val="0"/>
        <w:spacing w:line="480" w:lineRule="auto"/>
        <w:ind w:firstLine="709"/>
        <w:jc w:val="both"/>
      </w:pPr>
      <w:r w:rsidRPr="007576A7">
        <w:t>Undang-Undang Dasar Negara Republik Indonesia Tahun 1945 menegaskan bahwa Indonesia adalah negara hukum.</w:t>
      </w:r>
      <w:r w:rsidRPr="007576A7">
        <w:rPr>
          <w:rStyle w:val="FootnoteReference"/>
        </w:rPr>
        <w:footnoteReference w:id="2"/>
      </w:r>
      <w:r w:rsidRPr="007576A7">
        <w:t xml:space="preserve"> Salah satu prinsip penting negara hukum adalah adanya jaminan penyelenggaraan kekuasaan kehakiman yang merdeka, bebas dari pengaruh kekuasaan lainnya untuk menyelenggarakan peradilan guna menegakkan hukum dan keadilan.</w:t>
      </w:r>
      <w:r w:rsidRPr="007576A7">
        <w:rPr>
          <w:rStyle w:val="FootnoteReference"/>
        </w:rPr>
        <w:footnoteReference w:id="3"/>
      </w:r>
    </w:p>
    <w:p w:rsidR="005403EC" w:rsidRPr="007576A7" w:rsidRDefault="005403EC" w:rsidP="005403EC">
      <w:pPr>
        <w:autoSpaceDE w:val="0"/>
        <w:autoSpaceDN w:val="0"/>
        <w:adjustRightInd w:val="0"/>
        <w:spacing w:line="480" w:lineRule="auto"/>
        <w:ind w:firstLine="709"/>
        <w:jc w:val="both"/>
      </w:pPr>
      <w:r w:rsidRPr="007576A7">
        <w:t xml:space="preserve"> Salah satu pelaku dari penyelenggaraan kekuasaan kehakiman adalah Mahkamah Agung sebagaimana diatur dalam Pasal 24 Ayat (2) UUD NRI 1945. Salah satu yang menjadi pelaku dari penyelenggaraan kekuasaan kehakiman adalah Hakim.</w:t>
      </w:r>
      <w:r w:rsidRPr="007576A7">
        <w:rPr>
          <w:rStyle w:val="FootnoteReference"/>
        </w:rPr>
        <w:footnoteReference w:id="4"/>
      </w:r>
      <w:r w:rsidRPr="007576A7">
        <w:rPr>
          <w:sz w:val="16"/>
          <w:szCs w:val="16"/>
        </w:rPr>
        <w:t xml:space="preserve"> </w:t>
      </w:r>
      <w:r w:rsidRPr="007576A7">
        <w:t>Hakim adalah pejabat peradilan negara yang diberi wewenang oleh Undang- undang untuk mengadili.</w:t>
      </w:r>
      <w:r w:rsidRPr="007576A7">
        <w:rPr>
          <w:rStyle w:val="FootnoteReference"/>
        </w:rPr>
        <w:footnoteReference w:id="5"/>
      </w:r>
      <w:r w:rsidRPr="007576A7">
        <w:rPr>
          <w:sz w:val="16"/>
          <w:szCs w:val="16"/>
        </w:rPr>
        <w:t xml:space="preserve"> </w:t>
      </w:r>
      <w:r w:rsidRPr="007576A7">
        <w:t>Pengertian dari mengadili adalah serangkaian tindakan hakim untuk menerima, memeriksa dan memutus perkara dan berdasarkan Pasal 5 UU Kekuasaan Kehakiman, ketika akan membuat putusan Hakim wajib menggali, mengikuti, dan memahami nilai- nilai hukum dan rasa keadilan yang hidup dalam masyarakat. Hakim di tuntut untuk menegakkan hukum dan keadilan bukan memenangkan perkara yang berorientasi pada nilai ekonomi, pragmatis, sehingga dapat mendistorsi moral, nilai etis, teks Undang- Undang, pembelokan pada nilai kebenaran, logika rasionalitas yang berpijak pada penalaran hukum pada asas legalitas formal.</w:t>
      </w:r>
    </w:p>
    <w:p w:rsidR="005403EC" w:rsidRPr="007576A7" w:rsidRDefault="005403EC" w:rsidP="005403EC">
      <w:pPr>
        <w:autoSpaceDE w:val="0"/>
        <w:autoSpaceDN w:val="0"/>
        <w:adjustRightInd w:val="0"/>
        <w:spacing w:line="480" w:lineRule="auto"/>
        <w:ind w:firstLine="709"/>
        <w:jc w:val="both"/>
      </w:pPr>
      <w:r w:rsidRPr="007576A7">
        <w:lastRenderedPageBreak/>
        <w:t>Hakim yang akan memutuskan suatu perkara tidak dapat diintervensi atau ditekan oleh pihak manapun.</w:t>
      </w:r>
      <w:r w:rsidRPr="007576A7">
        <w:rPr>
          <w:rStyle w:val="FootnoteReference"/>
        </w:rPr>
        <w:footnoteReference w:id="6"/>
      </w:r>
      <w:r w:rsidRPr="007576A7">
        <w:rPr>
          <w:sz w:val="16"/>
          <w:szCs w:val="16"/>
        </w:rPr>
        <w:t xml:space="preserve"> </w:t>
      </w:r>
      <w:r w:rsidRPr="007576A7">
        <w:t>Seorang Hakim yang sangat bebas, tidak bersifat memihak dalam menjalankan tugas memutus suatu perkara di peradilan (</w:t>
      </w:r>
      <w:r w:rsidRPr="007576A7">
        <w:rPr>
          <w:i/>
          <w:iCs/>
        </w:rPr>
        <w:t>within the exercise of the judicial function</w:t>
      </w:r>
      <w:r w:rsidRPr="007576A7">
        <w:t>).</w:t>
      </w:r>
      <w:r w:rsidRPr="007576A7">
        <w:rPr>
          <w:rStyle w:val="FootnoteReference"/>
        </w:rPr>
        <w:footnoteReference w:id="7"/>
      </w:r>
      <w:r w:rsidRPr="007576A7">
        <w:rPr>
          <w:sz w:val="16"/>
          <w:szCs w:val="16"/>
        </w:rPr>
        <w:t xml:space="preserve"> </w:t>
      </w:r>
      <w:r w:rsidRPr="007576A7">
        <w:t>Kebebasan hakim merupakan kewenangan penting yang melekat pada individu hakim dimana hakim berfungsi sebagai penerapan teks Undang-Undang kedalam peristiwa yang kongkrit, tidak sekedar substantif, tetapi juga memberikan penafsiran yang tepat tentang hukum dalam rangka meluruskan peristiwa hukum yang kongkrit sehingga Hakim dapat bebas memberikan penilaian- penilaian dan penafsiran hukum.</w:t>
      </w:r>
    </w:p>
    <w:p w:rsidR="005403EC" w:rsidRPr="007576A7" w:rsidRDefault="005403EC" w:rsidP="005403EC">
      <w:pPr>
        <w:autoSpaceDE w:val="0"/>
        <w:autoSpaceDN w:val="0"/>
        <w:adjustRightInd w:val="0"/>
        <w:spacing w:line="480" w:lineRule="auto"/>
        <w:ind w:firstLine="709"/>
        <w:jc w:val="both"/>
      </w:pPr>
      <w:r w:rsidRPr="007576A7">
        <w:t>Mahkamah Agung telah menerbitkan Surat Edaran Mahkamah Agung Nomor 10 Tahun 2005 tentang Bimbingan dan Petunjuk Pimpinan Pengadilan Terhadap Hakim/Majelis Hakim dalam menangani Perkara yang mengatur berkaitan dengan Pimpinan Pengadilan dapat memberikan arahan/ bimbingan bagi para Hakim yang bersifat nasihat atau petunjuk, dan hal ini tidaklah mengurangi kebebasan hakim.</w:t>
      </w:r>
    </w:p>
    <w:p w:rsidR="005403EC" w:rsidRPr="007576A7" w:rsidRDefault="005403EC" w:rsidP="005403EC">
      <w:pPr>
        <w:autoSpaceDE w:val="0"/>
        <w:autoSpaceDN w:val="0"/>
        <w:adjustRightInd w:val="0"/>
        <w:spacing w:line="480" w:lineRule="auto"/>
        <w:ind w:firstLine="709"/>
        <w:jc w:val="both"/>
      </w:pPr>
      <w:r w:rsidRPr="007576A7">
        <w:t xml:space="preserve">Eksistensi putusan hakim atau lazim disebut dengan terminologi putusan pengadilan sangat diperlukan untuk menyelesaikan suatu perkara. Apabila ditinjau dari visi hakim yang memutus perkara, putusan hakim merupakan mahkota sekaligus puncak dan akta tertutup pencerminan nilai- nilai keadilan, kebenaran, penguasaan hukum dan fakta, etika, serta moral dari hakim bersangkutan. Menurut Sudikno Mertokusumo putusan hakim adalah suatu pernyataan yang oleh hakim, sebagai pejabat yang diberi wewenang itu, diucapkan di persidangan dan </w:t>
      </w:r>
      <w:r w:rsidRPr="007576A7">
        <w:lastRenderedPageBreak/>
        <w:t>bertujuan mengakhiri atau menyelenggarakan suatu perkara atau sengketa antara para pihak.</w:t>
      </w:r>
      <w:r w:rsidRPr="007576A7">
        <w:rPr>
          <w:rStyle w:val="FootnoteReference"/>
        </w:rPr>
        <w:footnoteReference w:id="8"/>
      </w:r>
    </w:p>
    <w:p w:rsidR="005403EC" w:rsidRPr="007576A7" w:rsidRDefault="005403EC" w:rsidP="005403EC">
      <w:pPr>
        <w:autoSpaceDE w:val="0"/>
        <w:autoSpaceDN w:val="0"/>
        <w:adjustRightInd w:val="0"/>
        <w:spacing w:line="480" w:lineRule="auto"/>
        <w:ind w:firstLine="709"/>
        <w:jc w:val="both"/>
      </w:pPr>
      <w:r w:rsidRPr="007576A7">
        <w:t>Hakim ketika membuat suatu putusan harus memerhatikan segala aspek didalamnya, yaitu mulai dari perlunya kehati- hatian, sedikit mungkin dihindari adanya ketidakcermatan dan kelalaian, baik bersifat formal maupun materiil sampai dengan adanya kecakapan teknik membuatnya. Di dalam diri Hakim tersebut hendaknya lahir, tumbuh, dan berkembang adanya sikap/ sifat “kepuasan” moral jika putusan yang dibuat itu dapat menjadi tolok ukur untuk kasus yang sama, sebagai bahan referensi bagi kalangan teoritis, akademisi, dan praktisi hukum serta untuk memenuhi rasa kepuasan nurani tersendiri bagi hakim bersangkutan apabila putusan yang dibuatnya sampai dikuatkan dan tidak dibatalkan oleh pengadilan tinggi ataupun Mahkamah Agung jika perkara tersebut sampai di tingkat banding ataupun kasasi.</w:t>
      </w:r>
      <w:r w:rsidRPr="007576A7">
        <w:rPr>
          <w:rStyle w:val="FootnoteReference"/>
        </w:rPr>
        <w:footnoteReference w:id="9"/>
      </w:r>
    </w:p>
    <w:p w:rsidR="005403EC" w:rsidRPr="007576A7" w:rsidRDefault="005403EC" w:rsidP="005403EC">
      <w:pPr>
        <w:autoSpaceDE w:val="0"/>
        <w:autoSpaceDN w:val="0"/>
        <w:adjustRightInd w:val="0"/>
        <w:spacing w:line="480" w:lineRule="auto"/>
        <w:ind w:firstLine="709"/>
        <w:jc w:val="both"/>
      </w:pPr>
      <w:r w:rsidRPr="007576A7">
        <w:t>Praktiknya walaupun telah bertitik tolak dari sifat/ sikap seorang hakim yang baik, kerangka landasan berpikir/ bertindak, dan memlalui empat buah titik pertanyaan tersebut di atas, hakim ternyata seorang manusia biasa yang tidak luput dari kelalaian, kekeliruan/kekhilafan, rasa rutinitas, kekuranghati- hatian, dan kesalahan. Praktiknya peradilan, ada saja aspek-aspek tertentu yang luput dan kurang diperhatikan hakim dalam membuat putusan.</w:t>
      </w:r>
      <w:r w:rsidRPr="007576A7">
        <w:rPr>
          <w:rStyle w:val="FootnoteReference"/>
        </w:rPr>
        <w:footnoteReference w:id="10"/>
      </w:r>
    </w:p>
    <w:p w:rsidR="005403EC" w:rsidRPr="007576A7" w:rsidRDefault="005403EC" w:rsidP="005403EC">
      <w:pPr>
        <w:autoSpaceDE w:val="0"/>
        <w:autoSpaceDN w:val="0"/>
        <w:adjustRightInd w:val="0"/>
        <w:spacing w:line="480" w:lineRule="auto"/>
        <w:ind w:firstLine="709"/>
        <w:jc w:val="both"/>
      </w:pPr>
      <w:r w:rsidRPr="007576A7">
        <w:rPr>
          <w:color w:val="000000"/>
        </w:rPr>
        <w:t xml:space="preserve">Pasal 2 ayat (4) UU Nomor 48 Tahun 2009 Tentang Kekuasaan Kehakiman menentukan asas peradilan yang baik adalah harus sederhana </w:t>
      </w:r>
      <w:r w:rsidRPr="007576A7">
        <w:rPr>
          <w:color w:val="000000"/>
        </w:rPr>
        <w:lastRenderedPageBreak/>
        <w:t>mungkin, cepat, dan biaya yang ringan. Asas peradilan yang sederhana menghendaki pemeriksaan dan penyelesaian perkara dilakukan dengan efesien dan efektif, sedangkan asas peradilan biaya ringan menghendaki biaya perkara yang dapat dijangkau oleh masyarakat. Asas peradilan sederhana, cepat, dan biaya ringan dalam pemeriksaan dan penyelesaian perkara di pengadilan tidak mesti harus mengesampingkan ketelitian dan kecermatan dalam mencari kebenaran dan keadilan. Hakim tidak sekedar memeriksa, mengadili, dan memutus suatu perkara tetapi bagaimana sistem peradilan itu harus mampu memberikan pelayanan yang baik, efektif, sederhana, cepat, dan biaya ringan dengan menerapkan konsep-konsep hukum progresif dalam memenuhi rasa keadilan bagi pencari keadilan.</w:t>
      </w:r>
      <w:r w:rsidRPr="007576A7">
        <w:rPr>
          <w:rStyle w:val="FootnoteReference"/>
          <w:color w:val="000000"/>
        </w:rPr>
        <w:footnoteReference w:id="11"/>
      </w:r>
    </w:p>
    <w:p w:rsidR="005403EC" w:rsidRPr="007576A7" w:rsidRDefault="005403EC" w:rsidP="005403EC">
      <w:pPr>
        <w:autoSpaceDE w:val="0"/>
        <w:autoSpaceDN w:val="0"/>
        <w:adjustRightInd w:val="0"/>
        <w:spacing w:line="480" w:lineRule="auto"/>
        <w:ind w:firstLine="709"/>
        <w:jc w:val="both"/>
      </w:pPr>
      <w:r w:rsidRPr="007576A7">
        <w:t>Menurut Bagir Manan,</w:t>
      </w:r>
      <w:r w:rsidRPr="007576A7">
        <w:rPr>
          <w:sz w:val="16"/>
          <w:szCs w:val="16"/>
        </w:rPr>
        <w:t xml:space="preserve"> </w:t>
      </w:r>
      <w:r w:rsidRPr="007576A7">
        <w:t>bahwa Majelis Hakim dipandang menjadi tidak netral atau berpihak karena beberapa hal, antara lain:</w:t>
      </w:r>
    </w:p>
    <w:p w:rsidR="005403EC" w:rsidRPr="007576A7" w:rsidRDefault="005403EC" w:rsidP="00816D6F">
      <w:pPr>
        <w:numPr>
          <w:ilvl w:val="3"/>
          <w:numId w:val="11"/>
        </w:numPr>
        <w:tabs>
          <w:tab w:val="clear" w:pos="3240"/>
          <w:tab w:val="num" w:pos="1080"/>
        </w:tabs>
        <w:autoSpaceDE w:val="0"/>
        <w:autoSpaceDN w:val="0"/>
        <w:adjustRightInd w:val="0"/>
        <w:spacing w:line="480" w:lineRule="auto"/>
        <w:ind w:left="1080"/>
        <w:jc w:val="both"/>
      </w:pPr>
      <w:r w:rsidRPr="007576A7">
        <w:t>Pengaruh kekuasaan dimana Majelis Hakim tidak berdaya menghadapi kehendak pemegang kekuasaan yang lebih tinggi, baik dari lingkungan kekuasaan kehakiman sendiri, maupun dari luar (misal dari gubernur, bupati, menteri dan lain- lain);</w:t>
      </w:r>
    </w:p>
    <w:p w:rsidR="005403EC" w:rsidRPr="007576A7" w:rsidRDefault="005403EC" w:rsidP="00816D6F">
      <w:pPr>
        <w:numPr>
          <w:ilvl w:val="3"/>
          <w:numId w:val="11"/>
        </w:numPr>
        <w:tabs>
          <w:tab w:val="clear" w:pos="3240"/>
          <w:tab w:val="num" w:pos="1080"/>
        </w:tabs>
        <w:autoSpaceDE w:val="0"/>
        <w:autoSpaceDN w:val="0"/>
        <w:adjustRightInd w:val="0"/>
        <w:spacing w:line="480" w:lineRule="auto"/>
        <w:ind w:left="1080"/>
        <w:jc w:val="both"/>
      </w:pPr>
      <w:r w:rsidRPr="007576A7">
        <w:t>Pengaruh publik. Tekanan publik yang berlebihan dapat menimbulkan rasa takut atau cemas kepada Majelis Hakim yang bersangkutan sehingga memberikan keputusan yang sesuai dengan paksaan publik yang bersangkutan;</w:t>
      </w:r>
    </w:p>
    <w:p w:rsidR="005403EC" w:rsidRPr="007576A7" w:rsidRDefault="005403EC" w:rsidP="00816D6F">
      <w:pPr>
        <w:numPr>
          <w:ilvl w:val="3"/>
          <w:numId w:val="11"/>
        </w:numPr>
        <w:tabs>
          <w:tab w:val="clear" w:pos="3240"/>
          <w:tab w:val="num" w:pos="1080"/>
        </w:tabs>
        <w:autoSpaceDE w:val="0"/>
        <w:autoSpaceDN w:val="0"/>
        <w:adjustRightInd w:val="0"/>
        <w:spacing w:line="480" w:lineRule="auto"/>
        <w:ind w:left="1080"/>
        <w:jc w:val="both"/>
      </w:pPr>
      <w:r w:rsidRPr="007576A7">
        <w:lastRenderedPageBreak/>
        <w:t>Pengaruh pihak. Pengaruh pihak dapat bersumber dan hubungan primordial tertentu, maupun karena komersialisasi perkara. Perkara menjadi komoditas perniagaan, yang membayar lebih banyak akan dimenangkan.</w:t>
      </w:r>
      <w:r w:rsidRPr="007576A7">
        <w:rPr>
          <w:rStyle w:val="FootnoteReference"/>
        </w:rPr>
        <w:footnoteReference w:id="12"/>
      </w:r>
    </w:p>
    <w:p w:rsidR="005403EC" w:rsidRPr="007576A7" w:rsidRDefault="005403EC" w:rsidP="005403EC">
      <w:pPr>
        <w:autoSpaceDE w:val="0"/>
        <w:autoSpaceDN w:val="0"/>
        <w:adjustRightInd w:val="0"/>
        <w:spacing w:line="480" w:lineRule="auto"/>
        <w:ind w:firstLine="709"/>
        <w:jc w:val="both"/>
      </w:pPr>
    </w:p>
    <w:p w:rsidR="005403EC" w:rsidRPr="007576A7" w:rsidRDefault="005403EC" w:rsidP="005403EC">
      <w:pPr>
        <w:autoSpaceDE w:val="0"/>
        <w:autoSpaceDN w:val="0"/>
        <w:adjustRightInd w:val="0"/>
        <w:spacing w:line="480" w:lineRule="auto"/>
        <w:ind w:firstLine="709"/>
        <w:jc w:val="both"/>
      </w:pPr>
      <w:r w:rsidRPr="007576A7">
        <w:t>Mahkamah Agung telah mengeluarkan aturan berkaitan dengan bimbingan dan petunjuk pimpinan pengadilan terhadap hakim/ majelis hakim dalam menangani perkara. Aturan tersebut dikeluarkan karena banyak putusan, penetapan dan tindakan hakim/majelis hakim yang mendapat sorotan, kritik dan reaksi negatif dari masyarakat sehingga kepercayaan masyarakat terhadap lembaga peradilan menjadi berkurang. Hal tersebut terjadi karena kurangnya kontrol dari Ketua Pengadilan terhadap pelaksanaan tugas para hakim. Kelemahan kontrol tersebut terjadi karena adanya kerancuan dalam memahami prinsip kebebasan hakim yaitu mengidentikkan kebebasan hakim dengan kebebasan lembaga peradilan. Secara filosofis bahwa putusan hakim atau majelis hakim pada awalnya merupakan putusan yang bersifat individual atau majelis, namun pada saat putusan tersebut telah diputus dan dibaca pada siding yang terbuka untuk umum, maka pada saat itu putusan hakim tersebut menjadi putusan pengadilan yang bersifat kelembagaan dan harus dipertanggungjawabkan kepada masyarakat.</w:t>
      </w:r>
      <w:r w:rsidRPr="007576A7">
        <w:rPr>
          <w:rStyle w:val="FootnoteReference"/>
        </w:rPr>
        <w:footnoteReference w:id="13"/>
      </w:r>
    </w:p>
    <w:p w:rsidR="005403EC" w:rsidRPr="007576A7" w:rsidRDefault="005403EC" w:rsidP="005403EC">
      <w:pPr>
        <w:autoSpaceDE w:val="0"/>
        <w:autoSpaceDN w:val="0"/>
        <w:adjustRightInd w:val="0"/>
        <w:spacing w:line="480" w:lineRule="auto"/>
        <w:ind w:firstLine="709"/>
        <w:jc w:val="both"/>
      </w:pPr>
      <w:r w:rsidRPr="007576A7">
        <w:t xml:space="preserve">Hakikatnya, kebebasan hakim atau kemandirian kekuasaan kehakiman bermaksud untuk mencegah penyalahgunaan wewenang dan kekuasaan oleh </w:t>
      </w:r>
      <w:r w:rsidRPr="007576A7">
        <w:lastRenderedPageBreak/>
        <w:t>badan negara. Frans Magnis Suseno mengemukakan bahwa dengan adanya kebebasan dan kemandirian kekuasaan kehakiman dari cabang kekuasaan negara lainnya, maka diharapkan bahwa badan yuridikatif dapat melakukan kontrol segi hukum terhadap kekuasaan negara disamping untuk mencegah dan mengurangi kecenderungan penyalahgunaan wewenang atau kekuasaan.</w:t>
      </w:r>
      <w:r w:rsidRPr="007576A7">
        <w:rPr>
          <w:rStyle w:val="FootnoteReference"/>
        </w:rPr>
        <w:footnoteReference w:id="14"/>
      </w:r>
      <w:r w:rsidRPr="007576A7">
        <w:t xml:space="preserve"> </w:t>
      </w:r>
    </w:p>
    <w:p w:rsidR="005403EC" w:rsidRPr="007576A7" w:rsidRDefault="005403EC" w:rsidP="005403EC">
      <w:pPr>
        <w:autoSpaceDE w:val="0"/>
        <w:autoSpaceDN w:val="0"/>
        <w:adjustRightInd w:val="0"/>
        <w:spacing w:line="480" w:lineRule="auto"/>
        <w:ind w:firstLine="709"/>
        <w:jc w:val="both"/>
      </w:pPr>
      <w:r w:rsidRPr="007576A7">
        <w:t>Menurut Sudikno Mertokusumo, hakim itu bebas dalam atau untuk mengadili sesuai dengan hati nuraninya/keyakinannya tanpa dipengaruhi oleh siapapun. Hakim bebas memeriksa, membuktikan dan memutuskan perkara berdasarkan hati nuraninya. Disamping itu juga bebas dari campur tangan pihak ekstra yudisial.</w:t>
      </w:r>
      <w:r w:rsidRPr="007576A7">
        <w:rPr>
          <w:rStyle w:val="FootnoteReference"/>
        </w:rPr>
        <w:footnoteReference w:id="15"/>
      </w:r>
      <w:r w:rsidRPr="007576A7">
        <w:rPr>
          <w:sz w:val="16"/>
          <w:szCs w:val="16"/>
        </w:rPr>
        <w:t xml:space="preserve"> </w:t>
      </w:r>
      <w:r w:rsidRPr="007576A7">
        <w:t>Segala campur tangan dalam urusan peradilan oleh pihak- pihak lain di luar kekuasaan kehakiman dilarang, kecuali dalam hal- hal yang diatur dalam UUD NRI 1945.</w:t>
      </w:r>
    </w:p>
    <w:p w:rsidR="005403EC" w:rsidRPr="007576A7" w:rsidRDefault="005403EC" w:rsidP="005403EC">
      <w:pPr>
        <w:autoSpaceDE w:val="0"/>
        <w:autoSpaceDN w:val="0"/>
        <w:adjustRightInd w:val="0"/>
        <w:spacing w:line="480" w:lineRule="auto"/>
        <w:ind w:firstLine="709"/>
        <w:jc w:val="both"/>
      </w:pPr>
      <w:r w:rsidRPr="007576A7">
        <w:t>Menurut Oemar Seno Adji,</w:t>
      </w:r>
      <w:r w:rsidRPr="007576A7">
        <w:rPr>
          <w:sz w:val="16"/>
          <w:szCs w:val="16"/>
        </w:rPr>
        <w:t xml:space="preserve"> </w:t>
      </w:r>
      <w:r w:rsidRPr="007576A7">
        <w:t xml:space="preserve">suatu pengadilan yang bebas dan tidak dipengaruhi merupakan syarat yang </w:t>
      </w:r>
      <w:r w:rsidRPr="007576A7">
        <w:rPr>
          <w:i/>
          <w:iCs/>
        </w:rPr>
        <w:t xml:space="preserve">indispensable </w:t>
      </w:r>
      <w:r w:rsidRPr="007576A7">
        <w:t xml:space="preserve">bagi negara hukum. Bebas berarti tidak ada campur tangan dari kekuasaan eksekutif dan legislatif dalam menjalankan fungsi </w:t>
      </w:r>
      <w:r w:rsidRPr="007576A7">
        <w:rPr>
          <w:i/>
          <w:iCs/>
        </w:rPr>
        <w:t>judiciary</w:t>
      </w:r>
      <w:r w:rsidRPr="007576A7">
        <w:t xml:space="preserve">. Tidak berarti bahwa ia berhak untuk bertindak sewenang- wenang dalam menjalankan tugasnya. Dalam Pasal 19 UU Nomor 19 Tahun 1964 tentang Ketentuan Ketentuan Pokok Kekuasaan Kehakiman, demi kepentingan revolusi, kehormatan Negara dan Bangsa atau kepentingan masyarakat yang sangat mendesak, Presiden dapat turut atau campur tangan dalam soal-soal pengadilan. Dahulu memang kekuasaan eksekutif dapat mencampuri urusan pengadilan, namun berdasarkan Pasal 3 Ayat (1) UU Nomor 48 Tahun </w:t>
      </w:r>
      <w:r w:rsidRPr="007576A7">
        <w:lastRenderedPageBreak/>
        <w:t>2009 tentang Kekuasaan Kehakiman disebutkan bahwa dalam menjalankan tugas dan fungsinya, hakim dan hakim konstitusi wajib menjaga kemandirian peradilan.</w:t>
      </w:r>
      <w:r w:rsidRPr="007576A7">
        <w:rPr>
          <w:rStyle w:val="FootnoteReference"/>
        </w:rPr>
        <w:t xml:space="preserve"> </w:t>
      </w:r>
      <w:r w:rsidRPr="007576A7">
        <w:rPr>
          <w:rStyle w:val="FootnoteReference"/>
        </w:rPr>
        <w:footnoteReference w:id="16"/>
      </w:r>
    </w:p>
    <w:p w:rsidR="005403EC" w:rsidRPr="007576A7" w:rsidRDefault="005403EC" w:rsidP="005403EC">
      <w:pPr>
        <w:autoSpaceDE w:val="0"/>
        <w:autoSpaceDN w:val="0"/>
        <w:adjustRightInd w:val="0"/>
        <w:spacing w:line="480" w:lineRule="auto"/>
        <w:ind w:firstLine="709"/>
        <w:jc w:val="both"/>
      </w:pPr>
      <w:r w:rsidRPr="007576A7">
        <w:t>Hakim tidak boleh diintervensi dari campur tangan pihak luar dan bebas dari segala bentuk tekanan, baik fisik maupun psikis. Kekuasaan Kehakiman sendiri diartikan sebagai kekuasaan negara yang merdeka untuk menyelenggarakan peradilan guna  menegakkan hukum dan keadilan berdasarkan Pancasila dan Undang- Undang Dasar Negara Republik Indonesia Tahun 1945. Kekuasaan kehakiman dalam melaksanakan wewenang yudisial bersifat tidak mutlak karena tugas hakim adalah untuk menegakkan hukum dan keadilan berdasarkan Pancasila dan UUD NRI 1945 sehingga putusannya mencerminkan rasa keadilan rakyat Indonesia,</w:t>
      </w:r>
      <w:r w:rsidRPr="007576A7">
        <w:rPr>
          <w:sz w:val="16"/>
          <w:szCs w:val="16"/>
        </w:rPr>
        <w:t xml:space="preserve"> </w:t>
      </w:r>
      <w:r w:rsidRPr="007576A7">
        <w:t>bukan keadilan subyektif menurut pengertian atau kehendak hakim semata.</w:t>
      </w:r>
      <w:r w:rsidRPr="007576A7">
        <w:rPr>
          <w:rStyle w:val="FootnoteReference"/>
        </w:rPr>
        <w:footnoteReference w:id="17"/>
      </w:r>
    </w:p>
    <w:p w:rsidR="005403EC" w:rsidRPr="007576A7" w:rsidRDefault="005403EC" w:rsidP="005403EC">
      <w:pPr>
        <w:autoSpaceDE w:val="0"/>
        <w:autoSpaceDN w:val="0"/>
        <w:adjustRightInd w:val="0"/>
        <w:spacing w:line="480" w:lineRule="auto"/>
        <w:ind w:firstLine="709"/>
        <w:jc w:val="both"/>
      </w:pPr>
      <w:r w:rsidRPr="007576A7">
        <w:t>Mahkamah Agung juga telah mengeluarkan Perma Nomor 8 Tahun 2016 tentang Pengawasan dan Pembinaan Atasan Langsung Di Lingkungan Mahkamah Agung Dan Badan Peradilan di bawahnya. Pengawasan dan Pembinaan atasan langsung adalah serangkaian kegiatan yang dilaksanakan oleh setiap pejabat pemangku jabatan struktural untuk membina dan mengendalikan secara terus menerus bawahan yang berada langsung di bawahnya untuk dapat melaksanakan tugas secara efektif dan efisien serta berperilaku sesuai dengan kode etik aparat peradilan dan ketentuan peraturan perundang-undangan yang berlaku.</w:t>
      </w:r>
      <w:r w:rsidRPr="007576A7">
        <w:rPr>
          <w:rStyle w:val="FootnoteReference"/>
        </w:rPr>
        <w:footnoteReference w:id="18"/>
      </w:r>
      <w:r w:rsidRPr="007576A7">
        <w:rPr>
          <w:sz w:val="16"/>
          <w:szCs w:val="16"/>
        </w:rPr>
        <w:t xml:space="preserve"> </w:t>
      </w:r>
      <w:r w:rsidRPr="007576A7">
        <w:t xml:space="preserve">Atasan </w:t>
      </w:r>
      <w:r w:rsidRPr="007576A7">
        <w:lastRenderedPageBreak/>
        <w:t>langsung dari Hakim adalah Ketua Pengadilan. Ketua Pengadilan diwajibkan untuk mengawasi dan melakukan pembinaan secara langsung terhadap Hakim atas pelaksanaan tugas dan perilaku baik di dalam maupun di luar kedinasannya secara terus menerus. Ketua Pengadilan yang tidak melakukan pembinaan dan pengawasan dianggap melakukan pelanggaran yang dapat dikenai sanksi administrasi ringan, sedang atau berat setelah diperiksa oleh pejabat yang berwenang.</w:t>
      </w:r>
    </w:p>
    <w:p w:rsidR="005403EC" w:rsidRPr="007576A7" w:rsidRDefault="005403EC" w:rsidP="005403EC">
      <w:pPr>
        <w:autoSpaceDE w:val="0"/>
        <w:autoSpaceDN w:val="0"/>
        <w:adjustRightInd w:val="0"/>
        <w:spacing w:line="480" w:lineRule="auto"/>
        <w:ind w:firstLine="709"/>
        <w:jc w:val="both"/>
      </w:pPr>
      <w:r w:rsidRPr="007576A7">
        <w:t>Surat Edaran Mahkamah Agung RI Nomor 10 Tahun 2005 yang mengatur berkaitan dengan Ketua Pengadilan dapat memberikan bimbingan/ pentunjuk kepada Hakim/ Majelis Hakim bukanlah merupakan suatu pertentangan dengan hal yang diatur dalam Pasal 24 Ayat (1) UUD NRI 1945 dan kebebasan hakim. Hakim dalam menjalankan tugasnya harus bebas dan bertanggung jawab. Hakim tidak boleh diperintah atau diberi tekanan apapun dan oleh siapapun. Ketika menangani perkara yang menarik perhatian, atas permintaan Hakim atau inisiatif dari Ketua Pengadilan atau pimpinan atasannya, dapat meminta/ diberi bimbingan yang bersifat nasihat- nasihat atau petunjukpetunjuk umum dalam menjalankan tugasnya. Petunjuk dari Ketua Pengadilan dinilai sebagai bahan pertimbangan untuk menyelenggarakan peradilan dengan seksama dan sewajarnya. Berkaitan dengan peringatan atau teguran kepada Hakim/ Majelis Hakim hanya dapat diberikan setelah perkara selesai diputus, bukan pada saat perkara sedang berjalan.</w:t>
      </w:r>
    </w:p>
    <w:p w:rsidR="005403EC" w:rsidRPr="007576A7" w:rsidRDefault="005403EC" w:rsidP="005403EC">
      <w:pPr>
        <w:autoSpaceDE w:val="0"/>
        <w:autoSpaceDN w:val="0"/>
        <w:adjustRightInd w:val="0"/>
        <w:spacing w:line="480" w:lineRule="auto"/>
        <w:ind w:firstLine="709"/>
        <w:jc w:val="both"/>
      </w:pPr>
    </w:p>
    <w:p w:rsidR="005403EC" w:rsidRPr="007576A7" w:rsidRDefault="005403EC" w:rsidP="00816D6F">
      <w:pPr>
        <w:pStyle w:val="BodyTextIndent"/>
        <w:numPr>
          <w:ilvl w:val="0"/>
          <w:numId w:val="11"/>
        </w:numPr>
        <w:tabs>
          <w:tab w:val="clear" w:pos="0"/>
          <w:tab w:val="clear" w:pos="1080"/>
          <w:tab w:val="num" w:pos="360"/>
        </w:tabs>
        <w:ind w:left="360"/>
        <w:rPr>
          <w:b/>
          <w:szCs w:val="24"/>
        </w:rPr>
      </w:pPr>
      <w:r w:rsidRPr="007576A7">
        <w:rPr>
          <w:b/>
          <w:szCs w:val="24"/>
        </w:rPr>
        <w:t>Sanksi Pidana</w:t>
      </w:r>
    </w:p>
    <w:p w:rsidR="005403EC" w:rsidRPr="007576A7" w:rsidRDefault="005403EC" w:rsidP="005403EC">
      <w:pPr>
        <w:autoSpaceDE w:val="0"/>
        <w:autoSpaceDN w:val="0"/>
        <w:adjustRightInd w:val="0"/>
        <w:spacing w:line="480" w:lineRule="auto"/>
        <w:ind w:firstLine="748"/>
        <w:jc w:val="both"/>
      </w:pPr>
      <w:r w:rsidRPr="007576A7">
        <w:lastRenderedPageBreak/>
        <w:t>Djoko Prakoso menyatakan bahwa hukum penitensier ialah bagian dari hukum yang mengatur atau memberi aturan tentang stelsel sanksi. Sanksi dalam hukum pidana meliputi pidana (</w:t>
      </w:r>
      <w:r w:rsidRPr="007576A7">
        <w:rPr>
          <w:i/>
          <w:iCs/>
        </w:rPr>
        <w:t>straf</w:t>
      </w:r>
      <w:r w:rsidRPr="007576A7">
        <w:t>) dan tindakan (</w:t>
      </w:r>
      <w:r w:rsidRPr="007576A7">
        <w:rPr>
          <w:i/>
          <w:iCs/>
        </w:rPr>
        <w:t>maat-regel</w:t>
      </w:r>
      <w:r w:rsidRPr="007576A7">
        <w:t>). Ditambahkan bahwa hukum penitensier meliputi peraturan-peraturan tentang pemberian pidana (</w:t>
      </w:r>
      <w:r w:rsidRPr="007576A7">
        <w:rPr>
          <w:i/>
          <w:iCs/>
        </w:rPr>
        <w:t>straftoemeting</w:t>
      </w:r>
      <w:r w:rsidRPr="007576A7">
        <w:t>) dan eksekusi sanksi pidana. Peraturan tentang pemberian pidana sendiri masih dapat di-bagi atas jenisjenis pidana (</w:t>
      </w:r>
      <w:r w:rsidRPr="007576A7">
        <w:rPr>
          <w:i/>
          <w:iCs/>
        </w:rPr>
        <w:t>strafsoort</w:t>
      </w:r>
      <w:r w:rsidRPr="007576A7">
        <w:t>), ukuran pemidanaan (</w:t>
      </w:r>
      <w:r w:rsidRPr="007576A7">
        <w:rPr>
          <w:i/>
          <w:iCs/>
        </w:rPr>
        <w:t>strafmaat</w:t>
      </w:r>
      <w:r w:rsidRPr="007576A7">
        <w:t>), dan bentuk atau cara pemidanaan (</w:t>
      </w:r>
      <w:r w:rsidRPr="007576A7">
        <w:rPr>
          <w:i/>
          <w:iCs/>
        </w:rPr>
        <w:t>strafmodus</w:t>
      </w:r>
      <w:r w:rsidRPr="007576A7">
        <w:t>).</w:t>
      </w:r>
      <w:r w:rsidRPr="007576A7">
        <w:rPr>
          <w:rStyle w:val="FootnoteReference"/>
        </w:rPr>
        <w:footnoteReference w:id="19"/>
      </w:r>
    </w:p>
    <w:p w:rsidR="005403EC" w:rsidRPr="007576A7" w:rsidRDefault="005403EC" w:rsidP="005403EC">
      <w:pPr>
        <w:autoSpaceDE w:val="0"/>
        <w:autoSpaceDN w:val="0"/>
        <w:adjustRightInd w:val="0"/>
        <w:spacing w:line="480" w:lineRule="auto"/>
        <w:ind w:firstLine="748"/>
        <w:jc w:val="both"/>
      </w:pPr>
      <w:r w:rsidRPr="007576A7">
        <w:rPr>
          <w:bCs/>
        </w:rPr>
        <w:t xml:space="preserve">Ketentuan hukum </w:t>
      </w:r>
      <w:r w:rsidRPr="007576A7">
        <w:t>merupakan perwujudan dari nilai yang dijabarkan dalam rumusan norma yang terkandung dalam suatu peraturan perundang-undangan dapat dijelaskan lewat makna norma yang merupakan anggapan bagaimana seseorang harus berbuat (bertindak) atau tidak berbuat (tidak bertindak). Norma yang sudah berlaku di suatu masyarakat, yang sudah diterima oleh masyarakat berkembang menjadi rumusan-rumusan yang lebih konkrit dengan adanya sanksi atau penguat. Selanjutnya norma dan sanksi dilembagakan menjadi ketentuan yang memiliki kepastian hukum dengan dimuatnya hal tersebut dalam peraturan perundang-undangan yang ada.</w:t>
      </w:r>
      <w:r w:rsidRPr="007576A7">
        <w:rPr>
          <w:rStyle w:val="FootnoteReference"/>
          <w:lang w:val="id-ID" w:eastAsia="id-ID"/>
        </w:rPr>
        <w:footnoteReference w:id="20"/>
      </w:r>
    </w:p>
    <w:p w:rsidR="005403EC" w:rsidRPr="007576A7" w:rsidRDefault="005403EC" w:rsidP="005403EC">
      <w:pPr>
        <w:autoSpaceDE w:val="0"/>
        <w:autoSpaceDN w:val="0"/>
        <w:adjustRightInd w:val="0"/>
        <w:spacing w:line="480" w:lineRule="auto"/>
        <w:ind w:firstLine="748"/>
        <w:jc w:val="both"/>
      </w:pPr>
      <w:r w:rsidRPr="007576A7">
        <w:t xml:space="preserve">Hukum penitensier merupakan bagian dari hukum positif, sebab dikandung oleh peraturan perundang-undangan yang memuat ketentuanketentuan tentang pemberian ganjaran berupa pemutusan hakim (pidana dan tindakan) agar pelaku bertobat (menyesal) dari kelakuan tidak senonoh atas tindakan jahat yang dilakukannya. Hukum penitensier membicarakan pengaturan masa kini mengenai </w:t>
      </w:r>
      <w:r w:rsidRPr="007576A7">
        <w:lastRenderedPageBreak/>
        <w:t>tujuan, usaha dan organisasi yang berfungsi untuk membuat pelaku tindak pidana bertobat/jera dan kembali ke masyarakat sebagai warga yang berguna.</w:t>
      </w:r>
      <w:r w:rsidRPr="007576A7">
        <w:rPr>
          <w:rStyle w:val="FootnoteReference"/>
        </w:rPr>
        <w:footnoteReference w:id="21"/>
      </w:r>
    </w:p>
    <w:p w:rsidR="005403EC" w:rsidRPr="007576A7" w:rsidRDefault="005403EC" w:rsidP="005403EC">
      <w:pPr>
        <w:autoSpaceDE w:val="0"/>
        <w:autoSpaceDN w:val="0"/>
        <w:adjustRightInd w:val="0"/>
        <w:spacing w:line="480" w:lineRule="auto"/>
        <w:ind w:firstLine="748"/>
        <w:jc w:val="both"/>
        <w:rPr>
          <w:lang w:val="id-ID" w:eastAsia="id-ID"/>
        </w:rPr>
      </w:pPr>
      <w:r w:rsidRPr="007576A7">
        <w:t xml:space="preserve">Memahami pemikiran-pemikiran yang berkembang mengenai tujuan pemidanaan. Di sini yang menjadi pusat perhatian adalah tujuan penjatuhan pidana terhadap yang melakukan tindak pidana. </w:t>
      </w:r>
      <w:r w:rsidRPr="007576A7">
        <w:rPr>
          <w:lang w:val="id-ID" w:eastAsia="id-ID"/>
        </w:rPr>
        <w:t>Sudarto berpendapat bahwa yang dimaksud dengan pidana adalah penderitaaan yang sengaja dibebankan kepada orang-orang yang melakukan perbuatan yang memenuhi syarat-syarat tertentu.</w:t>
      </w:r>
      <w:r w:rsidRPr="007576A7">
        <w:rPr>
          <w:rStyle w:val="FootnoteReference"/>
          <w:lang w:val="id-ID" w:eastAsia="id-ID"/>
        </w:rPr>
        <w:footnoteReference w:id="22"/>
      </w:r>
      <w:r w:rsidRPr="007576A7">
        <w:rPr>
          <w:lang w:val="id-ID" w:eastAsia="id-ID"/>
        </w:rPr>
        <w:t xml:space="preserve"> Menurut Roeslan Saleh, pidana adalah rekasi atas delik dan ini bertujuan suatu nestapa dengan sengaja ditimpakan negara pada pembuat delik itu.</w:t>
      </w:r>
      <w:r w:rsidRPr="007576A7">
        <w:rPr>
          <w:rStyle w:val="FootnoteReference"/>
          <w:lang w:val="id-ID" w:eastAsia="id-ID"/>
        </w:rPr>
        <w:footnoteReference w:id="23"/>
      </w:r>
    </w:p>
    <w:p w:rsidR="005403EC" w:rsidRPr="007576A7" w:rsidRDefault="005403EC" w:rsidP="005403EC">
      <w:pPr>
        <w:autoSpaceDE w:val="0"/>
        <w:autoSpaceDN w:val="0"/>
        <w:adjustRightInd w:val="0"/>
        <w:spacing w:line="480" w:lineRule="auto"/>
        <w:ind w:firstLine="748"/>
        <w:jc w:val="both"/>
        <w:rPr>
          <w:lang w:val="id-ID" w:eastAsia="id-ID"/>
        </w:rPr>
      </w:pPr>
      <w:r w:rsidRPr="007576A7">
        <w:rPr>
          <w:lang w:val="id-ID" w:eastAsia="id-ID"/>
        </w:rPr>
        <w:t>Secara umum pidana yang berupa pengenaan penderitaan yang sengaja dijatuhkan negara terhadap setiap pelanggar hukum, di dalamnya terkandung unsur-unsur, sebagai berikut :</w:t>
      </w:r>
    </w:p>
    <w:p w:rsidR="005403EC" w:rsidRPr="007576A7" w:rsidRDefault="005403EC" w:rsidP="00816D6F">
      <w:pPr>
        <w:numPr>
          <w:ilvl w:val="0"/>
          <w:numId w:val="14"/>
        </w:numPr>
        <w:tabs>
          <w:tab w:val="left" w:pos="993"/>
        </w:tabs>
        <w:autoSpaceDE w:val="0"/>
        <w:autoSpaceDN w:val="0"/>
        <w:adjustRightInd w:val="0"/>
        <w:spacing w:line="480" w:lineRule="auto"/>
        <w:ind w:left="993" w:hanging="284"/>
        <w:jc w:val="both"/>
        <w:rPr>
          <w:lang w:val="id-ID" w:eastAsia="id-ID"/>
        </w:rPr>
      </w:pPr>
      <w:r w:rsidRPr="007576A7">
        <w:rPr>
          <w:lang w:val="id-ID" w:eastAsia="id-ID"/>
        </w:rPr>
        <w:t>Pidana pada hakikatnya merupakan suatu pengenaan penderitaan atau nestapa atau akibat lain yang tidak menyenangkan.</w:t>
      </w:r>
    </w:p>
    <w:p w:rsidR="005403EC" w:rsidRPr="007576A7" w:rsidRDefault="005403EC" w:rsidP="00816D6F">
      <w:pPr>
        <w:numPr>
          <w:ilvl w:val="0"/>
          <w:numId w:val="14"/>
        </w:numPr>
        <w:tabs>
          <w:tab w:val="left" w:pos="993"/>
        </w:tabs>
        <w:autoSpaceDE w:val="0"/>
        <w:autoSpaceDN w:val="0"/>
        <w:adjustRightInd w:val="0"/>
        <w:spacing w:line="480" w:lineRule="auto"/>
        <w:ind w:left="993" w:hanging="284"/>
        <w:jc w:val="both"/>
        <w:rPr>
          <w:lang w:val="id-ID" w:eastAsia="id-ID"/>
        </w:rPr>
      </w:pPr>
      <w:r w:rsidRPr="007576A7">
        <w:rPr>
          <w:lang w:val="id-ID" w:eastAsia="id-ID"/>
        </w:rPr>
        <w:t>Pidana itu diberikan dengan sengaja oleh orang atau badan yang mempunyai kekuasaan/ yang berwenang.</w:t>
      </w:r>
    </w:p>
    <w:p w:rsidR="005403EC" w:rsidRPr="007576A7" w:rsidRDefault="005403EC" w:rsidP="00816D6F">
      <w:pPr>
        <w:numPr>
          <w:ilvl w:val="0"/>
          <w:numId w:val="14"/>
        </w:numPr>
        <w:tabs>
          <w:tab w:val="left" w:pos="993"/>
        </w:tabs>
        <w:autoSpaceDE w:val="0"/>
        <w:autoSpaceDN w:val="0"/>
        <w:adjustRightInd w:val="0"/>
        <w:spacing w:line="480" w:lineRule="auto"/>
        <w:ind w:left="993" w:hanging="284"/>
        <w:jc w:val="both"/>
        <w:rPr>
          <w:lang w:val="id-ID" w:eastAsia="id-ID"/>
        </w:rPr>
      </w:pPr>
      <w:r w:rsidRPr="007576A7">
        <w:rPr>
          <w:lang w:val="id-ID" w:eastAsia="id-ID"/>
        </w:rPr>
        <w:t>Pidana itu dikenakan kepada seseorang yang telah melakukan tindak pidana menurut Undang-undang.</w:t>
      </w:r>
      <w:r w:rsidRPr="007576A7">
        <w:rPr>
          <w:rStyle w:val="FootnoteReference"/>
          <w:lang w:val="id-ID" w:eastAsia="id-ID"/>
        </w:rPr>
        <w:footnoteReference w:id="24"/>
      </w:r>
    </w:p>
    <w:p w:rsidR="005403EC" w:rsidRPr="007576A7" w:rsidRDefault="005403EC" w:rsidP="005403EC">
      <w:pPr>
        <w:tabs>
          <w:tab w:val="left" w:pos="993"/>
        </w:tabs>
        <w:autoSpaceDE w:val="0"/>
        <w:autoSpaceDN w:val="0"/>
        <w:adjustRightInd w:val="0"/>
        <w:spacing w:line="480" w:lineRule="auto"/>
        <w:ind w:left="993"/>
        <w:jc w:val="both"/>
        <w:rPr>
          <w:lang w:val="id-ID" w:eastAsia="id-ID"/>
        </w:rPr>
      </w:pPr>
    </w:p>
    <w:p w:rsidR="005403EC" w:rsidRPr="007576A7" w:rsidRDefault="005403EC" w:rsidP="005403EC">
      <w:pPr>
        <w:autoSpaceDE w:val="0"/>
        <w:autoSpaceDN w:val="0"/>
        <w:adjustRightInd w:val="0"/>
        <w:spacing w:line="480" w:lineRule="auto"/>
        <w:ind w:firstLine="709"/>
        <w:jc w:val="both"/>
        <w:rPr>
          <w:lang w:val="id-ID" w:eastAsia="id-ID"/>
        </w:rPr>
      </w:pPr>
      <w:r w:rsidRPr="007576A7">
        <w:rPr>
          <w:lang w:val="id-ID" w:eastAsia="id-ID"/>
        </w:rPr>
        <w:lastRenderedPageBreak/>
        <w:t>Andi Hamzah memberikan arti sistem pidana dan pemidanaan sebagai susunan (pidana) dan cara pemidanan.</w:t>
      </w:r>
      <w:r w:rsidRPr="007576A7">
        <w:rPr>
          <w:rStyle w:val="FootnoteReference"/>
          <w:lang w:val="id-ID" w:eastAsia="id-ID"/>
        </w:rPr>
        <w:footnoteReference w:id="25"/>
      </w:r>
      <w:r w:rsidRPr="007576A7">
        <w:rPr>
          <w:lang w:val="id-ID" w:eastAsia="id-ID"/>
        </w:rPr>
        <w:t xml:space="preserve"> M. Sholehuddin menyatakan bahwa masalah sanksi merupakan hal yang sentral dalam hukum pidana karena seringkali menggambarkan nilai-nilai sosial budaya suatu bangsa.</w:t>
      </w:r>
      <w:r w:rsidRPr="007576A7">
        <w:rPr>
          <w:rStyle w:val="FootnoteReference"/>
          <w:lang w:val="id-ID" w:eastAsia="id-ID"/>
        </w:rPr>
        <w:footnoteReference w:id="26"/>
      </w:r>
      <w:r w:rsidRPr="007576A7">
        <w:rPr>
          <w:lang w:val="id-ID" w:eastAsia="id-ID"/>
        </w:rPr>
        <w:t xml:space="preserve"> Artinya pidana maengandung tata nilai (</w:t>
      </w:r>
      <w:r w:rsidRPr="007576A7">
        <w:rPr>
          <w:i/>
          <w:iCs/>
          <w:lang w:val="id-ID" w:eastAsia="id-ID"/>
        </w:rPr>
        <w:t>value</w:t>
      </w:r>
      <w:r w:rsidRPr="007576A7">
        <w:rPr>
          <w:lang w:val="id-ID" w:eastAsia="id-ID"/>
        </w:rPr>
        <w:t>) dalam suatu masyarakat mengenai apa yang baik dan yang tidak baik, apa yang bermoral dan apa yang amoral serta apa yang diperbolehkan dan apa yang dilarang.</w:t>
      </w:r>
      <w:r w:rsidRPr="007576A7">
        <w:rPr>
          <w:rStyle w:val="FootnoteReference"/>
          <w:lang w:val="id-ID" w:eastAsia="id-ID"/>
        </w:rPr>
        <w:footnoteReference w:id="27"/>
      </w:r>
    </w:p>
    <w:p w:rsidR="005403EC" w:rsidRPr="007576A7" w:rsidRDefault="005403EC" w:rsidP="005403EC">
      <w:pPr>
        <w:autoSpaceDE w:val="0"/>
        <w:autoSpaceDN w:val="0"/>
        <w:adjustRightInd w:val="0"/>
        <w:spacing w:line="480" w:lineRule="auto"/>
        <w:ind w:firstLine="709"/>
        <w:jc w:val="both"/>
        <w:rPr>
          <w:lang w:val="id-ID" w:eastAsia="id-ID"/>
        </w:rPr>
      </w:pPr>
      <w:r w:rsidRPr="007576A7">
        <w:rPr>
          <w:lang w:val="id-ID" w:eastAsia="id-ID"/>
        </w:rPr>
        <w:t>Pandangan-pandangan tentang sistem pemidanaan sesungguhnya tidak lepas dan erat kaitannya dengan perkembangan-perkembangan teori pemidanaan. Ada beberapa teori pemidanaan sebagai berikut :</w:t>
      </w:r>
    </w:p>
    <w:p w:rsidR="005403EC" w:rsidRPr="007576A7" w:rsidRDefault="005403EC" w:rsidP="00816D6F">
      <w:pPr>
        <w:numPr>
          <w:ilvl w:val="1"/>
          <w:numId w:val="6"/>
        </w:numPr>
        <w:tabs>
          <w:tab w:val="clear" w:pos="1440"/>
          <w:tab w:val="num" w:pos="1080"/>
        </w:tabs>
        <w:autoSpaceDE w:val="0"/>
        <w:autoSpaceDN w:val="0"/>
        <w:adjustRightInd w:val="0"/>
        <w:spacing w:line="480" w:lineRule="auto"/>
        <w:ind w:left="1080"/>
        <w:jc w:val="both"/>
        <w:rPr>
          <w:lang w:val="id-ID" w:eastAsia="id-ID"/>
        </w:rPr>
      </w:pPr>
      <w:r w:rsidRPr="007576A7">
        <w:rPr>
          <w:lang w:val="id-ID" w:eastAsia="id-ID"/>
        </w:rPr>
        <w:t xml:space="preserve">Teori </w:t>
      </w:r>
      <w:r w:rsidRPr="007576A7">
        <w:rPr>
          <w:i/>
          <w:iCs/>
          <w:lang w:val="id-ID" w:eastAsia="id-ID"/>
        </w:rPr>
        <w:t xml:space="preserve">absolute/ </w:t>
      </w:r>
      <w:r w:rsidRPr="007576A7">
        <w:rPr>
          <w:lang w:val="id-ID" w:eastAsia="id-ID"/>
        </w:rPr>
        <w:t>pembalasan antara lain :</w:t>
      </w:r>
    </w:p>
    <w:p w:rsidR="005403EC" w:rsidRPr="007576A7" w:rsidRDefault="005403EC" w:rsidP="00816D6F">
      <w:pPr>
        <w:numPr>
          <w:ilvl w:val="0"/>
          <w:numId w:val="15"/>
        </w:numPr>
        <w:autoSpaceDE w:val="0"/>
        <w:autoSpaceDN w:val="0"/>
        <w:adjustRightInd w:val="0"/>
        <w:spacing w:line="480" w:lineRule="auto"/>
        <w:jc w:val="both"/>
        <w:rPr>
          <w:lang w:val="id-ID" w:eastAsia="id-ID"/>
        </w:rPr>
      </w:pPr>
      <w:r w:rsidRPr="007576A7">
        <w:rPr>
          <w:lang w:val="id-ID" w:eastAsia="id-ID"/>
        </w:rPr>
        <w:t>Tujuan pidana adalah semata-mata untuk pembalasan.</w:t>
      </w:r>
    </w:p>
    <w:p w:rsidR="005403EC" w:rsidRPr="007576A7" w:rsidRDefault="005403EC" w:rsidP="00816D6F">
      <w:pPr>
        <w:numPr>
          <w:ilvl w:val="0"/>
          <w:numId w:val="15"/>
        </w:numPr>
        <w:autoSpaceDE w:val="0"/>
        <w:autoSpaceDN w:val="0"/>
        <w:adjustRightInd w:val="0"/>
        <w:spacing w:line="480" w:lineRule="auto"/>
        <w:jc w:val="both"/>
        <w:rPr>
          <w:lang w:val="id-ID" w:eastAsia="id-ID"/>
        </w:rPr>
      </w:pPr>
      <w:r w:rsidRPr="007576A7">
        <w:rPr>
          <w:lang w:val="id-ID" w:eastAsia="id-ID"/>
        </w:rPr>
        <w:t>Pembalasan adalah tujuan utama dan didalamnya tidak mengandung sarana-sarana untuk tujuan lain seperti tujuan untuk kesejahteraan masyarakat.</w:t>
      </w:r>
    </w:p>
    <w:p w:rsidR="005403EC" w:rsidRPr="007576A7" w:rsidRDefault="005403EC" w:rsidP="00816D6F">
      <w:pPr>
        <w:numPr>
          <w:ilvl w:val="0"/>
          <w:numId w:val="15"/>
        </w:numPr>
        <w:autoSpaceDE w:val="0"/>
        <w:autoSpaceDN w:val="0"/>
        <w:adjustRightInd w:val="0"/>
        <w:spacing w:line="480" w:lineRule="auto"/>
        <w:jc w:val="both"/>
        <w:rPr>
          <w:lang w:val="id-ID" w:eastAsia="id-ID"/>
        </w:rPr>
      </w:pPr>
      <w:r w:rsidRPr="007576A7">
        <w:rPr>
          <w:lang w:val="id-ID" w:eastAsia="id-ID"/>
        </w:rPr>
        <w:t>Kesalahan merupakan satu-satunya syarat untuk adanya pidana.</w:t>
      </w:r>
    </w:p>
    <w:p w:rsidR="005403EC" w:rsidRPr="007576A7" w:rsidRDefault="005403EC" w:rsidP="00816D6F">
      <w:pPr>
        <w:numPr>
          <w:ilvl w:val="0"/>
          <w:numId w:val="15"/>
        </w:numPr>
        <w:autoSpaceDE w:val="0"/>
        <w:autoSpaceDN w:val="0"/>
        <w:adjustRightInd w:val="0"/>
        <w:spacing w:line="480" w:lineRule="auto"/>
        <w:jc w:val="both"/>
        <w:rPr>
          <w:lang w:val="id-ID" w:eastAsia="id-ID"/>
        </w:rPr>
      </w:pPr>
      <w:r w:rsidRPr="007576A7">
        <w:rPr>
          <w:lang w:val="id-ID" w:eastAsia="id-ID"/>
        </w:rPr>
        <w:t>Pidana harus disesuaikan dengan kesalahan si pelanggar.</w:t>
      </w:r>
    </w:p>
    <w:p w:rsidR="005403EC" w:rsidRPr="007576A7" w:rsidRDefault="005403EC" w:rsidP="00816D6F">
      <w:pPr>
        <w:numPr>
          <w:ilvl w:val="0"/>
          <w:numId w:val="15"/>
        </w:numPr>
        <w:autoSpaceDE w:val="0"/>
        <w:autoSpaceDN w:val="0"/>
        <w:adjustRightInd w:val="0"/>
        <w:spacing w:line="480" w:lineRule="auto"/>
        <w:jc w:val="both"/>
        <w:rPr>
          <w:lang w:val="id-ID" w:eastAsia="id-ID"/>
        </w:rPr>
      </w:pPr>
      <w:r w:rsidRPr="007576A7">
        <w:rPr>
          <w:lang w:val="id-ID" w:eastAsia="id-ID"/>
        </w:rPr>
        <w:t>Pidana melihat ke belakang. Merupakan pencelaan yang murni dan tujuannya tidak untuk memperbaiki, mendidik atau memsyarakatkan kembali si pelanggar.</w:t>
      </w:r>
    </w:p>
    <w:p w:rsidR="005403EC" w:rsidRPr="007576A7" w:rsidRDefault="005403EC" w:rsidP="00816D6F">
      <w:pPr>
        <w:numPr>
          <w:ilvl w:val="1"/>
          <w:numId w:val="6"/>
        </w:numPr>
        <w:tabs>
          <w:tab w:val="clear" w:pos="1440"/>
          <w:tab w:val="num" w:pos="1080"/>
        </w:tabs>
        <w:autoSpaceDE w:val="0"/>
        <w:autoSpaceDN w:val="0"/>
        <w:adjustRightInd w:val="0"/>
        <w:spacing w:line="480" w:lineRule="auto"/>
        <w:ind w:left="1080"/>
        <w:jc w:val="both"/>
        <w:rPr>
          <w:lang w:val="id-ID" w:eastAsia="id-ID"/>
        </w:rPr>
      </w:pPr>
      <w:r w:rsidRPr="007576A7">
        <w:rPr>
          <w:lang w:val="id-ID" w:eastAsia="id-ID"/>
        </w:rPr>
        <w:lastRenderedPageBreak/>
        <w:t xml:space="preserve">Teori </w:t>
      </w:r>
      <w:r w:rsidRPr="007576A7">
        <w:rPr>
          <w:i/>
          <w:iCs/>
          <w:lang w:val="id-ID" w:eastAsia="id-ID"/>
        </w:rPr>
        <w:t>ultilitarian</w:t>
      </w:r>
      <w:r w:rsidRPr="007576A7">
        <w:rPr>
          <w:lang w:val="id-ID" w:eastAsia="id-ID"/>
        </w:rPr>
        <w:t>/ kemanfaatan :</w:t>
      </w:r>
    </w:p>
    <w:p w:rsidR="005403EC" w:rsidRPr="007576A7" w:rsidRDefault="005403EC" w:rsidP="00816D6F">
      <w:pPr>
        <w:numPr>
          <w:ilvl w:val="0"/>
          <w:numId w:val="16"/>
        </w:numPr>
        <w:autoSpaceDE w:val="0"/>
        <w:autoSpaceDN w:val="0"/>
        <w:adjustRightInd w:val="0"/>
        <w:spacing w:line="480" w:lineRule="auto"/>
        <w:jc w:val="both"/>
        <w:rPr>
          <w:lang w:val="id-ID" w:eastAsia="id-ID"/>
        </w:rPr>
      </w:pPr>
      <w:r w:rsidRPr="007576A7">
        <w:rPr>
          <w:lang w:val="id-ID" w:eastAsia="id-ID"/>
        </w:rPr>
        <w:t>Tujuan pidana adalah pencegahan (</w:t>
      </w:r>
      <w:r w:rsidRPr="007576A7">
        <w:rPr>
          <w:i/>
          <w:iCs/>
          <w:lang w:val="id-ID" w:eastAsia="id-ID"/>
        </w:rPr>
        <w:t>prevention</w:t>
      </w:r>
      <w:r w:rsidRPr="007576A7">
        <w:rPr>
          <w:lang w:val="id-ID" w:eastAsia="id-ID"/>
        </w:rPr>
        <w:t>).</w:t>
      </w:r>
    </w:p>
    <w:p w:rsidR="005403EC" w:rsidRPr="007576A7" w:rsidRDefault="005403EC" w:rsidP="00816D6F">
      <w:pPr>
        <w:numPr>
          <w:ilvl w:val="0"/>
          <w:numId w:val="16"/>
        </w:numPr>
        <w:autoSpaceDE w:val="0"/>
        <w:autoSpaceDN w:val="0"/>
        <w:adjustRightInd w:val="0"/>
        <w:spacing w:line="480" w:lineRule="auto"/>
        <w:jc w:val="both"/>
        <w:rPr>
          <w:lang w:val="id-ID" w:eastAsia="id-ID"/>
        </w:rPr>
      </w:pPr>
      <w:r w:rsidRPr="007576A7">
        <w:rPr>
          <w:lang w:val="id-ID" w:eastAsia="id-ID"/>
        </w:rPr>
        <w:t>Pencegahan bukan tujuan akhir tetapi hanya sebagai sarana untuk mecapai tujuan yang lebih tinggi, yaitu kesejahteraan masyarakat.</w:t>
      </w:r>
    </w:p>
    <w:p w:rsidR="005403EC" w:rsidRPr="007576A7" w:rsidRDefault="005403EC" w:rsidP="00816D6F">
      <w:pPr>
        <w:numPr>
          <w:ilvl w:val="0"/>
          <w:numId w:val="16"/>
        </w:numPr>
        <w:autoSpaceDE w:val="0"/>
        <w:autoSpaceDN w:val="0"/>
        <w:adjustRightInd w:val="0"/>
        <w:spacing w:line="480" w:lineRule="auto"/>
        <w:jc w:val="both"/>
        <w:rPr>
          <w:lang w:val="id-ID" w:eastAsia="id-ID"/>
        </w:rPr>
      </w:pPr>
      <w:r w:rsidRPr="007576A7">
        <w:rPr>
          <w:lang w:val="id-ID" w:eastAsia="id-ID"/>
        </w:rPr>
        <w:t>Hanya pelanggaran-pelanggaran hukum yang dapat sipersalahkan kepada sipelaku saja yang memenuhi syarat untuk adanya pidana.</w:t>
      </w:r>
    </w:p>
    <w:p w:rsidR="005403EC" w:rsidRPr="007576A7" w:rsidRDefault="005403EC" w:rsidP="00816D6F">
      <w:pPr>
        <w:numPr>
          <w:ilvl w:val="0"/>
          <w:numId w:val="16"/>
        </w:numPr>
        <w:autoSpaceDE w:val="0"/>
        <w:autoSpaceDN w:val="0"/>
        <w:adjustRightInd w:val="0"/>
        <w:spacing w:line="480" w:lineRule="auto"/>
        <w:jc w:val="both"/>
        <w:rPr>
          <w:lang w:val="id-ID" w:eastAsia="id-ID"/>
        </w:rPr>
      </w:pPr>
      <w:r w:rsidRPr="007576A7">
        <w:rPr>
          <w:lang w:val="id-ID" w:eastAsia="id-ID"/>
        </w:rPr>
        <w:t>Pidana harus ditetapkan berdasarkan tujuannya sebagai alat untuk mencegah kejahatan.</w:t>
      </w:r>
    </w:p>
    <w:p w:rsidR="005403EC" w:rsidRPr="007576A7" w:rsidRDefault="005403EC" w:rsidP="00816D6F">
      <w:pPr>
        <w:numPr>
          <w:ilvl w:val="0"/>
          <w:numId w:val="16"/>
        </w:numPr>
        <w:autoSpaceDE w:val="0"/>
        <w:autoSpaceDN w:val="0"/>
        <w:adjustRightInd w:val="0"/>
        <w:spacing w:line="480" w:lineRule="auto"/>
        <w:jc w:val="both"/>
        <w:rPr>
          <w:lang w:val="id-ID" w:eastAsia="id-ID"/>
        </w:rPr>
      </w:pPr>
      <w:r w:rsidRPr="007576A7">
        <w:rPr>
          <w:lang w:val="id-ID" w:eastAsia="id-ID"/>
        </w:rPr>
        <w:t>Pidana melihat kemuka, dan dapat mengandung unsure-unsur pencelaan.</w:t>
      </w:r>
    </w:p>
    <w:p w:rsidR="005403EC" w:rsidRPr="007576A7" w:rsidRDefault="005403EC" w:rsidP="00816D6F">
      <w:pPr>
        <w:numPr>
          <w:ilvl w:val="1"/>
          <w:numId w:val="6"/>
        </w:numPr>
        <w:tabs>
          <w:tab w:val="clear" w:pos="1440"/>
          <w:tab w:val="num" w:pos="1108"/>
        </w:tabs>
        <w:autoSpaceDE w:val="0"/>
        <w:autoSpaceDN w:val="0"/>
        <w:adjustRightInd w:val="0"/>
        <w:spacing w:line="480" w:lineRule="auto"/>
        <w:ind w:left="1108"/>
        <w:jc w:val="both"/>
        <w:rPr>
          <w:lang w:val="id-ID" w:eastAsia="id-ID"/>
        </w:rPr>
      </w:pPr>
      <w:r w:rsidRPr="007576A7">
        <w:rPr>
          <w:lang w:val="id-ID" w:eastAsia="id-ID"/>
        </w:rPr>
        <w:t xml:space="preserve">Teori </w:t>
      </w:r>
      <w:r w:rsidRPr="007576A7">
        <w:rPr>
          <w:i/>
          <w:iCs/>
          <w:lang w:val="id-ID" w:eastAsia="id-ID"/>
        </w:rPr>
        <w:t>Verenigings theoreen</w:t>
      </w:r>
      <w:r w:rsidRPr="007576A7">
        <w:rPr>
          <w:lang w:val="id-ID" w:eastAsia="id-ID"/>
        </w:rPr>
        <w:t>/ gabungan. Penggabungan antara kedua teori diatas.</w:t>
      </w:r>
      <w:r w:rsidRPr="007576A7">
        <w:rPr>
          <w:rStyle w:val="FootnoteReference"/>
          <w:lang w:val="id-ID" w:eastAsia="id-ID"/>
        </w:rPr>
        <w:footnoteReference w:id="28"/>
      </w:r>
    </w:p>
    <w:p w:rsidR="005403EC" w:rsidRPr="007576A7" w:rsidRDefault="005403EC" w:rsidP="005403EC">
      <w:pPr>
        <w:autoSpaceDE w:val="0"/>
        <w:autoSpaceDN w:val="0"/>
        <w:adjustRightInd w:val="0"/>
        <w:spacing w:line="480" w:lineRule="auto"/>
        <w:ind w:left="1069"/>
        <w:jc w:val="both"/>
        <w:rPr>
          <w:lang w:val="id-ID" w:eastAsia="id-ID"/>
        </w:rPr>
      </w:pPr>
    </w:p>
    <w:p w:rsidR="005403EC" w:rsidRPr="007576A7" w:rsidRDefault="005403EC" w:rsidP="005403EC">
      <w:pPr>
        <w:autoSpaceDE w:val="0"/>
        <w:autoSpaceDN w:val="0"/>
        <w:adjustRightInd w:val="0"/>
        <w:spacing w:line="480" w:lineRule="auto"/>
        <w:ind w:firstLine="748"/>
        <w:jc w:val="both"/>
      </w:pPr>
      <w:r w:rsidRPr="007576A7">
        <w:rPr>
          <w:lang w:val="id-ID" w:eastAsia="id-ID"/>
        </w:rPr>
        <w:t xml:space="preserve">Perwujudan tujuan hukum harus sesuai dengan tujuan pemidanaan itu sendiri. </w:t>
      </w:r>
      <w:r w:rsidRPr="007576A7">
        <w:t xml:space="preserve">Hakim dalam menjatuhkan pidana harus beorientasi pada tujuan pemidanaan yang tidak terlepas dari faktor pencegahan agar tidak terjadinya tindak pidana dan faktor penanggulangan setelah terjadinya tindak pidana. Adapun yang menjadi tujuan pemidanaan dapat dilihat dari aspek filosofis penjatuhan pidana itu sendiri. Hukum pidana mengenal 3 (tiga) teori tentang pemidanaan tersebut, dan teori-teori tersebut lahir didasarkan pada persoalan mengapa suatu kejahatan harus dikenai sanksi pidana. </w:t>
      </w:r>
    </w:p>
    <w:p w:rsidR="005403EC" w:rsidRPr="007576A7" w:rsidRDefault="005403EC" w:rsidP="005403EC">
      <w:pPr>
        <w:autoSpaceDE w:val="0"/>
        <w:autoSpaceDN w:val="0"/>
        <w:adjustRightInd w:val="0"/>
        <w:spacing w:line="480" w:lineRule="auto"/>
        <w:ind w:firstLine="720"/>
        <w:jc w:val="both"/>
      </w:pPr>
      <w:r w:rsidRPr="007576A7">
        <w:lastRenderedPageBreak/>
        <w:t xml:space="preserve">Faktor terpenting suatu pemidanaan adalah dapat menghasilkan konsekuensi-konsekuensi yang bermanfaat secara preventif, apapun artinya: penjeraan dan penangkalan, reformasi dan rehabilitasi, atau pendidikan moral. Namun demikian, kepedulian teoretis menuntut usaha untuk lebih mendalami </w:t>
      </w:r>
      <w:r w:rsidRPr="007576A7">
        <w:rPr>
          <w:i/>
          <w:iCs/>
        </w:rPr>
        <w:t xml:space="preserve">utilitarian theory </w:t>
      </w:r>
      <w:r w:rsidRPr="007576A7">
        <w:t>, yaitu:</w:t>
      </w:r>
    </w:p>
    <w:p w:rsidR="005403EC" w:rsidRPr="007576A7" w:rsidRDefault="005403EC" w:rsidP="00816D6F">
      <w:pPr>
        <w:numPr>
          <w:ilvl w:val="0"/>
          <w:numId w:val="13"/>
        </w:numPr>
        <w:autoSpaceDE w:val="0"/>
        <w:autoSpaceDN w:val="0"/>
        <w:adjustRightInd w:val="0"/>
        <w:spacing w:line="480" w:lineRule="auto"/>
        <w:ind w:left="1134"/>
        <w:jc w:val="both"/>
      </w:pPr>
      <w:r w:rsidRPr="007576A7">
        <w:t>Tujuan pemidanaan memberi efek penjeraan dan penangkalan (</w:t>
      </w:r>
      <w:r w:rsidRPr="007576A7">
        <w:rPr>
          <w:i/>
          <w:iCs/>
        </w:rPr>
        <w:t>deterence</w:t>
      </w:r>
      <w:r w:rsidRPr="007576A7">
        <w:t xml:space="preserve">). Penjeraan sebagai efek pemidanaan,menjauhkan si terpidana dari kemungkinan mengulangi kejahatan yang sama; sedangkan tujuan untuk penangkal, pemidanaan berfungsi sebagai contoh yang mengingatkan dan menakutkan bagi penjahat-penjahat potensial dalam masyarakat. Wesley Cragg menilai bahwa fungsi penjeraan dari efek pemidanaan sepatutnya lebih dianggap sebagai suatu bentuk kontrol sosial. Karena itu, pemidanaan sebagai penjeraan mempengaruhi sikap dan perilaku si terpidana maupun warga masyarakat. Pengaruh itu dianggap bisa sangat berdaya-hasil bila dikomunikasikan secara negatif, yaitu dengan menakut- nakuti orang, atau menurut perkara Philip Bean, “ maksud dibalik penjeraan ialah mengancam orang-orang lain” untuk kelak tidak melakukan kejahatan. </w:t>
      </w:r>
    </w:p>
    <w:p w:rsidR="005403EC" w:rsidRPr="007576A7" w:rsidRDefault="005403EC" w:rsidP="00816D6F">
      <w:pPr>
        <w:numPr>
          <w:ilvl w:val="0"/>
          <w:numId w:val="13"/>
        </w:numPr>
        <w:autoSpaceDE w:val="0"/>
        <w:autoSpaceDN w:val="0"/>
        <w:adjustRightInd w:val="0"/>
        <w:spacing w:line="480" w:lineRule="auto"/>
        <w:ind w:left="1134" w:hanging="357"/>
        <w:jc w:val="both"/>
      </w:pPr>
      <w:r w:rsidRPr="007576A7">
        <w:t xml:space="preserve">Pemidanaan sebagai rehabilitasi. Teori tujuan menganggap pula pemidanaan sebagai jalan untuk mencapai reformasi atau rehabilitasi pada si terpidana. Kesalahan atau tindakan kejahatan dianggap sebagai suatu penyakit sosial yang disintegratif dalam masyarakat. Kejahatan itu dibaca pula sebagai simpton disharmoni mental atau </w:t>
      </w:r>
      <w:r w:rsidRPr="007576A7">
        <w:lastRenderedPageBreak/>
        <w:t xml:space="preserve">ketidakseimbangan personal yang membutuhkan terapi psikiatri, conseling, latihan-latihan spiritual, dan sebagainya. Itulah sebabnya ciri khas dari pandangan tersebut ialah pemidanaan merupakan proses pengobatan sosial dan moral bagi seorang terpidana agar kembali berintegrasi dalam komunitas atau masyarakatnya secara wajar. Dalam bahasa utilitarianisme dapat dikatakan bahwa efek preventive dalam proses rehabilitasi ini terpusat pada siterpidana. </w:t>
      </w:r>
    </w:p>
    <w:p w:rsidR="005403EC" w:rsidRPr="007576A7" w:rsidRDefault="005403EC" w:rsidP="00816D6F">
      <w:pPr>
        <w:numPr>
          <w:ilvl w:val="0"/>
          <w:numId w:val="13"/>
        </w:numPr>
        <w:autoSpaceDE w:val="0"/>
        <w:autoSpaceDN w:val="0"/>
        <w:adjustRightInd w:val="0"/>
        <w:spacing w:line="480" w:lineRule="auto"/>
        <w:ind w:left="1134"/>
        <w:jc w:val="both"/>
      </w:pPr>
      <w:r w:rsidRPr="007576A7">
        <w:t>Pemidanaan sebagai wahana pendidikan moral. Bentuk ketiga teori tujuan ini merupakan bagian dari doktrin bahwa pemidanaan merupakan proses reformasi. Setiap pemidanaan pada dasarnya menyatakan perbuatan terpidana adalah salah, tidak dapat diterima oleh masyarakat dan bahwa terpidana telah bertindak melawan kewajibannya dalam masyarakat. Karena itu dalam proses pemidanaan, si terpidana dibantu untuk menyadari dan mengakui kesalahan yang dituduhkan atasnya.</w:t>
      </w:r>
      <w:r w:rsidRPr="007576A7">
        <w:rPr>
          <w:rStyle w:val="FootnoteReference"/>
        </w:rPr>
        <w:footnoteReference w:id="29"/>
      </w:r>
    </w:p>
    <w:p w:rsidR="005403EC" w:rsidRPr="007576A7" w:rsidRDefault="005403EC" w:rsidP="005403EC">
      <w:pPr>
        <w:pStyle w:val="BodyTextIndent"/>
        <w:tabs>
          <w:tab w:val="clear" w:pos="0"/>
        </w:tabs>
        <w:ind w:left="360"/>
        <w:rPr>
          <w:b/>
          <w:szCs w:val="24"/>
        </w:rPr>
      </w:pPr>
    </w:p>
    <w:p w:rsidR="005403EC" w:rsidRPr="007576A7" w:rsidRDefault="005403EC" w:rsidP="00816D6F">
      <w:pPr>
        <w:pStyle w:val="BodyTextIndent"/>
        <w:numPr>
          <w:ilvl w:val="0"/>
          <w:numId w:val="11"/>
        </w:numPr>
        <w:tabs>
          <w:tab w:val="clear" w:pos="0"/>
          <w:tab w:val="clear" w:pos="1080"/>
          <w:tab w:val="num" w:pos="360"/>
        </w:tabs>
        <w:ind w:left="360"/>
        <w:rPr>
          <w:b/>
          <w:szCs w:val="24"/>
        </w:rPr>
      </w:pPr>
      <w:r w:rsidRPr="007576A7">
        <w:rPr>
          <w:b/>
          <w:szCs w:val="24"/>
        </w:rPr>
        <w:t>Tindak Pidana Peyalahguna</w:t>
      </w:r>
      <w:r w:rsidRPr="007576A7">
        <w:rPr>
          <w:b/>
          <w:szCs w:val="24"/>
          <w:lang w:val="id-ID"/>
        </w:rPr>
        <w:t>an</w:t>
      </w:r>
      <w:r w:rsidRPr="007576A7">
        <w:rPr>
          <w:b/>
          <w:szCs w:val="24"/>
        </w:rPr>
        <w:t xml:space="preserve"> Narkotika</w:t>
      </w:r>
    </w:p>
    <w:p w:rsidR="005403EC" w:rsidRPr="007576A7" w:rsidRDefault="005403EC" w:rsidP="005403EC">
      <w:pPr>
        <w:autoSpaceDE w:val="0"/>
        <w:autoSpaceDN w:val="0"/>
        <w:adjustRightInd w:val="0"/>
        <w:spacing w:line="480" w:lineRule="auto"/>
        <w:ind w:firstLine="748"/>
        <w:jc w:val="both"/>
      </w:pPr>
      <w:r w:rsidRPr="007576A7">
        <w:t>Narkotika berasal dari bahasa Yunani ”</w:t>
      </w:r>
      <w:r w:rsidRPr="007576A7">
        <w:rPr>
          <w:bCs/>
          <w:i/>
          <w:iCs/>
        </w:rPr>
        <w:t>narkoun</w:t>
      </w:r>
      <w:r w:rsidRPr="007576A7">
        <w:t>” yang berarti membuat lumpuh atau mati rasa.</w:t>
      </w:r>
      <w:r w:rsidRPr="007576A7">
        <w:rPr>
          <w:rStyle w:val="FootnoteReference"/>
        </w:rPr>
        <w:footnoteReference w:customMarkFollows="1" w:id="30"/>
        <w:t>73</w:t>
      </w:r>
      <w:r w:rsidRPr="007576A7">
        <w:t xml:space="preserve"> Narkotika sudah dikenal sejak tahun 2000 SM dengan istilah candu atau madat atau opium, yaitu sebagai alat untuk upacara-upacara ritual atau untuk pengobatan, dan perdagangan candu mulai berkembang pesat di Mesir, Yunani, Timur Tengah, Asia dan Afrika Selatan, dengan pemakai terbesar </w:t>
      </w:r>
      <w:r w:rsidRPr="007576A7">
        <w:lastRenderedPageBreak/>
        <w:t>dari etnis Cina. Kemudian pada tahun 1803 seorang apoteker Jerman menemukan sejenis opium atau candu, yang diberi nama morfin (dari bahasa Latin ”</w:t>
      </w:r>
      <w:r w:rsidRPr="007576A7">
        <w:rPr>
          <w:bCs/>
          <w:i/>
          <w:iCs/>
        </w:rPr>
        <w:t>morpheus</w:t>
      </w:r>
      <w:r w:rsidRPr="007576A7">
        <w:t>” yaitu nama dewa mimpi Yunani).</w:t>
      </w:r>
      <w:r w:rsidRPr="007576A7">
        <w:rPr>
          <w:rStyle w:val="FootnoteReference"/>
        </w:rPr>
        <w:footnoteReference w:customMarkFollows="1" w:id="31"/>
        <w:t>74</w:t>
      </w:r>
    </w:p>
    <w:p w:rsidR="005403EC" w:rsidRPr="007576A7" w:rsidRDefault="005403EC" w:rsidP="005403EC">
      <w:pPr>
        <w:pStyle w:val="BodyTextIndent"/>
        <w:tabs>
          <w:tab w:val="clear" w:pos="0"/>
        </w:tabs>
        <w:ind w:firstLine="720"/>
        <w:rPr>
          <w:szCs w:val="24"/>
        </w:rPr>
      </w:pPr>
      <w:r w:rsidRPr="007576A7">
        <w:rPr>
          <w:szCs w:val="24"/>
        </w:rPr>
        <w:t xml:space="preserve">Peraturan Menteri Pendidikan Dan Kebudayaan Republik Indonesia Nomor 38 Tahun 2019 Tentang Pencegahan Penyalahgunaan </w:t>
      </w:r>
      <w:r w:rsidRPr="007576A7">
        <w:rPr>
          <w:szCs w:val="24"/>
          <w:lang w:val="id-ID"/>
        </w:rPr>
        <w:t>d</w:t>
      </w:r>
      <w:r w:rsidRPr="007576A7">
        <w:rPr>
          <w:szCs w:val="24"/>
        </w:rPr>
        <w:t xml:space="preserve">an Peredaran Gelap Narkotika </w:t>
      </w:r>
      <w:r w:rsidRPr="007576A7">
        <w:rPr>
          <w:szCs w:val="24"/>
          <w:lang w:val="id-ID"/>
        </w:rPr>
        <w:t>d</w:t>
      </w:r>
      <w:r w:rsidRPr="007576A7">
        <w:rPr>
          <w:szCs w:val="24"/>
        </w:rPr>
        <w:t xml:space="preserve">an Prekursor Narkotika Di Lingkungan Kementerian Pendidikan </w:t>
      </w:r>
      <w:r w:rsidRPr="007576A7">
        <w:rPr>
          <w:szCs w:val="24"/>
          <w:lang w:val="id-ID"/>
        </w:rPr>
        <w:t>d</w:t>
      </w:r>
      <w:r w:rsidRPr="007576A7">
        <w:rPr>
          <w:szCs w:val="24"/>
        </w:rPr>
        <w:t>an Kebudayaan</w:t>
      </w:r>
      <w:r w:rsidRPr="007576A7">
        <w:rPr>
          <w:szCs w:val="24"/>
          <w:lang w:val="id-ID"/>
        </w:rPr>
        <w:t xml:space="preserve"> menyebutkan bahwa n</w:t>
      </w:r>
      <w:r w:rsidRPr="007576A7">
        <w:rPr>
          <w:szCs w:val="24"/>
        </w:rPr>
        <w:t>arkotika adalah zat atau obat yang berasal dari tanaman atau bukan tanaman, baik sintetis maupun semisintetis yang dapat menyebabkan penurunan atau perubahan kesadaran, hilangnya rasa, mengurangi sampai menghilangkan rasa nyeri, dan dapat menimbulkan ketergantungan, yang dibedakan ke dalam golongan-golongan sebagaimana tercantum dalam Lampiran Undang-Undang Nomor 35 Tahun 2009 tentang Narkotika</w:t>
      </w:r>
      <w:r w:rsidRPr="007576A7">
        <w:rPr>
          <w:szCs w:val="24"/>
          <w:lang w:val="id-ID"/>
        </w:rPr>
        <w:t>.</w:t>
      </w:r>
      <w:r w:rsidRPr="007576A7">
        <w:rPr>
          <w:rStyle w:val="FootnoteReference"/>
          <w:szCs w:val="24"/>
          <w:lang w:val="id-ID"/>
        </w:rPr>
        <w:footnoteReference w:id="32"/>
      </w:r>
      <w:r w:rsidRPr="007576A7">
        <w:rPr>
          <w:szCs w:val="24"/>
        </w:rPr>
        <w:t xml:space="preserve"> </w:t>
      </w:r>
    </w:p>
    <w:p w:rsidR="005403EC" w:rsidRPr="007576A7" w:rsidRDefault="005403EC" w:rsidP="005403EC">
      <w:pPr>
        <w:pStyle w:val="BodyTextIndent"/>
        <w:tabs>
          <w:tab w:val="clear" w:pos="0"/>
        </w:tabs>
        <w:ind w:firstLine="720"/>
        <w:rPr>
          <w:szCs w:val="24"/>
          <w:lang w:val="id-ID"/>
        </w:rPr>
      </w:pPr>
      <w:r w:rsidRPr="007576A7">
        <w:rPr>
          <w:szCs w:val="24"/>
        </w:rPr>
        <w:t>Peraturan Menteri Kesehatan Republik Indonesia Nomor 44 Tahun 2019 Tentang Perubahan Penggolongan Narkotika</w:t>
      </w:r>
      <w:r w:rsidRPr="007576A7">
        <w:rPr>
          <w:szCs w:val="24"/>
          <w:lang w:val="id-ID"/>
        </w:rPr>
        <w:t xml:space="preserve"> menyebutkan bahwa </w:t>
      </w:r>
      <w:r w:rsidRPr="007576A7">
        <w:rPr>
          <w:szCs w:val="24"/>
        </w:rPr>
        <w:t>narkotika merupakan obat atau bahan yang bermanfaat di bidang pengobatan atau pelayanan kesehatan dan pengembangan ilmu pengetahuan, tetapi dapat juga menimbulkan ketergantungan yang sangat merugikan apabila disalahgunakan atau digunakan tanpa pengendalian dan pengawasan yang ketat dan saksama</w:t>
      </w:r>
      <w:r w:rsidRPr="007576A7">
        <w:rPr>
          <w:szCs w:val="24"/>
          <w:lang w:val="id-ID"/>
        </w:rPr>
        <w:t>.</w:t>
      </w:r>
      <w:r w:rsidRPr="007576A7">
        <w:rPr>
          <w:rStyle w:val="FootnoteReference"/>
          <w:szCs w:val="24"/>
          <w:lang w:val="id-ID"/>
        </w:rPr>
        <w:footnoteReference w:id="33"/>
      </w:r>
    </w:p>
    <w:p w:rsidR="005403EC" w:rsidRPr="007576A7" w:rsidRDefault="005403EC" w:rsidP="005403EC">
      <w:pPr>
        <w:pStyle w:val="Default"/>
        <w:spacing w:line="480" w:lineRule="auto"/>
        <w:ind w:firstLine="720"/>
        <w:jc w:val="both"/>
        <w:rPr>
          <w:rFonts w:ascii="Times New Roman" w:hAnsi="Times New Roman" w:cs="Times New Roman"/>
        </w:rPr>
      </w:pPr>
      <w:r w:rsidRPr="007576A7">
        <w:rPr>
          <w:rFonts w:ascii="Times New Roman" w:hAnsi="Times New Roman" w:cs="Times New Roman"/>
        </w:rPr>
        <w:t xml:space="preserve">Penjelasan Peraturan Pemerintah Republik Indonesia Nomor 40 Tahun 2013 Tentang Pelaksanaan Undang-Undang Nomor 35 Tahun 2009 Tentang </w:t>
      </w:r>
      <w:r w:rsidRPr="007576A7">
        <w:rPr>
          <w:rFonts w:ascii="Times New Roman" w:hAnsi="Times New Roman" w:cs="Times New Roman"/>
        </w:rPr>
        <w:lastRenderedPageBreak/>
        <w:t>Narkotika menyebutkan bahwa narkotika yang disalahgunakan atau penggunaan narkotika tidak sesuai dengan standar pengobatan, dapat menimbulkan akibat yang sangat merugikan bagi setiap orang dan masyarakat serta nilai-nilai budaya bangsa yang pada akhirnya akan dapat melemahkan ketahanan nasional. Apabila penggunaan narkotika dilakukan sesuai dengan standar, prosedur, dan ukuran atau dosis yang diizinkan serta melalui pengawasan yang ketat dari dokter atau pejabat yang berwenang maka narkotika dapat bermanfaat di bidang medis atau kedokteran, serta pengembangan ilmu pengetahuan dan teknologi.</w:t>
      </w:r>
      <w:r w:rsidRPr="007576A7">
        <w:rPr>
          <w:rStyle w:val="FootnoteReference"/>
          <w:rFonts w:ascii="Times New Roman" w:hAnsi="Times New Roman" w:cs="Times New Roman"/>
        </w:rPr>
        <w:footnoteReference w:id="34"/>
      </w:r>
    </w:p>
    <w:p w:rsidR="005403EC" w:rsidRPr="007576A7" w:rsidRDefault="005403EC" w:rsidP="005403EC">
      <w:pPr>
        <w:autoSpaceDE w:val="0"/>
        <w:autoSpaceDN w:val="0"/>
        <w:adjustRightInd w:val="0"/>
        <w:spacing w:line="480" w:lineRule="auto"/>
        <w:ind w:firstLine="709"/>
        <w:jc w:val="both"/>
        <w:rPr>
          <w:lang w:val="id-ID"/>
        </w:rPr>
      </w:pPr>
      <w:r w:rsidRPr="007576A7">
        <w:rPr>
          <w:color w:val="000000"/>
          <w:lang w:val="id-ID"/>
        </w:rPr>
        <w:t xml:space="preserve">Tindak pidana narkotika diatur di dalam </w:t>
      </w:r>
      <w:r w:rsidRPr="007576A7">
        <w:rPr>
          <w:bCs/>
          <w:color w:val="000000"/>
          <w:lang w:val="id-ID" w:eastAsia="id-ID"/>
        </w:rPr>
        <w:t xml:space="preserve">Undang-Undang No. 35 Tahun 2009 Tentang Narkotika yang </w:t>
      </w:r>
      <w:r w:rsidRPr="007576A7">
        <w:t>disahkan di Jakarta pada tanggal 12 Oktober 2009 merupakan revisi dari Undang-Undang No. 22 Tahun 1997 tentang Narkotika melalui Lembaran Negara Republik Indonesia Tahun 2009 No. 143, dan Tambahan Lembaran Negara Republik Indonesia Tahun 2009 No. 5062. Pemerintah menilai Undang-Undang No. 22 Tahun 1997 tidak dapat mencegah tindak pidana narkotika yang semakin meningkat secara kuantitatif maupun kualitatif serta bentuk kejahatannya yang terorganisir</w:t>
      </w:r>
      <w:r w:rsidRPr="007576A7">
        <w:rPr>
          <w:lang w:val="id-ID"/>
        </w:rPr>
        <w:t>.</w:t>
      </w:r>
      <w:r w:rsidRPr="007576A7">
        <w:rPr>
          <w:rStyle w:val="FootnoteReference"/>
          <w:lang w:val="id-ID"/>
        </w:rPr>
        <w:footnoteReference w:id="35"/>
      </w:r>
    </w:p>
    <w:p w:rsidR="005403EC" w:rsidRPr="007576A7" w:rsidRDefault="005403EC" w:rsidP="005403EC">
      <w:pPr>
        <w:autoSpaceDE w:val="0"/>
        <w:autoSpaceDN w:val="0"/>
        <w:adjustRightInd w:val="0"/>
        <w:spacing w:line="480" w:lineRule="auto"/>
        <w:ind w:firstLine="709"/>
        <w:jc w:val="both"/>
        <w:rPr>
          <w:lang w:val="id-ID"/>
        </w:rPr>
      </w:pPr>
      <w:r w:rsidRPr="007576A7">
        <w:t xml:space="preserve">Secara substansial, </w:t>
      </w:r>
      <w:r w:rsidRPr="007576A7">
        <w:rPr>
          <w:bCs/>
          <w:color w:val="000000"/>
          <w:lang w:val="id-ID" w:eastAsia="id-ID"/>
        </w:rPr>
        <w:t>Undang-Undang No. 35 Tahun 2009 Tentang Narkotika</w:t>
      </w:r>
      <w:r w:rsidRPr="007576A7">
        <w:t xml:space="preserve"> tidak mengalami perubahan yang signifikan dibandingkan dengan undang-undang terdahulu, kecuali penekanan pada ketentuan kewajiban </w:t>
      </w:r>
      <w:r w:rsidRPr="007576A7">
        <w:lastRenderedPageBreak/>
        <w:t>rehabilitasi, penggunaan pidana yang berlebihan dan kewenangan BNN yang sangat besar</w:t>
      </w:r>
      <w:r w:rsidRPr="007576A7">
        <w:rPr>
          <w:lang w:val="id-ID"/>
        </w:rPr>
        <w:t>.</w:t>
      </w:r>
      <w:r w:rsidRPr="007576A7">
        <w:rPr>
          <w:rStyle w:val="FootnoteReference"/>
          <w:lang w:val="id-ID"/>
        </w:rPr>
        <w:footnoteReference w:id="36"/>
      </w:r>
    </w:p>
    <w:p w:rsidR="005403EC" w:rsidRPr="007576A7" w:rsidRDefault="005403EC" w:rsidP="005403EC">
      <w:pPr>
        <w:autoSpaceDE w:val="0"/>
        <w:autoSpaceDN w:val="0"/>
        <w:adjustRightInd w:val="0"/>
        <w:spacing w:line="480" w:lineRule="auto"/>
        <w:ind w:firstLine="748"/>
        <w:jc w:val="both"/>
        <w:rPr>
          <w:lang w:val="id-ID"/>
        </w:rPr>
      </w:pPr>
      <w:r w:rsidRPr="007576A7">
        <w:rPr>
          <w:lang w:val="id-ID"/>
        </w:rPr>
        <w:t>Perbedaan p</w:t>
      </w:r>
      <w:r w:rsidRPr="007576A7">
        <w:t xml:space="preserve">sikotropika </w:t>
      </w:r>
      <w:r w:rsidRPr="007576A7">
        <w:rPr>
          <w:lang w:val="id-ID"/>
        </w:rPr>
        <w:t xml:space="preserve">dengan narkotika adalah psikotropika </w:t>
      </w:r>
      <w:r w:rsidRPr="007576A7">
        <w:t xml:space="preserve">merupakan suatu zat atau obat, baik alamiah maupun sintetis bukan narkotika, yang berkhasiat psikoaktif melalui pengaruh selektif pada susunan saraf pusat yang menyebabkan perubahan khas pada aktivitas mental dan perilaku. </w:t>
      </w:r>
      <w:r w:rsidRPr="007576A7">
        <w:rPr>
          <w:lang w:val="id-ID"/>
        </w:rPr>
        <w:t xml:space="preserve"> Sedangkan n</w:t>
      </w:r>
      <w:r w:rsidRPr="007576A7">
        <w:t>arkotika adalah suatu obat atau zat alami, sintetis maupun semi sintetis yang dapat menyebabkan turunnya kesadaran, menghilangkan atau mengurangi hilang rasa atau nyeri dan perubahan kesadaran yang menimbulkan ketergantungan akan zat tersebut secara terus menerus.</w:t>
      </w:r>
    </w:p>
    <w:p w:rsidR="005403EC" w:rsidRPr="007576A7" w:rsidRDefault="005403EC" w:rsidP="005403EC">
      <w:pPr>
        <w:pStyle w:val="Default"/>
        <w:spacing w:line="480" w:lineRule="auto"/>
        <w:ind w:firstLine="720"/>
        <w:jc w:val="both"/>
        <w:rPr>
          <w:rFonts w:ascii="Times New Roman" w:hAnsi="Times New Roman" w:cs="Times New Roman"/>
          <w:lang w:val="en-US"/>
        </w:rPr>
      </w:pPr>
      <w:r w:rsidRPr="007576A7">
        <w:rPr>
          <w:rFonts w:ascii="Times New Roman" w:hAnsi="Times New Roman" w:cs="Times New Roman"/>
        </w:rPr>
        <w:t xml:space="preserve">Indonesia bukan hanya negara transit narkotika lagi, tetapi sudah menjadi negara konsumen dan produsen bahkan sudah menjadi pengekspor narkotika jenis ganja, ekstasi dan lain-lain dengan indikasi adanya pengiriman melalui paket dan kurir dari Indonesia ke luar negeri maupun paket dan kurir dari luar negeri yang di alamatkan langsung ke Indonesia. Indonesia sebagai salah satu negara di dunia yang sangat padat penduduknya, tentu saja merupakan pasar potensial narkotika. Sangat banyak </w:t>
      </w:r>
      <w:r w:rsidRPr="007576A7">
        <w:rPr>
          <w:rFonts w:ascii="Times New Roman" w:hAnsi="Times New Roman" w:cs="Times New Roman"/>
          <w:vertAlign w:val="superscript"/>
        </w:rPr>
        <w:t xml:space="preserve"> </w:t>
      </w:r>
      <w:r w:rsidRPr="007576A7">
        <w:rPr>
          <w:rFonts w:ascii="Times New Roman" w:hAnsi="Times New Roman" w:cs="Times New Roman"/>
        </w:rPr>
        <w:t>ditemukan jaringan peredaran narkotika yang berada di suatu negara termasuk Indonesia yang setelah dilacak ternyata mempunyai jaringan internasional.</w:t>
      </w:r>
      <w:r w:rsidRPr="007576A7">
        <w:rPr>
          <w:rStyle w:val="FootnoteReference"/>
          <w:rFonts w:ascii="Times New Roman" w:hAnsi="Times New Roman" w:cs="Times New Roman"/>
          <w:lang w:val="en-US"/>
        </w:rPr>
        <w:footnoteReference w:customMarkFollows="1" w:id="37"/>
        <w:t>75</w:t>
      </w:r>
    </w:p>
    <w:p w:rsidR="005403EC" w:rsidRPr="007576A7" w:rsidRDefault="005403EC" w:rsidP="005403EC">
      <w:pPr>
        <w:pStyle w:val="Default"/>
        <w:spacing w:line="480" w:lineRule="auto"/>
        <w:ind w:firstLine="720"/>
        <w:jc w:val="both"/>
        <w:rPr>
          <w:rFonts w:ascii="Times New Roman" w:hAnsi="Times New Roman" w:cs="Times New Roman"/>
        </w:rPr>
      </w:pPr>
      <w:r w:rsidRPr="007576A7">
        <w:rPr>
          <w:rFonts w:ascii="Times New Roman" w:hAnsi="Times New Roman" w:cs="Times New Roman"/>
        </w:rPr>
        <w:t xml:space="preserve">Kemiskinan menyebabkan orang rentan terhadap penyalahgunaan dan peredaran gelap narkotika. Menurut ketentuan Pasal 1 angka 6 Undang-Undang </w:t>
      </w:r>
      <w:r w:rsidRPr="007576A7">
        <w:rPr>
          <w:rFonts w:ascii="Times New Roman" w:hAnsi="Times New Roman" w:cs="Times New Roman"/>
        </w:rPr>
        <w:lastRenderedPageBreak/>
        <w:t xml:space="preserve">Nomor 35 Tahun 2009 Tentang Narkotika menyebutkan peredaran gelap narkotika adalah setiap kegiatan atau serangkaian kegiatan yang dilakukan secara tanpa hak atau melawan hukum yang ditetapkan sebagai tindak pidana narkotika dan prekusor narkotika. </w:t>
      </w:r>
    </w:p>
    <w:p w:rsidR="005403EC" w:rsidRPr="007576A7" w:rsidRDefault="005403EC" w:rsidP="005403EC">
      <w:pPr>
        <w:pStyle w:val="Default"/>
        <w:spacing w:line="480" w:lineRule="auto"/>
        <w:ind w:firstLine="720"/>
        <w:jc w:val="both"/>
        <w:rPr>
          <w:rFonts w:ascii="Times New Roman" w:hAnsi="Times New Roman" w:cs="Times New Roman"/>
        </w:rPr>
      </w:pPr>
      <w:r w:rsidRPr="007576A7">
        <w:rPr>
          <w:rFonts w:ascii="Times New Roman" w:hAnsi="Times New Roman" w:cs="Times New Roman"/>
        </w:rPr>
        <w:t xml:space="preserve">Penggunaan narkotika secara ilegal di seluruh dunia termasuk Indonesia menunjukkan peningkatan tajam merasuki semua bangsa dan umat semua agama, sehingga benar-benar mengkhawatirkan. Di tanah air sekarang penyalahgunaan narkotika sudah merambah di seluruh pelosok tanah air, segala lapisan sosial ekonomi, tempat hiburan, tempat kerja, hotel, dan lain-lain. </w:t>
      </w:r>
    </w:p>
    <w:p w:rsidR="005403EC" w:rsidRPr="007576A7" w:rsidRDefault="005403EC" w:rsidP="005403EC">
      <w:pPr>
        <w:pStyle w:val="Default"/>
        <w:spacing w:line="480" w:lineRule="auto"/>
        <w:ind w:left="709" w:firstLine="11"/>
        <w:jc w:val="both"/>
        <w:rPr>
          <w:rFonts w:ascii="Times New Roman" w:hAnsi="Times New Roman" w:cs="Times New Roman"/>
          <w:lang w:val="en-US"/>
        </w:rPr>
      </w:pPr>
      <w:r w:rsidRPr="007576A7">
        <w:rPr>
          <w:rFonts w:ascii="Times New Roman" w:hAnsi="Times New Roman" w:cs="Times New Roman"/>
        </w:rPr>
        <w:t>Penyalahgunaan narkotika saat ini sudah memasuki kelompok remaja dan kaum muda bukan hanya di negara-negara industri maju dan bangsa-bansa yang kaya, tetapi juga kelompok remaja dan kaum muda di perkotaan maupun di pedesaan.  Penyalahgunaan narkotika adalah penggunaan salah satu beberapa jenis narkotika yang dilakukan tanpa aturan kesehatan maupun secara berkala atau teratur sehingga menimbulkan gangguan kesehatan maupun jasmani jiwa dan fungsi sosialnya.</w:t>
      </w:r>
      <w:r w:rsidRPr="007576A7">
        <w:rPr>
          <w:rStyle w:val="FootnoteReference"/>
          <w:rFonts w:ascii="Times New Roman" w:hAnsi="Times New Roman" w:cs="Times New Roman"/>
          <w:lang w:val="en-US"/>
        </w:rPr>
        <w:footnoteReference w:customMarkFollows="1" w:id="38"/>
        <w:t>76</w:t>
      </w:r>
    </w:p>
    <w:p w:rsidR="005403EC" w:rsidRPr="007576A7" w:rsidRDefault="005403EC" w:rsidP="005403EC">
      <w:pPr>
        <w:pStyle w:val="Default"/>
        <w:spacing w:line="480" w:lineRule="auto"/>
        <w:ind w:left="709" w:firstLine="11"/>
        <w:jc w:val="both"/>
        <w:rPr>
          <w:rFonts w:ascii="Times New Roman" w:hAnsi="Times New Roman" w:cs="Times New Roman"/>
          <w:lang w:val="en-US"/>
        </w:rPr>
      </w:pPr>
    </w:p>
    <w:p w:rsidR="005403EC" w:rsidRPr="007576A7" w:rsidRDefault="005403EC" w:rsidP="005403EC">
      <w:pPr>
        <w:pStyle w:val="Default"/>
        <w:spacing w:line="480" w:lineRule="auto"/>
        <w:ind w:firstLine="720"/>
        <w:jc w:val="both"/>
        <w:rPr>
          <w:rFonts w:ascii="Times New Roman" w:hAnsi="Times New Roman" w:cs="Times New Roman"/>
        </w:rPr>
      </w:pPr>
      <w:r w:rsidRPr="007576A7">
        <w:rPr>
          <w:rFonts w:ascii="Times New Roman" w:hAnsi="Times New Roman" w:cs="Times New Roman"/>
        </w:rPr>
        <w:t xml:space="preserve">Penyalahgunaan narkotika merupakan suatu bentuk penyimpangan perilaku. Apapun penyebabnya pesannya yang penting adalah bahwa penggunaan narkotika di luar keperluan medis berbahaya, merusak dan menimbulkan beban berat yang tidak terpikulkan bagi diri, keluarga, masyarakat, bangsa dan umat manusia. </w:t>
      </w:r>
      <w:r w:rsidRPr="007576A7">
        <w:rPr>
          <w:rFonts w:ascii="Times New Roman" w:hAnsi="Times New Roman" w:cs="Times New Roman"/>
          <w:bCs/>
        </w:rPr>
        <w:t>Penyalahgunaan narkotika</w:t>
      </w:r>
      <w:r w:rsidRPr="007576A7">
        <w:rPr>
          <w:rFonts w:ascii="Times New Roman" w:hAnsi="Times New Roman" w:cs="Times New Roman"/>
          <w:b/>
          <w:bCs/>
        </w:rPr>
        <w:t xml:space="preserve"> </w:t>
      </w:r>
      <w:r w:rsidRPr="007576A7">
        <w:rPr>
          <w:rFonts w:ascii="Times New Roman" w:hAnsi="Times New Roman" w:cs="Times New Roman"/>
        </w:rPr>
        <w:t xml:space="preserve">adalah menggunakan narkotika dengan tidak </w:t>
      </w:r>
      <w:r w:rsidRPr="007576A7">
        <w:rPr>
          <w:rFonts w:ascii="Times New Roman" w:hAnsi="Times New Roman" w:cs="Times New Roman"/>
        </w:rPr>
        <w:lastRenderedPageBreak/>
        <w:t>tepat guna, tanpa hak dan melawan hukum. Sebagai contohnya adalah mengonsumsi narkotika dengan tidak tepat secara medis (tidak sesuai dosis dan indikasi klinisnya) serta tidak sah secara hukum (bukan orang/lembaga yang diberi ijin untuk menggunakannya, mengedarkannya atau memproduksinya).</w:t>
      </w:r>
    </w:p>
    <w:p w:rsidR="005403EC" w:rsidRPr="007576A7" w:rsidRDefault="005403EC" w:rsidP="005403EC">
      <w:pPr>
        <w:autoSpaceDE w:val="0"/>
        <w:autoSpaceDN w:val="0"/>
        <w:adjustRightInd w:val="0"/>
        <w:spacing w:line="480" w:lineRule="auto"/>
        <w:ind w:left="709"/>
        <w:jc w:val="both"/>
      </w:pPr>
      <w:r w:rsidRPr="007576A7">
        <w:t xml:space="preserve">Dampak atau akibat buruk dari penyalahgunaan narkotika menurut Subagyo Partodiharjo antara lain adalah dampak terhadap </w:t>
      </w:r>
      <w:r w:rsidRPr="007576A7">
        <w:rPr>
          <w:bCs/>
        </w:rPr>
        <w:t>fisik</w:t>
      </w:r>
      <w:r w:rsidRPr="007576A7">
        <w:t xml:space="preserve">, dampak terhadap </w:t>
      </w:r>
      <w:r w:rsidRPr="007576A7">
        <w:rPr>
          <w:bCs/>
        </w:rPr>
        <w:t>mental dan moral</w:t>
      </w:r>
      <w:r w:rsidRPr="007576A7">
        <w:t xml:space="preserve">, serta dampak terhadap </w:t>
      </w:r>
      <w:r w:rsidRPr="007576A7">
        <w:rPr>
          <w:bCs/>
        </w:rPr>
        <w:t>keluarga, masyarakat, dan bangsa</w:t>
      </w:r>
      <w:r w:rsidRPr="007576A7">
        <w:rPr>
          <w:iCs/>
        </w:rPr>
        <w:t>.</w:t>
      </w:r>
      <w:r w:rsidRPr="007576A7">
        <w:rPr>
          <w:rStyle w:val="FootnoteReference"/>
          <w:iCs/>
        </w:rPr>
        <w:footnoteReference w:customMarkFollows="1" w:id="39"/>
        <w:t>78</w:t>
      </w:r>
      <w:r w:rsidRPr="007576A7">
        <w:rPr>
          <w:iCs/>
        </w:rPr>
        <w:t xml:space="preserve"> </w:t>
      </w:r>
      <w:r w:rsidRPr="007576A7">
        <w:t xml:space="preserve">Dampak terhadap </w:t>
      </w:r>
      <w:r w:rsidRPr="007576A7">
        <w:rPr>
          <w:bCs/>
        </w:rPr>
        <w:t xml:space="preserve">fisik, </w:t>
      </w:r>
      <w:r w:rsidRPr="007576A7">
        <w:t xml:space="preserve">pemakaian narkotika yang sudah sampai pada tahap berkala akan mengalami </w:t>
      </w:r>
      <w:r w:rsidRPr="007576A7">
        <w:rPr>
          <w:i/>
          <w:iCs/>
        </w:rPr>
        <w:t xml:space="preserve">sakaw </w:t>
      </w:r>
      <w:r w:rsidRPr="007576A7">
        <w:t>(rasa sakit yang tidak tertahankan) jika terlamabat mengonsumsi narkotika, pemakai narkotika juga dapat mengalami kerusakan pada organ-organ vital tubuh sebagai akibat langsung dari adanya narkotika dalam darah, seperti : kerusakan paru-paru, ginjal, hati, otak, jantung, dan usus. Sedangkan penyakit sekunder yang ditimbulkan akibat pemakaian narkotika adalah dapat terkena penyakit infeksi seperti hepatitis B/C, HIV/AIDS, dan si</w:t>
      </w:r>
      <w:r w:rsidRPr="007576A7">
        <w:rPr>
          <w:lang w:val="id-ID"/>
        </w:rPr>
        <w:t>p</w:t>
      </w:r>
      <w:r w:rsidRPr="007576A7">
        <w:t>ilis</w:t>
      </w:r>
      <w:r w:rsidRPr="007576A7">
        <w:rPr>
          <w:lang w:val="id-ID"/>
        </w:rPr>
        <w:t xml:space="preserve"> (</w:t>
      </w:r>
      <w:r w:rsidRPr="007576A7">
        <w:rPr>
          <w:rStyle w:val="st"/>
        </w:rPr>
        <w:t xml:space="preserve">sejenis penyakit kelamin yang disebabkan oleh bakteri </w:t>
      </w:r>
      <w:r w:rsidRPr="007576A7">
        <w:rPr>
          <w:rStyle w:val="st"/>
          <w:i/>
        </w:rPr>
        <w:t>spirochaeta pallid</w:t>
      </w:r>
      <w:r w:rsidRPr="007576A7">
        <w:rPr>
          <w:rStyle w:val="st"/>
          <w:lang w:val="id-ID"/>
        </w:rPr>
        <w:t>)</w:t>
      </w:r>
      <w:r w:rsidRPr="007576A7">
        <w:t>.</w:t>
      </w:r>
      <w:r w:rsidRPr="007576A7">
        <w:rPr>
          <w:rStyle w:val="FootnoteReference"/>
        </w:rPr>
        <w:footnoteReference w:id="40"/>
      </w:r>
    </w:p>
    <w:p w:rsidR="005403EC" w:rsidRPr="007576A7" w:rsidRDefault="005403EC" w:rsidP="005403EC">
      <w:pPr>
        <w:autoSpaceDE w:val="0"/>
        <w:autoSpaceDN w:val="0"/>
        <w:adjustRightInd w:val="0"/>
        <w:spacing w:line="480" w:lineRule="auto"/>
        <w:ind w:left="709"/>
        <w:jc w:val="both"/>
      </w:pPr>
    </w:p>
    <w:p w:rsidR="005403EC" w:rsidRPr="007576A7" w:rsidRDefault="005403EC" w:rsidP="005403EC">
      <w:pPr>
        <w:autoSpaceDE w:val="0"/>
        <w:autoSpaceDN w:val="0"/>
        <w:adjustRightInd w:val="0"/>
        <w:spacing w:line="480" w:lineRule="auto"/>
        <w:ind w:firstLine="748"/>
        <w:jc w:val="both"/>
      </w:pPr>
      <w:r w:rsidRPr="007576A7">
        <w:t xml:space="preserve">Pemakaian yang </w:t>
      </w:r>
      <w:r w:rsidRPr="007576A7">
        <w:rPr>
          <w:i/>
        </w:rPr>
        <w:t>overdosis</w:t>
      </w:r>
      <w:r w:rsidRPr="007576A7">
        <w:t xml:space="preserve"> akan berakhir pada sebuah kematian. Dampak terhadap </w:t>
      </w:r>
      <w:r w:rsidRPr="007576A7">
        <w:rPr>
          <w:bCs/>
        </w:rPr>
        <w:t>mental dan moral</w:t>
      </w:r>
      <w:r w:rsidRPr="007576A7">
        <w:t xml:space="preserve">, pemakaian narkotika yang berupa kerusakan fisik seperti kerusakan pada sel-sel otak, syaraf, dan seluruh jaringan tubuh, beserta organ-organ vital tubuh lainnya dapat menyebabkan munculnya stres pada yang </w:t>
      </w:r>
      <w:r w:rsidRPr="007576A7">
        <w:lastRenderedPageBreak/>
        <w:t>bersangkutan, sehingga semua penderitaan yang dialami tersebut membuat perubahan pada sifat/perangai, sikap, serta perilaku seperti: paranoid atau selalu curiga dan bermusuhan, psikosis atau jahat, bahkan tidak peduli terhadap orang lain (asosial). Bahkan karena sudah menjadi kecanduan maka tidak sedikit pula penyalahguna narkotika yang mental dan moralnya rusak, kemudian menjadi penipu, penjahat, serta pembunuh sekedar untuk mendapatkan uang supaya dapat membeli narkotika.</w:t>
      </w:r>
      <w:r w:rsidRPr="007576A7">
        <w:rPr>
          <w:rStyle w:val="FootnoteReference"/>
        </w:rPr>
        <w:footnoteReference w:id="41"/>
      </w:r>
    </w:p>
    <w:p w:rsidR="005403EC" w:rsidRPr="007576A7" w:rsidRDefault="005403EC" w:rsidP="005403EC">
      <w:pPr>
        <w:autoSpaceDE w:val="0"/>
        <w:autoSpaceDN w:val="0"/>
        <w:adjustRightInd w:val="0"/>
        <w:spacing w:line="480" w:lineRule="auto"/>
        <w:ind w:firstLine="748"/>
        <w:jc w:val="both"/>
      </w:pPr>
      <w:r w:rsidRPr="007576A7">
        <w:t xml:space="preserve">Penyalahgunaan narkotika dapat dilakukan oleh seseorang  akan tetapi menimbulkan efek ganda yaitu selain  terhadap dirinya  sendiri  juga terhadap masyarakat.  Hal ini dimungkinkan karena pribadi merupakan anggota masyarakat dan sebaliknya masyarakat berasal dari perseorangan. Di samping  itu penggunaan narkotika dan psikotropika  oleh seseorang akan menimbulkan  kerawanan bagi masyarakat berhubung karena si pemakai narkotika tersebut. </w:t>
      </w:r>
    </w:p>
    <w:p w:rsidR="005403EC" w:rsidRPr="007576A7" w:rsidRDefault="005403EC" w:rsidP="005403EC">
      <w:pPr>
        <w:spacing w:line="480" w:lineRule="auto"/>
        <w:ind w:firstLine="709"/>
        <w:jc w:val="both"/>
      </w:pPr>
      <w:r w:rsidRPr="007576A7">
        <w:t>Pada dasarnya narkotika di Indonesia merupakan obat yang dibutuhkan dalam pelayanan kesehatan, sehingga ketersediannya perlu dijamin. Di lain pihak narkotika dapat menimbulkan ketergantungan apabila disalahgunakan, sehingga dapat mengakibatkan gangguan fisik, mental, sosial, keamanan dan ketertiban masyarakat yang pada akhirnya menganggu ketahanan nasional. Oleh karena sifat-sifat yang merugikan tersebut, maka narkotika harus diawasi dengan baik secara nasional maupun internasional.</w:t>
      </w:r>
    </w:p>
    <w:p w:rsidR="005403EC" w:rsidRPr="007576A7" w:rsidRDefault="005403EC" w:rsidP="005403EC">
      <w:pPr>
        <w:autoSpaceDE w:val="0"/>
        <w:autoSpaceDN w:val="0"/>
        <w:adjustRightInd w:val="0"/>
        <w:spacing w:line="480" w:lineRule="auto"/>
        <w:ind w:firstLine="709"/>
        <w:jc w:val="both"/>
      </w:pPr>
      <w:r w:rsidRPr="007576A7">
        <w:t xml:space="preserve">Undang-Undang Nomor 35 Tahun 2009 tentang Narkotika, sulit untuk untuk menemukan apa yang dimaksud sebagai “pecandu narkotika”. Menurut </w:t>
      </w:r>
      <w:r w:rsidRPr="007576A7">
        <w:lastRenderedPageBreak/>
        <w:t xml:space="preserve">kamus bahasa Indonesia istilah “Pecandu” adalah orang yang menggunakan candu (narkotika), bila dikaitkan dengan pengertian narkotika sebagaimana diatur dalam Pasal 1 angka 1 UU Narkotika, maka dapat dikaitkan bahwa pecandu narkotika adalah orang yang menggunakan zat atau obat yang berasal dari tanaman, baik sintesis maupun semi sintesis yang dapat menyebabkan penurunan atau perubahan kesadaran, hilangnya rasa, mengurangi sampai menghilangkan rasa nyeri, dan dapat menimbulkan ketergantungan, yang dibedakan dalam golongan-golongan sebagaimana terlampir dalam UU Narkotika. </w:t>
      </w:r>
      <w:r w:rsidRPr="007576A7">
        <w:rPr>
          <w:rStyle w:val="FootnoteReference"/>
        </w:rPr>
        <w:footnoteReference w:customMarkFollows="1" w:id="42"/>
        <w:t>15</w:t>
      </w:r>
    </w:p>
    <w:p w:rsidR="005403EC" w:rsidRPr="007576A7" w:rsidRDefault="005403EC" w:rsidP="005403EC">
      <w:pPr>
        <w:autoSpaceDE w:val="0"/>
        <w:autoSpaceDN w:val="0"/>
        <w:adjustRightInd w:val="0"/>
        <w:spacing w:line="480" w:lineRule="auto"/>
        <w:ind w:left="709"/>
        <w:jc w:val="both"/>
      </w:pPr>
      <w:r w:rsidRPr="007576A7">
        <w:t>Penggunaan istilah pecandu narkotika digunakan untuk memudahkan dalam penyebutan bagi orang yang menggunakan narkotika dalam kondisi ketergantungan, untuk membedakan dengan penanam, produsen, penyalur, kurir dan pengedar narkotika. Penyalahgunaan narkotika adalah penggunaan yang dilakukan tidak untuk maksud pengobatan, tetapi karena ingin menikmati pengaruhnya, dalam jumlah berlebih, kurang teratur, dan berlangsung cukup lama, sehingga menyebabkan gangguan kesehatan fisik, mental dan kehidupan sosial. Penyalahgunaan narkotika yang dilakukan secara terus menerus akan mempengaruhi fungsi berfikir, perasaan dan perilaku orang yang memakainya. Keadaan ini bisa menimbulkan ketagihan (</w:t>
      </w:r>
      <w:r w:rsidRPr="007576A7">
        <w:rPr>
          <w:i/>
          <w:iCs/>
        </w:rPr>
        <w:t xml:space="preserve">addiction) </w:t>
      </w:r>
      <w:r w:rsidRPr="007576A7">
        <w:t>yang akhirnya mengakibatkan ketergantungan (</w:t>
      </w:r>
      <w:r w:rsidRPr="007576A7">
        <w:rPr>
          <w:i/>
          <w:iCs/>
        </w:rPr>
        <w:t>dependence</w:t>
      </w:r>
      <w:r w:rsidRPr="007576A7">
        <w:t>).</w:t>
      </w:r>
      <w:r w:rsidRPr="007576A7">
        <w:rPr>
          <w:rStyle w:val="FootnoteReference"/>
        </w:rPr>
        <w:footnoteReference w:customMarkFollows="1" w:id="43"/>
        <w:t>16</w:t>
      </w:r>
    </w:p>
    <w:p w:rsidR="005403EC" w:rsidRPr="007576A7" w:rsidRDefault="005403EC" w:rsidP="005403EC">
      <w:pPr>
        <w:autoSpaceDE w:val="0"/>
        <w:autoSpaceDN w:val="0"/>
        <w:adjustRightInd w:val="0"/>
        <w:spacing w:line="480" w:lineRule="auto"/>
        <w:ind w:left="709"/>
        <w:jc w:val="both"/>
      </w:pPr>
    </w:p>
    <w:p w:rsidR="005403EC" w:rsidRPr="007576A7" w:rsidRDefault="005403EC" w:rsidP="005403EC">
      <w:pPr>
        <w:autoSpaceDE w:val="0"/>
        <w:autoSpaceDN w:val="0"/>
        <w:adjustRightInd w:val="0"/>
        <w:spacing w:line="480" w:lineRule="auto"/>
        <w:ind w:firstLine="709"/>
        <w:jc w:val="both"/>
      </w:pPr>
      <w:r w:rsidRPr="007576A7">
        <w:lastRenderedPageBreak/>
        <w:t>Dikaitkan dengan dengan orang yang menggunakan narkotika, dalam UU Narkotika dapat ditemukan berbagai istilah antara lain:</w:t>
      </w:r>
    </w:p>
    <w:p w:rsidR="005403EC" w:rsidRPr="007576A7" w:rsidRDefault="005403EC" w:rsidP="00816D6F">
      <w:pPr>
        <w:numPr>
          <w:ilvl w:val="1"/>
          <w:numId w:val="7"/>
        </w:numPr>
        <w:tabs>
          <w:tab w:val="left" w:pos="993"/>
        </w:tabs>
        <w:autoSpaceDE w:val="0"/>
        <w:autoSpaceDN w:val="0"/>
        <w:adjustRightInd w:val="0"/>
        <w:spacing w:line="480" w:lineRule="auto"/>
        <w:ind w:left="993" w:hanging="284"/>
        <w:jc w:val="both"/>
      </w:pPr>
      <w:r w:rsidRPr="007576A7">
        <w:t>Pecandu narkotika sebagai orang yang menggunakan atau menyalahgunakan narkotika dan dalam keadaan ketergantungan pada narkotika, baik secara fisik maupun psikis (Pasal 1 angka 13 UU Narkotika).</w:t>
      </w:r>
    </w:p>
    <w:p w:rsidR="005403EC" w:rsidRPr="007576A7" w:rsidRDefault="005403EC" w:rsidP="00816D6F">
      <w:pPr>
        <w:numPr>
          <w:ilvl w:val="1"/>
          <w:numId w:val="7"/>
        </w:numPr>
        <w:tabs>
          <w:tab w:val="left" w:pos="993"/>
        </w:tabs>
        <w:autoSpaceDE w:val="0"/>
        <w:autoSpaceDN w:val="0"/>
        <w:adjustRightInd w:val="0"/>
        <w:spacing w:line="480" w:lineRule="auto"/>
        <w:ind w:left="993" w:hanging="284"/>
        <w:jc w:val="both"/>
      </w:pPr>
      <w:r w:rsidRPr="007576A7">
        <w:t>Ketergantungan narkotika adalah kondisi yang ditandai oleh dorongan untuk menggunakan Narkotika secara terus-menerus dengan takaran yang meningkat agar menghasilkan efek yang sama dan apabila penggunaannya dikurangi dan/atau dihentikan secara tiba-tiba, menimbulkan gejala fisik dan psikis yang khas. (Pasal 1 angka 14 UU Narkotika).  Ketergantungan fisik adalah suatu keadaan dimana tubuh membutuhkan rangsangan narkotika dan apabila pemakaiannya dihentikan akan menimbulkan gejala fisik yang dinamakan gejala putus zat. Sedangkan ketergantungan psikis adalah suatu keinginan yang selalu berada dalam ingatan, maka apabila pemakaian narkoba dihentikan akan menimbulkan kecemasan, kegelisahan dan depresi.</w:t>
      </w:r>
    </w:p>
    <w:p w:rsidR="005403EC" w:rsidRPr="007576A7" w:rsidRDefault="005403EC" w:rsidP="00816D6F">
      <w:pPr>
        <w:numPr>
          <w:ilvl w:val="1"/>
          <w:numId w:val="7"/>
        </w:numPr>
        <w:tabs>
          <w:tab w:val="left" w:pos="993"/>
        </w:tabs>
        <w:autoSpaceDE w:val="0"/>
        <w:autoSpaceDN w:val="0"/>
        <w:adjustRightInd w:val="0"/>
        <w:spacing w:line="480" w:lineRule="auto"/>
        <w:ind w:left="993" w:hanging="284"/>
        <w:jc w:val="both"/>
      </w:pPr>
      <w:r w:rsidRPr="007576A7">
        <w:t>Penyalahguna adalah orang yang menggunakan narkotika tanpa hak atau melawan hukum (Pasal 1 angka 15 UU Narkotika)</w:t>
      </w:r>
    </w:p>
    <w:p w:rsidR="005403EC" w:rsidRPr="007576A7" w:rsidRDefault="005403EC" w:rsidP="00816D6F">
      <w:pPr>
        <w:numPr>
          <w:ilvl w:val="1"/>
          <w:numId w:val="7"/>
        </w:numPr>
        <w:tabs>
          <w:tab w:val="left" w:pos="993"/>
        </w:tabs>
        <w:autoSpaceDE w:val="0"/>
        <w:autoSpaceDN w:val="0"/>
        <w:adjustRightInd w:val="0"/>
        <w:spacing w:line="480" w:lineRule="auto"/>
        <w:ind w:left="993" w:hanging="284"/>
        <w:jc w:val="both"/>
      </w:pPr>
      <w:r w:rsidRPr="007576A7">
        <w:t>Korban penyalahguna adalah seseorang yang tidak sengaja menggunakan narkotika, karena dibujuk, diperdaya, ditipu, dipaksa, dan/atau diancam untuk menggunakan narkotika (Penjelasan Pasal 54 UU Narkotika)</w:t>
      </w:r>
    </w:p>
    <w:p w:rsidR="005403EC" w:rsidRPr="007576A7" w:rsidRDefault="005403EC" w:rsidP="00816D6F">
      <w:pPr>
        <w:numPr>
          <w:ilvl w:val="1"/>
          <w:numId w:val="7"/>
        </w:numPr>
        <w:tabs>
          <w:tab w:val="left" w:pos="993"/>
        </w:tabs>
        <w:autoSpaceDE w:val="0"/>
        <w:autoSpaceDN w:val="0"/>
        <w:adjustRightInd w:val="0"/>
        <w:spacing w:line="480" w:lineRule="auto"/>
        <w:ind w:left="993" w:hanging="284"/>
        <w:jc w:val="both"/>
      </w:pPr>
      <w:r w:rsidRPr="007576A7">
        <w:lastRenderedPageBreak/>
        <w:t>Pasien sebagai orang yang berdasarkan indikasi medis dapat menggunakan, mendapatkan, memiliki, menyimpan dan membawa narkotika golongan II dan golongan III dalam jumlah terbatas dan sediaan tertentu.</w:t>
      </w:r>
    </w:p>
    <w:p w:rsidR="005403EC" w:rsidRPr="007576A7" w:rsidRDefault="005403EC" w:rsidP="00816D6F">
      <w:pPr>
        <w:numPr>
          <w:ilvl w:val="1"/>
          <w:numId w:val="7"/>
        </w:numPr>
        <w:tabs>
          <w:tab w:val="left" w:pos="993"/>
        </w:tabs>
        <w:autoSpaceDE w:val="0"/>
        <w:autoSpaceDN w:val="0"/>
        <w:adjustRightInd w:val="0"/>
        <w:spacing w:line="480" w:lineRule="auto"/>
        <w:ind w:left="993" w:hanging="284"/>
        <w:jc w:val="both"/>
      </w:pPr>
      <w:r w:rsidRPr="007576A7">
        <w:t>Mantan pecandu narkotika adalah orang yang telah sembuh dari ketergantungan terhadap narkotika secara fisik maupun psikis (Penjelasan Pasal 58 UU Narkotika).</w:t>
      </w:r>
      <w:r w:rsidRPr="007576A7">
        <w:rPr>
          <w:rStyle w:val="FootnoteReference"/>
        </w:rPr>
        <w:t xml:space="preserve"> </w:t>
      </w:r>
      <w:r w:rsidRPr="007576A7">
        <w:rPr>
          <w:rStyle w:val="FootnoteReference"/>
        </w:rPr>
        <w:footnoteReference w:id="44"/>
      </w:r>
    </w:p>
    <w:p w:rsidR="005403EC" w:rsidRPr="007576A7" w:rsidRDefault="005403EC" w:rsidP="005403EC">
      <w:pPr>
        <w:tabs>
          <w:tab w:val="left" w:pos="993"/>
        </w:tabs>
        <w:autoSpaceDE w:val="0"/>
        <w:autoSpaceDN w:val="0"/>
        <w:adjustRightInd w:val="0"/>
        <w:spacing w:line="480" w:lineRule="auto"/>
        <w:ind w:left="993"/>
        <w:jc w:val="both"/>
      </w:pPr>
    </w:p>
    <w:p w:rsidR="005403EC" w:rsidRPr="007576A7" w:rsidRDefault="005403EC" w:rsidP="005403EC">
      <w:pPr>
        <w:autoSpaceDE w:val="0"/>
        <w:autoSpaceDN w:val="0"/>
        <w:adjustRightInd w:val="0"/>
        <w:spacing w:line="480" w:lineRule="auto"/>
        <w:ind w:firstLine="709"/>
        <w:jc w:val="both"/>
      </w:pPr>
      <w:r w:rsidRPr="007576A7">
        <w:t>Seseorang yang terlibat narkotika biasanya mengalami gangguan fungsi kerja tubuh dan perilaku dikarenakan oleh zat adiktif atau candu yang terkandung dalam berbagai jenis narkotika. Pengguna narkotika tidak dapat mengendalikan diri untuk berhenti begitu saja, sehingga menghilangkan kontrol sosial mereka. Keadaan seperti ini membuat mereka siap melakukan apa saja untuk mendapatkan narkotika. Inilah yang membentuk karakteristik para pemakai narkotika.</w:t>
      </w:r>
    </w:p>
    <w:p w:rsidR="005403EC" w:rsidRPr="007576A7" w:rsidRDefault="005403EC" w:rsidP="005403EC">
      <w:pPr>
        <w:autoSpaceDE w:val="0"/>
        <w:autoSpaceDN w:val="0"/>
        <w:adjustRightInd w:val="0"/>
        <w:spacing w:line="480" w:lineRule="auto"/>
        <w:ind w:firstLine="709"/>
        <w:jc w:val="both"/>
        <w:rPr>
          <w:bCs/>
        </w:rPr>
      </w:pPr>
      <w:r w:rsidRPr="007576A7">
        <w:rPr>
          <w:bCs/>
        </w:rPr>
        <w:t>Ciri-ciri pecandu narkoba secara psikologis:</w:t>
      </w:r>
    </w:p>
    <w:p w:rsidR="005403EC" w:rsidRPr="007576A7" w:rsidRDefault="005403EC" w:rsidP="00816D6F">
      <w:pPr>
        <w:numPr>
          <w:ilvl w:val="6"/>
          <w:numId w:val="9"/>
        </w:numPr>
        <w:tabs>
          <w:tab w:val="clear" w:pos="5040"/>
          <w:tab w:val="left" w:pos="851"/>
          <w:tab w:val="num" w:pos="1080"/>
        </w:tabs>
        <w:autoSpaceDE w:val="0"/>
        <w:autoSpaceDN w:val="0"/>
        <w:adjustRightInd w:val="0"/>
        <w:spacing w:line="480" w:lineRule="auto"/>
        <w:ind w:left="1080"/>
        <w:jc w:val="both"/>
      </w:pPr>
      <w:r w:rsidRPr="007576A7">
        <w:rPr>
          <w:bCs/>
        </w:rPr>
        <w:t>Halusinasi</w:t>
      </w:r>
    </w:p>
    <w:p w:rsidR="005403EC" w:rsidRPr="007576A7" w:rsidRDefault="005403EC" w:rsidP="005403EC">
      <w:pPr>
        <w:tabs>
          <w:tab w:val="left" w:pos="851"/>
        </w:tabs>
        <w:autoSpaceDE w:val="0"/>
        <w:autoSpaceDN w:val="0"/>
        <w:adjustRightInd w:val="0"/>
        <w:spacing w:line="480" w:lineRule="auto"/>
        <w:ind w:left="1080"/>
        <w:jc w:val="both"/>
      </w:pPr>
      <w:r w:rsidRPr="007576A7">
        <w:t xml:space="preserve">Pemakai biasanya merasakan dua perasaan berbeda yang intensitasnya sama kuat. Akibat dari ini menimbulkan penglihatan-penglihatan bergerak, warna-warna dan mata pemakai akan menjadi sangat sensitif terhadap cahaya terang. Berdasarkan eksperimen yang dilakukan terhadap hewan percobaan, efek </w:t>
      </w:r>
      <w:r w:rsidRPr="007576A7">
        <w:rPr>
          <w:i/>
          <w:iCs/>
        </w:rPr>
        <w:t xml:space="preserve">hallucinogen </w:t>
      </w:r>
      <w:r w:rsidRPr="007576A7">
        <w:t xml:space="preserve">ini mempengaruhi beberapa jenis zat kimia yang menyebabkan tertutupnya system </w:t>
      </w:r>
      <w:r w:rsidRPr="007576A7">
        <w:lastRenderedPageBreak/>
        <w:t>penyaringan informasi. Terblokirnya saluran ini yang menghasilkan halusinasi warna, suara gerak secara bersamaan. Biasanya halusinasi ini merupakan efek dari penggunaan narkotika yang bersifat organic (ganja) tetapi dapat juga ditimbulkan oleh narkotika sintetis seperti putauw.</w:t>
      </w:r>
    </w:p>
    <w:p w:rsidR="005403EC" w:rsidRPr="007576A7" w:rsidRDefault="005403EC" w:rsidP="00816D6F">
      <w:pPr>
        <w:numPr>
          <w:ilvl w:val="6"/>
          <w:numId w:val="9"/>
        </w:numPr>
        <w:tabs>
          <w:tab w:val="clear" w:pos="5040"/>
          <w:tab w:val="left" w:pos="851"/>
          <w:tab w:val="num" w:pos="1080"/>
        </w:tabs>
        <w:autoSpaceDE w:val="0"/>
        <w:autoSpaceDN w:val="0"/>
        <w:adjustRightInd w:val="0"/>
        <w:spacing w:line="480" w:lineRule="auto"/>
        <w:ind w:left="1080"/>
        <w:jc w:val="both"/>
      </w:pPr>
      <w:r w:rsidRPr="007576A7">
        <w:rPr>
          <w:bCs/>
        </w:rPr>
        <w:t>Paranoid.</w:t>
      </w:r>
    </w:p>
    <w:p w:rsidR="005403EC" w:rsidRPr="007576A7" w:rsidRDefault="005403EC" w:rsidP="005403EC">
      <w:pPr>
        <w:tabs>
          <w:tab w:val="left" w:pos="851"/>
        </w:tabs>
        <w:autoSpaceDE w:val="0"/>
        <w:autoSpaceDN w:val="0"/>
        <w:adjustRightInd w:val="0"/>
        <w:spacing w:line="480" w:lineRule="auto"/>
        <w:ind w:left="1080"/>
        <w:jc w:val="both"/>
      </w:pPr>
      <w:r w:rsidRPr="007576A7">
        <w:t>Penyakit kejiwaan yang biasanya merupakaan bawaan sejak lahir ini juga dapat ditimbulkan oleh pengguna narkoba dengan dosis sangat besar pada jangka waku berdekatan. Pengguna merasa depresi, merasa diintai setiap saat dan curiga yang berlebihan. Keadaan ini memburuk bila pengguna merasa putus obat, menyebabkan kerusakan permanen dalam system saraf utama. Hasilnya adalah penyakit jiwa kronis dan untuk menyembuhka membutuhkan waktu sangat lama. Efek ini ditimbulkan oleh jenis shabu-shabu yang memancing keaktifan daya kerja otak sehingga melebihi porsi kerja otak normal.</w:t>
      </w:r>
    </w:p>
    <w:p w:rsidR="005403EC" w:rsidRPr="007576A7" w:rsidRDefault="005403EC" w:rsidP="00816D6F">
      <w:pPr>
        <w:numPr>
          <w:ilvl w:val="6"/>
          <w:numId w:val="9"/>
        </w:numPr>
        <w:tabs>
          <w:tab w:val="clear" w:pos="5040"/>
          <w:tab w:val="left" w:pos="851"/>
          <w:tab w:val="num" w:pos="1080"/>
        </w:tabs>
        <w:autoSpaceDE w:val="0"/>
        <w:autoSpaceDN w:val="0"/>
        <w:adjustRightInd w:val="0"/>
        <w:spacing w:line="480" w:lineRule="auto"/>
        <w:ind w:left="1080"/>
        <w:jc w:val="both"/>
      </w:pPr>
      <w:r w:rsidRPr="007576A7">
        <w:rPr>
          <w:bCs/>
        </w:rPr>
        <w:t>Ketakutan pada bentuk-bentuk tertentu.</w:t>
      </w:r>
    </w:p>
    <w:p w:rsidR="005403EC" w:rsidRPr="007576A7" w:rsidRDefault="005403EC" w:rsidP="005403EC">
      <w:pPr>
        <w:tabs>
          <w:tab w:val="left" w:pos="851"/>
        </w:tabs>
        <w:autoSpaceDE w:val="0"/>
        <w:autoSpaceDN w:val="0"/>
        <w:adjustRightInd w:val="0"/>
        <w:spacing w:line="480" w:lineRule="auto"/>
        <w:ind w:left="1080"/>
        <w:jc w:val="both"/>
      </w:pPr>
      <w:r w:rsidRPr="007576A7">
        <w:t>Pengguna narkoba pada masa putus zat (sakau) memiliki kecenderungan pisikologis ruang yang serupa diantaranya:</w:t>
      </w:r>
    </w:p>
    <w:p w:rsidR="005403EC" w:rsidRPr="007576A7" w:rsidRDefault="005403EC" w:rsidP="00816D6F">
      <w:pPr>
        <w:numPr>
          <w:ilvl w:val="0"/>
          <w:numId w:val="8"/>
        </w:numPr>
        <w:autoSpaceDE w:val="0"/>
        <w:autoSpaceDN w:val="0"/>
        <w:adjustRightInd w:val="0"/>
        <w:spacing w:line="480" w:lineRule="auto"/>
        <w:ind w:left="1418"/>
        <w:jc w:val="both"/>
      </w:pPr>
      <w:r w:rsidRPr="007576A7">
        <w:t>Takut melihat cahaya.</w:t>
      </w:r>
    </w:p>
    <w:p w:rsidR="005403EC" w:rsidRPr="007576A7" w:rsidRDefault="005403EC" w:rsidP="00816D6F">
      <w:pPr>
        <w:numPr>
          <w:ilvl w:val="0"/>
          <w:numId w:val="8"/>
        </w:numPr>
        <w:autoSpaceDE w:val="0"/>
        <w:autoSpaceDN w:val="0"/>
        <w:adjustRightInd w:val="0"/>
        <w:spacing w:line="480" w:lineRule="auto"/>
        <w:ind w:left="1418"/>
        <w:jc w:val="both"/>
      </w:pPr>
      <w:r w:rsidRPr="007576A7">
        <w:t>Mencari ruang sempit dan gelap.</w:t>
      </w:r>
    </w:p>
    <w:p w:rsidR="005403EC" w:rsidRPr="007576A7" w:rsidRDefault="005403EC" w:rsidP="00816D6F">
      <w:pPr>
        <w:numPr>
          <w:ilvl w:val="0"/>
          <w:numId w:val="8"/>
        </w:numPr>
        <w:autoSpaceDE w:val="0"/>
        <w:autoSpaceDN w:val="0"/>
        <w:adjustRightInd w:val="0"/>
        <w:spacing w:line="480" w:lineRule="auto"/>
        <w:ind w:left="1418"/>
        <w:jc w:val="both"/>
      </w:pPr>
      <w:r w:rsidRPr="007576A7">
        <w:t>Takut pada bentuk ruang yang menekan.</w:t>
      </w:r>
    </w:p>
    <w:p w:rsidR="005403EC" w:rsidRPr="007576A7" w:rsidRDefault="005403EC" w:rsidP="00816D6F">
      <w:pPr>
        <w:numPr>
          <w:ilvl w:val="0"/>
          <w:numId w:val="8"/>
        </w:numPr>
        <w:autoSpaceDE w:val="0"/>
        <w:autoSpaceDN w:val="0"/>
        <w:adjustRightInd w:val="0"/>
        <w:spacing w:line="480" w:lineRule="auto"/>
        <w:ind w:left="1418"/>
        <w:jc w:val="both"/>
      </w:pPr>
      <w:r w:rsidRPr="007576A7">
        <w:t>Mudah terpengaruh oleh warna-warna yang merangsang.</w:t>
      </w:r>
    </w:p>
    <w:p w:rsidR="005403EC" w:rsidRPr="007576A7" w:rsidRDefault="005403EC" w:rsidP="00816D6F">
      <w:pPr>
        <w:numPr>
          <w:ilvl w:val="6"/>
          <w:numId w:val="9"/>
        </w:numPr>
        <w:tabs>
          <w:tab w:val="clear" w:pos="5040"/>
          <w:tab w:val="left" w:pos="851"/>
          <w:tab w:val="num" w:pos="1080"/>
        </w:tabs>
        <w:autoSpaceDE w:val="0"/>
        <w:autoSpaceDN w:val="0"/>
        <w:adjustRightInd w:val="0"/>
        <w:spacing w:line="480" w:lineRule="auto"/>
        <w:ind w:left="1080"/>
        <w:jc w:val="both"/>
      </w:pPr>
      <w:r w:rsidRPr="007576A7">
        <w:rPr>
          <w:bCs/>
        </w:rPr>
        <w:t>Histeria.</w:t>
      </w:r>
    </w:p>
    <w:p w:rsidR="005403EC" w:rsidRPr="007576A7" w:rsidRDefault="005403EC" w:rsidP="005403EC">
      <w:pPr>
        <w:tabs>
          <w:tab w:val="left" w:pos="851"/>
        </w:tabs>
        <w:autoSpaceDE w:val="0"/>
        <w:autoSpaceDN w:val="0"/>
        <w:adjustRightInd w:val="0"/>
        <w:spacing w:line="480" w:lineRule="auto"/>
        <w:ind w:left="1080"/>
        <w:jc w:val="both"/>
      </w:pPr>
      <w:r w:rsidRPr="007576A7">
        <w:lastRenderedPageBreak/>
        <w:t>Pengguna cenderung bertingkah laku berlebihan diluar kesadarannya, ciri-cirinya adalah:</w:t>
      </w:r>
    </w:p>
    <w:p w:rsidR="005403EC" w:rsidRPr="007576A7" w:rsidRDefault="005403EC" w:rsidP="00816D6F">
      <w:pPr>
        <w:numPr>
          <w:ilvl w:val="0"/>
          <w:numId w:val="10"/>
        </w:numPr>
        <w:autoSpaceDE w:val="0"/>
        <w:autoSpaceDN w:val="0"/>
        <w:adjustRightInd w:val="0"/>
        <w:spacing w:line="480" w:lineRule="auto"/>
        <w:ind w:left="1440"/>
        <w:jc w:val="both"/>
      </w:pPr>
      <w:r w:rsidRPr="007576A7">
        <w:t>Berteriak-teriak</w:t>
      </w:r>
    </w:p>
    <w:p w:rsidR="005403EC" w:rsidRPr="007576A7" w:rsidRDefault="005403EC" w:rsidP="00816D6F">
      <w:pPr>
        <w:numPr>
          <w:ilvl w:val="0"/>
          <w:numId w:val="10"/>
        </w:numPr>
        <w:autoSpaceDE w:val="0"/>
        <w:autoSpaceDN w:val="0"/>
        <w:adjustRightInd w:val="0"/>
        <w:spacing w:line="480" w:lineRule="auto"/>
        <w:ind w:left="1440"/>
        <w:jc w:val="both"/>
      </w:pPr>
      <w:r w:rsidRPr="007576A7">
        <w:t>Tertawa-tawa diluar sadar</w:t>
      </w:r>
    </w:p>
    <w:p w:rsidR="005403EC" w:rsidRPr="007576A7" w:rsidRDefault="005403EC" w:rsidP="00816D6F">
      <w:pPr>
        <w:numPr>
          <w:ilvl w:val="0"/>
          <w:numId w:val="10"/>
        </w:numPr>
        <w:autoSpaceDE w:val="0"/>
        <w:autoSpaceDN w:val="0"/>
        <w:adjustRightInd w:val="0"/>
        <w:spacing w:line="480" w:lineRule="auto"/>
        <w:ind w:left="1440"/>
        <w:jc w:val="both"/>
      </w:pPr>
      <w:r w:rsidRPr="007576A7">
        <w:t>Menangis.</w:t>
      </w:r>
    </w:p>
    <w:p w:rsidR="005403EC" w:rsidRPr="007576A7" w:rsidRDefault="005403EC" w:rsidP="00816D6F">
      <w:pPr>
        <w:numPr>
          <w:ilvl w:val="0"/>
          <w:numId w:val="10"/>
        </w:numPr>
        <w:autoSpaceDE w:val="0"/>
        <w:autoSpaceDN w:val="0"/>
        <w:adjustRightInd w:val="0"/>
        <w:spacing w:line="480" w:lineRule="auto"/>
        <w:ind w:left="1440"/>
        <w:jc w:val="both"/>
      </w:pPr>
      <w:r w:rsidRPr="007576A7">
        <w:t>Merusak</w:t>
      </w:r>
    </w:p>
    <w:p w:rsidR="005403EC" w:rsidRPr="007576A7" w:rsidRDefault="005403EC" w:rsidP="005403EC">
      <w:pPr>
        <w:autoSpaceDE w:val="0"/>
        <w:autoSpaceDN w:val="0"/>
        <w:adjustRightInd w:val="0"/>
        <w:spacing w:line="480" w:lineRule="auto"/>
        <w:ind w:left="1080"/>
        <w:jc w:val="both"/>
      </w:pPr>
      <w:r w:rsidRPr="007576A7">
        <w:t>Efek ini dapat ditimbulkan dari berbagai macam jenis narkotika karena pada dasarnya, efek pisikologis yang ditimbulkan narkotika juga dipengaruhi oleh pembawaan pribadi pecandu.</w:t>
      </w:r>
      <w:r w:rsidRPr="007576A7">
        <w:rPr>
          <w:rStyle w:val="FootnoteReference"/>
        </w:rPr>
        <w:footnoteReference w:id="45"/>
      </w:r>
    </w:p>
    <w:p w:rsidR="005403EC" w:rsidRPr="007576A7" w:rsidRDefault="005403EC" w:rsidP="005403EC">
      <w:pPr>
        <w:tabs>
          <w:tab w:val="num" w:pos="360"/>
          <w:tab w:val="left" w:pos="851"/>
        </w:tabs>
        <w:autoSpaceDE w:val="0"/>
        <w:autoSpaceDN w:val="0"/>
        <w:adjustRightInd w:val="0"/>
        <w:spacing w:line="480" w:lineRule="auto"/>
        <w:ind w:left="851"/>
        <w:jc w:val="both"/>
      </w:pPr>
    </w:p>
    <w:p w:rsidR="005403EC" w:rsidRPr="007576A7" w:rsidRDefault="005403EC" w:rsidP="005403EC">
      <w:pPr>
        <w:spacing w:line="480" w:lineRule="auto"/>
        <w:ind w:firstLine="709"/>
        <w:jc w:val="both"/>
      </w:pPr>
      <w:r w:rsidRPr="007576A7">
        <w:t>Masalah penyalahgunaan narkotika bukan merupakan aib keluarga, tetapi merupakan masalah nasional tanggung jawab bersama yang harus ditanggulangi secara terpadu, terkoordinir, terarah dan berkelanjutan serta dilakukan secara serius/sungguh-sungguh. Semua komponen bangsa harus merasa terpanggil untuk melakukan upaya pencegahan dan pemberantasan terhadap penyalahgunaan dan peredaran gelap narkotika dan melakukannya dengan penuh keikhlasan sebagai suatu ibadah. Pecandu narkotika secara kenyataan belum dapat dikatakan sebagai pecandu secara yuridis atau menurut hukum jika pecandu tersebut belum melakukan kewajiban dan hak pecandu yang telah diatur dalam peraturan perundang-undangan tentang narkotika</w:t>
      </w:r>
    </w:p>
    <w:p w:rsidR="005403EC" w:rsidRPr="007576A7" w:rsidRDefault="005403EC" w:rsidP="005403EC">
      <w:pPr>
        <w:spacing w:line="480" w:lineRule="auto"/>
        <w:ind w:firstLine="709"/>
        <w:jc w:val="both"/>
      </w:pPr>
      <w:r w:rsidRPr="007576A7">
        <w:t>Di Indonesia, perkembangan pencandu narkotika semakin pesat. Para pencandu narkotika itu pada umumnya berusia antara 11 sampai 24 tahun.</w:t>
      </w:r>
      <w:r w:rsidRPr="007576A7">
        <w:rPr>
          <w:rStyle w:val="FootnoteReference"/>
        </w:rPr>
        <w:footnoteReference w:customMarkFollows="1" w:id="46"/>
        <w:t>82</w:t>
      </w:r>
      <w:r w:rsidRPr="007576A7">
        <w:t xml:space="preserve"> </w:t>
      </w:r>
      <w:r w:rsidRPr="007576A7">
        <w:lastRenderedPageBreak/>
        <w:t>Artinya usia tersebut ialah usia produktif atau usia pelajar. Pada awalnya, pelajar yang mengonsumsi narkotika biasanya diawali dengan perkenalannya dengan rokok. Karena kebiasaan merokok ini sepertinya sudah menjadi hal yang wajar di kalangan pelajar saat ini. Dari kebiasaan inilah, pergaulan terus meningkat, apalagi ketika pelajar tersebut bergabung ke dalam lingkungan orang-orang yang sudah menjadi pencandu narkotika. Awalnya mencoba, lalu kemudian mengalami ketergantungan.</w:t>
      </w:r>
    </w:p>
    <w:p w:rsidR="005403EC" w:rsidRPr="007576A7" w:rsidRDefault="005403EC" w:rsidP="005403EC">
      <w:pPr>
        <w:spacing w:line="480" w:lineRule="auto"/>
        <w:ind w:firstLine="709"/>
        <w:jc w:val="both"/>
      </w:pPr>
      <w:r w:rsidRPr="007576A7">
        <w:t>Syarat penting untuk dipidananya perbuatan itu adalah dilakukan tanpa hak dan melawan hukum. Artinya, jika penguasaan atas narkotika dilakukan oleh orang yang berhak, seperti dokter yang akan membius dan dilakukan tanpa melawan hukum, maka penggunaan narkotika dapat dibenarkan menurut hukum.</w:t>
      </w:r>
      <w:r w:rsidRPr="007576A7">
        <w:rPr>
          <w:rStyle w:val="FootnoteReference"/>
        </w:rPr>
        <w:footnoteReference w:id="47"/>
      </w:r>
    </w:p>
    <w:p w:rsidR="005403EC" w:rsidRPr="007576A7" w:rsidRDefault="005403EC" w:rsidP="005403EC">
      <w:pPr>
        <w:spacing w:line="480" w:lineRule="auto"/>
        <w:ind w:firstLine="709"/>
        <w:jc w:val="both"/>
      </w:pPr>
      <w:r w:rsidRPr="007576A7">
        <w:t xml:space="preserve">Berdasarkan konsep rehabilitasi yang diatur dalam Pasal 55 ayat (2) </w:t>
      </w:r>
      <w:r w:rsidRPr="007576A7">
        <w:rPr>
          <w:color w:val="000000"/>
        </w:rPr>
        <w:t>Undang-Undang Nomor 35 Tahun 2009 tentang Narkotika</w:t>
      </w:r>
      <w:r w:rsidRPr="007576A7">
        <w:t xml:space="preserve"> bahwa seorang pecandu narkotika juga tidak dapat dituntut secara pidana. Pecandu narkotika yang sudah cukup umur wajib melaporkan diri atau dilaporkan oleh keluarganya kepada pusat kesehatan masyarakat, rumah sakit, dan/atau lembaga rehabilitasi medis atau </w:t>
      </w:r>
      <w:hyperlink r:id="rId8" w:history="1">
        <w:r w:rsidRPr="007576A7">
          <w:rPr>
            <w:rStyle w:val="Hyperlink"/>
            <w:color w:val="000000"/>
            <w:u w:val="none"/>
          </w:rPr>
          <w:t>rehabilitasi sosial</w:t>
        </w:r>
      </w:hyperlink>
      <w:r w:rsidRPr="007576A7">
        <w:t xml:space="preserve"> yang ditunjuk oleh pemerintah untuk mendapatkan pengobatan dan/atau perawatan melalui rehabilitasi medis dan rehabilitasi sosial.</w:t>
      </w:r>
    </w:p>
    <w:p w:rsidR="00934309" w:rsidRPr="005403EC" w:rsidRDefault="005403EC" w:rsidP="005403EC">
      <w:pPr>
        <w:spacing w:line="480" w:lineRule="auto"/>
      </w:pPr>
      <w:r w:rsidRPr="007576A7">
        <w:t xml:space="preserve">Pecandu narkotika yang sudah dewasa atau keluarganya melaporkan diri ke fasilitas rehabilitasi yang ditunjuk pemerintah untuk mendapatkan pengobatan atau perawatan, maka pecandu sangat mungkin tidak dituntut secara pidana jika </w:t>
      </w:r>
      <w:r w:rsidRPr="007576A7">
        <w:lastRenderedPageBreak/>
        <w:t xml:space="preserve">tertangkap. Syaratnya, sebelum penangkapan itu pecandu sedang atau sudah dua kali menjalani perawatan medis. </w:t>
      </w:r>
      <w:r w:rsidRPr="007576A7">
        <w:rPr>
          <w:rStyle w:val="FootnoteReference"/>
        </w:rPr>
        <w:footnoteReference w:id="48"/>
      </w:r>
    </w:p>
    <w:sectPr w:rsidR="00934309" w:rsidRPr="005403EC" w:rsidSect="00F12F85">
      <w:headerReference w:type="even" r:id="rId9"/>
      <w:headerReference w:type="default" r:id="rId10"/>
      <w:footerReference w:type="even" r:id="rId11"/>
      <w:footerReference w:type="default" r:id="rId12"/>
      <w:headerReference w:type="first" r:id="rId13"/>
      <w:footerReference w:type="first" r:id="rId14"/>
      <w:pgSz w:w="11907" w:h="16840" w:code="9"/>
      <w:pgMar w:top="2268" w:right="1701" w:bottom="1701" w:left="2268" w:header="851" w:footer="851" w:gutter="0"/>
      <w:pgNumType w:start="82"/>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40EA" w:rsidRDefault="000240EA">
      <w:r>
        <w:separator/>
      </w:r>
    </w:p>
  </w:endnote>
  <w:endnote w:type="continuationSeparator" w:id="1">
    <w:p w:rsidR="000240EA" w:rsidRDefault="000240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ejaVuSans">
    <w:altName w:val="Arial Unicode MS"/>
    <w:panose1 w:val="00000000000000000000"/>
    <w:charset w:val="81"/>
    <w:family w:val="auto"/>
    <w:notTrueType/>
    <w:pitch w:val="default"/>
    <w:sig w:usb0="00000000"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F0E" w:rsidRDefault="00641F0E" w:rsidP="000D68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41F0E" w:rsidRDefault="00641F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7C1" w:rsidRDefault="00C517C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F0E" w:rsidRDefault="00641F0E" w:rsidP="00161EFD">
    <w:pPr>
      <w:pStyle w:val="Footer"/>
      <w:jc w:val="center"/>
    </w:pPr>
    <w:r>
      <w:rPr>
        <w:rStyle w:val="PageNumber"/>
      </w:rPr>
      <w:fldChar w:fldCharType="begin"/>
    </w:r>
    <w:r>
      <w:rPr>
        <w:rStyle w:val="PageNumber"/>
      </w:rPr>
      <w:instrText xml:space="preserve"> PAGE </w:instrText>
    </w:r>
    <w:r>
      <w:rPr>
        <w:rStyle w:val="PageNumber"/>
      </w:rPr>
      <w:fldChar w:fldCharType="separate"/>
    </w:r>
    <w:r w:rsidR="00C517C1">
      <w:rPr>
        <w:rStyle w:val="PageNumber"/>
        <w:noProof/>
      </w:rPr>
      <w:t>82</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40EA" w:rsidRDefault="000240EA">
      <w:r>
        <w:separator/>
      </w:r>
    </w:p>
  </w:footnote>
  <w:footnote w:type="continuationSeparator" w:id="1">
    <w:p w:rsidR="000240EA" w:rsidRDefault="000240EA">
      <w:r>
        <w:continuationSeparator/>
      </w:r>
    </w:p>
  </w:footnote>
  <w:footnote w:id="2">
    <w:p w:rsidR="005403EC" w:rsidRPr="009023A5" w:rsidRDefault="005403EC" w:rsidP="005403EC">
      <w:pPr>
        <w:pStyle w:val="FootnoteText"/>
        <w:jc w:val="both"/>
      </w:pPr>
      <w:r w:rsidRPr="009023A5">
        <w:tab/>
      </w:r>
      <w:r w:rsidRPr="009023A5">
        <w:rPr>
          <w:rStyle w:val="FootnoteReference"/>
        </w:rPr>
        <w:footnoteRef/>
      </w:r>
      <w:r w:rsidRPr="009023A5">
        <w:t xml:space="preserve"> Pasal 1 Ayat (3) Undang-Undang Dasar Negara Republik Indonesia Tahun 1945</w:t>
      </w:r>
    </w:p>
  </w:footnote>
  <w:footnote w:id="3">
    <w:p w:rsidR="005403EC" w:rsidRPr="009023A5" w:rsidRDefault="005403EC" w:rsidP="005403EC">
      <w:pPr>
        <w:pStyle w:val="FootnoteText"/>
        <w:jc w:val="both"/>
      </w:pPr>
      <w:r w:rsidRPr="009023A5">
        <w:tab/>
      </w:r>
      <w:r w:rsidRPr="009023A5">
        <w:rPr>
          <w:rStyle w:val="FootnoteReference"/>
        </w:rPr>
        <w:footnoteRef/>
      </w:r>
      <w:r w:rsidRPr="009023A5">
        <w:t xml:space="preserve"> </w:t>
      </w:r>
      <w:bookmarkStart w:id="0" w:name="_Hlk170666882"/>
      <w:r w:rsidRPr="009023A5">
        <w:t>Ery Setyanegara,  “</w:t>
      </w:r>
      <w:r w:rsidRPr="009023A5">
        <w:rPr>
          <w:iCs/>
        </w:rPr>
        <w:t>Kebebasan Hakim Memutus Perkara Dalam Konteks Pancasila</w:t>
      </w:r>
      <w:r w:rsidRPr="009023A5">
        <w:t xml:space="preserve">”. </w:t>
      </w:r>
      <w:r w:rsidRPr="009023A5">
        <w:rPr>
          <w:i/>
        </w:rPr>
        <w:t>Jurnal Ilmu Hukum</w:t>
      </w:r>
      <w:r w:rsidRPr="009023A5">
        <w:t xml:space="preserve">, Vol.1 No. 1 (2020), </w:t>
      </w:r>
      <w:bookmarkEnd w:id="0"/>
      <w:r w:rsidRPr="009023A5">
        <w:t>hlm.128.</w:t>
      </w:r>
    </w:p>
  </w:footnote>
  <w:footnote w:id="4">
    <w:p w:rsidR="005403EC" w:rsidRPr="009023A5" w:rsidRDefault="005403EC" w:rsidP="005403EC">
      <w:pPr>
        <w:pStyle w:val="FootnoteText"/>
        <w:jc w:val="both"/>
      </w:pPr>
      <w:r w:rsidRPr="009023A5">
        <w:tab/>
      </w:r>
      <w:r w:rsidRPr="009023A5">
        <w:rPr>
          <w:rStyle w:val="FootnoteReference"/>
        </w:rPr>
        <w:footnoteRef/>
      </w:r>
      <w:r w:rsidRPr="009023A5">
        <w:t xml:space="preserve"> Pasal 19 Undang- Undang Nomor 48 Tahun 2009 tentang Kekuasaan Kehakiman</w:t>
      </w:r>
    </w:p>
  </w:footnote>
  <w:footnote w:id="5">
    <w:p w:rsidR="005403EC" w:rsidRPr="009023A5" w:rsidRDefault="005403EC" w:rsidP="005403EC">
      <w:pPr>
        <w:pStyle w:val="FootnoteText"/>
        <w:jc w:val="both"/>
      </w:pPr>
      <w:r w:rsidRPr="009023A5">
        <w:tab/>
      </w:r>
      <w:r w:rsidRPr="009023A5">
        <w:rPr>
          <w:rStyle w:val="FootnoteReference"/>
        </w:rPr>
        <w:footnoteRef/>
      </w:r>
      <w:r w:rsidRPr="009023A5">
        <w:t xml:space="preserve"> Pasal 1 angka 8 Undang- Undang Nomor 8 Tahun 1981 tentang Hukum Acara Pidana</w:t>
      </w:r>
    </w:p>
  </w:footnote>
  <w:footnote w:id="6">
    <w:p w:rsidR="005403EC" w:rsidRPr="009023A5" w:rsidRDefault="005403EC" w:rsidP="005403EC">
      <w:pPr>
        <w:pStyle w:val="FootnoteText"/>
        <w:jc w:val="both"/>
      </w:pPr>
      <w:r w:rsidRPr="009023A5">
        <w:tab/>
      </w:r>
      <w:r w:rsidRPr="009023A5">
        <w:rPr>
          <w:rStyle w:val="FootnoteReference"/>
        </w:rPr>
        <w:footnoteRef/>
      </w:r>
      <w:r w:rsidRPr="009023A5">
        <w:t xml:space="preserve"> Penjelasan Pasal 48 Ayat (1) Undang- Undang Nomor 48 Tahun 2009 tentang Kekuasaan Kehakiman</w:t>
      </w:r>
    </w:p>
  </w:footnote>
  <w:footnote w:id="7">
    <w:p w:rsidR="005403EC" w:rsidRPr="009023A5" w:rsidRDefault="005403EC" w:rsidP="005403EC">
      <w:pPr>
        <w:pStyle w:val="FootnoteText"/>
        <w:jc w:val="both"/>
      </w:pPr>
      <w:r w:rsidRPr="009023A5">
        <w:tab/>
      </w:r>
      <w:r w:rsidRPr="009023A5">
        <w:rPr>
          <w:rStyle w:val="FootnoteReference"/>
        </w:rPr>
        <w:footnoteRef/>
      </w:r>
      <w:r w:rsidRPr="009023A5">
        <w:t xml:space="preserve"> </w:t>
      </w:r>
      <w:bookmarkStart w:id="1" w:name="_Hlk170667016"/>
      <w:r w:rsidRPr="009023A5">
        <w:t xml:space="preserve">Oemar Seno Adji, </w:t>
      </w:r>
      <w:r w:rsidRPr="009023A5">
        <w:rPr>
          <w:i/>
        </w:rPr>
        <w:t>Peradilan Bebas Negara Hukum</w:t>
      </w:r>
      <w:r w:rsidRPr="009023A5">
        <w:t>, Erlangga, Jakarta, 2016</w:t>
      </w:r>
      <w:bookmarkEnd w:id="1"/>
      <w:r w:rsidRPr="009023A5">
        <w:t>, hlm.40.</w:t>
      </w:r>
    </w:p>
  </w:footnote>
  <w:footnote w:id="8">
    <w:p w:rsidR="005403EC" w:rsidRPr="009023A5" w:rsidRDefault="005403EC" w:rsidP="005403EC">
      <w:pPr>
        <w:autoSpaceDE w:val="0"/>
        <w:autoSpaceDN w:val="0"/>
        <w:adjustRightInd w:val="0"/>
        <w:jc w:val="both"/>
        <w:rPr>
          <w:sz w:val="20"/>
          <w:szCs w:val="20"/>
        </w:rPr>
      </w:pPr>
      <w:r w:rsidRPr="009023A5">
        <w:rPr>
          <w:sz w:val="20"/>
          <w:szCs w:val="20"/>
        </w:rPr>
        <w:tab/>
      </w:r>
      <w:r w:rsidRPr="009023A5">
        <w:rPr>
          <w:rStyle w:val="FootnoteReference"/>
          <w:sz w:val="20"/>
          <w:szCs w:val="20"/>
        </w:rPr>
        <w:footnoteRef/>
      </w:r>
      <w:r w:rsidRPr="009023A5">
        <w:rPr>
          <w:sz w:val="20"/>
          <w:szCs w:val="20"/>
        </w:rPr>
        <w:t xml:space="preserve"> </w:t>
      </w:r>
      <w:bookmarkStart w:id="2" w:name="_Hlk170667192"/>
      <w:r w:rsidRPr="009023A5">
        <w:rPr>
          <w:sz w:val="20"/>
          <w:szCs w:val="20"/>
        </w:rPr>
        <w:t xml:space="preserve">Lilik Mulyadi, </w:t>
      </w:r>
      <w:r w:rsidRPr="009023A5">
        <w:rPr>
          <w:i/>
          <w:iCs/>
          <w:sz w:val="20"/>
          <w:szCs w:val="20"/>
        </w:rPr>
        <w:t>Seraut Wajah Putusan Hakim dalam Hukum Acara Perdata Indonesia Perspektif Teoritis, Praktik, Teknik Membuat, dan Permasalahannya</w:t>
      </w:r>
      <w:r w:rsidRPr="009023A5">
        <w:rPr>
          <w:sz w:val="20"/>
          <w:szCs w:val="20"/>
        </w:rPr>
        <w:t>, Citra Aditya Bakti: Bandung, 2015</w:t>
      </w:r>
      <w:bookmarkEnd w:id="2"/>
      <w:r w:rsidRPr="009023A5">
        <w:rPr>
          <w:sz w:val="20"/>
          <w:szCs w:val="20"/>
        </w:rPr>
        <w:t>, hlm.32.</w:t>
      </w:r>
    </w:p>
  </w:footnote>
  <w:footnote w:id="9">
    <w:p w:rsidR="005403EC" w:rsidRPr="009023A5" w:rsidRDefault="005403EC" w:rsidP="005403EC">
      <w:pPr>
        <w:pStyle w:val="FootnoteText"/>
        <w:jc w:val="both"/>
      </w:pPr>
      <w:r w:rsidRPr="009023A5">
        <w:tab/>
      </w:r>
      <w:r w:rsidRPr="009023A5">
        <w:rPr>
          <w:rStyle w:val="FootnoteReference"/>
        </w:rPr>
        <w:footnoteRef/>
      </w:r>
      <w:r w:rsidRPr="009023A5">
        <w:t xml:space="preserve"> </w:t>
      </w:r>
      <w:r w:rsidRPr="009023A5">
        <w:rPr>
          <w:i/>
          <w:iCs/>
        </w:rPr>
        <w:t xml:space="preserve">Ibid, </w:t>
      </w:r>
      <w:r w:rsidRPr="009023A5">
        <w:t>hlm. 146.</w:t>
      </w:r>
    </w:p>
  </w:footnote>
  <w:footnote w:id="10">
    <w:p w:rsidR="005403EC" w:rsidRPr="009023A5" w:rsidRDefault="005403EC" w:rsidP="005403EC">
      <w:pPr>
        <w:pStyle w:val="FootnoteText"/>
        <w:jc w:val="both"/>
      </w:pPr>
      <w:r w:rsidRPr="009023A5">
        <w:tab/>
      </w:r>
      <w:r w:rsidRPr="009023A5">
        <w:rPr>
          <w:rStyle w:val="FootnoteReference"/>
        </w:rPr>
        <w:footnoteRef/>
      </w:r>
      <w:r w:rsidRPr="009023A5">
        <w:t xml:space="preserve"> </w:t>
      </w:r>
      <w:r w:rsidRPr="009023A5">
        <w:rPr>
          <w:i/>
          <w:iCs/>
        </w:rPr>
        <w:t>Ibid</w:t>
      </w:r>
      <w:r w:rsidRPr="009023A5">
        <w:t>, hlm. 148</w:t>
      </w:r>
    </w:p>
  </w:footnote>
  <w:footnote w:id="11">
    <w:p w:rsidR="005403EC" w:rsidRPr="007E6FEE" w:rsidRDefault="005403EC" w:rsidP="005403EC">
      <w:pPr>
        <w:pStyle w:val="Default"/>
        <w:jc w:val="both"/>
        <w:rPr>
          <w:sz w:val="20"/>
          <w:szCs w:val="20"/>
        </w:rPr>
      </w:pPr>
      <w:r w:rsidRPr="009023A5">
        <w:rPr>
          <w:b/>
          <w:bCs/>
          <w:sz w:val="20"/>
          <w:szCs w:val="20"/>
        </w:rPr>
        <w:tab/>
      </w:r>
      <w:r w:rsidRPr="009023A5">
        <w:rPr>
          <w:rStyle w:val="FootnoteReference"/>
          <w:sz w:val="20"/>
          <w:szCs w:val="20"/>
        </w:rPr>
        <w:footnoteRef/>
      </w:r>
      <w:bookmarkStart w:id="3" w:name="_Hlk170668912"/>
      <w:r w:rsidRPr="007E6FEE">
        <w:rPr>
          <w:bCs/>
          <w:sz w:val="20"/>
          <w:szCs w:val="20"/>
        </w:rPr>
        <w:t>Choirun Parapat</w:t>
      </w:r>
      <w:r w:rsidRPr="007E6FEE">
        <w:rPr>
          <w:bCs/>
          <w:sz w:val="20"/>
          <w:szCs w:val="20"/>
          <w:lang w:val="en-US"/>
        </w:rPr>
        <w:t xml:space="preserve">, </w:t>
      </w:r>
      <w:r w:rsidRPr="007E6FEE">
        <w:rPr>
          <w:bCs/>
          <w:sz w:val="20"/>
          <w:szCs w:val="20"/>
        </w:rPr>
        <w:t>Madiasa Ablisar, Marlina, Mahmul Siregar</w:t>
      </w:r>
      <w:r w:rsidRPr="007E6FEE">
        <w:rPr>
          <w:bCs/>
          <w:sz w:val="20"/>
          <w:szCs w:val="20"/>
          <w:lang w:val="en-US"/>
        </w:rPr>
        <w:t>, “</w:t>
      </w:r>
      <w:r w:rsidRPr="007E6FEE">
        <w:rPr>
          <w:bCs/>
          <w:sz w:val="20"/>
          <w:szCs w:val="20"/>
        </w:rPr>
        <w:t xml:space="preserve">Penanganan Perkara Tindak Pidana Korupsi Oleh Kejaksaan Negeri Kuala Simpang Setelah Dibentuknya Pengadilan </w:t>
      </w:r>
      <w:r w:rsidRPr="007E6FEE">
        <w:rPr>
          <w:bCs/>
          <w:sz w:val="20"/>
          <w:szCs w:val="20"/>
          <w:lang w:val="en-US" w:eastAsia="en-US"/>
        </w:rPr>
        <w:t xml:space="preserve">Tindak Pidana Korupsi Di Daerah”, </w:t>
      </w:r>
      <w:r w:rsidRPr="007E6FEE">
        <w:rPr>
          <w:bCs/>
          <w:sz w:val="20"/>
          <w:szCs w:val="20"/>
        </w:rPr>
        <w:t xml:space="preserve"> </w:t>
      </w:r>
      <w:r w:rsidRPr="007E6FEE">
        <w:rPr>
          <w:bCs/>
          <w:i/>
          <w:iCs/>
          <w:sz w:val="20"/>
          <w:szCs w:val="20"/>
        </w:rPr>
        <w:t>USU Law Journal</w:t>
      </w:r>
      <w:r w:rsidRPr="007E6FEE">
        <w:rPr>
          <w:bCs/>
          <w:iCs/>
          <w:sz w:val="20"/>
          <w:szCs w:val="20"/>
        </w:rPr>
        <w:t>, Vol.3.No.2 (Agustus 2015</w:t>
      </w:r>
      <w:bookmarkEnd w:id="3"/>
      <w:r w:rsidRPr="007E6FEE">
        <w:rPr>
          <w:bCs/>
          <w:iCs/>
          <w:sz w:val="20"/>
          <w:szCs w:val="20"/>
        </w:rPr>
        <w:t>)</w:t>
      </w:r>
      <w:r w:rsidRPr="007E6FEE">
        <w:rPr>
          <w:bCs/>
          <w:iCs/>
          <w:sz w:val="20"/>
          <w:szCs w:val="20"/>
          <w:lang w:val="en-US"/>
        </w:rPr>
        <w:t>,</w:t>
      </w:r>
      <w:r w:rsidRPr="007E6FEE">
        <w:rPr>
          <w:bCs/>
          <w:iCs/>
          <w:sz w:val="20"/>
          <w:szCs w:val="20"/>
        </w:rPr>
        <w:t xml:space="preserve"> hlm.30</w:t>
      </w:r>
    </w:p>
  </w:footnote>
  <w:footnote w:id="12">
    <w:p w:rsidR="005403EC" w:rsidRPr="009023A5" w:rsidRDefault="005403EC" w:rsidP="005403EC">
      <w:pPr>
        <w:pStyle w:val="FootnoteText"/>
        <w:jc w:val="both"/>
      </w:pPr>
      <w:r w:rsidRPr="009023A5">
        <w:tab/>
      </w:r>
      <w:r w:rsidRPr="009023A5">
        <w:rPr>
          <w:rStyle w:val="FootnoteReference"/>
        </w:rPr>
        <w:footnoteRef/>
      </w:r>
      <w:r w:rsidRPr="009023A5">
        <w:t xml:space="preserve"> Bagir Manan, </w:t>
      </w:r>
      <w:r w:rsidRPr="009023A5">
        <w:rPr>
          <w:i/>
          <w:iCs/>
        </w:rPr>
        <w:t>Sistem Peradilan Berwibawa (Suatu Pencarian)</w:t>
      </w:r>
      <w:r w:rsidRPr="009023A5">
        <w:t>, FH- UI Press, Jakarta, 2014, hlm.18.</w:t>
      </w:r>
    </w:p>
  </w:footnote>
  <w:footnote w:id="13">
    <w:p w:rsidR="005403EC" w:rsidRPr="009023A5" w:rsidRDefault="005403EC" w:rsidP="005403EC">
      <w:pPr>
        <w:pStyle w:val="FootnoteText"/>
        <w:ind w:firstLine="709"/>
        <w:jc w:val="both"/>
      </w:pPr>
      <w:r w:rsidRPr="009023A5">
        <w:rPr>
          <w:rStyle w:val="FootnoteReference"/>
        </w:rPr>
        <w:footnoteRef/>
      </w:r>
      <w:r w:rsidRPr="009023A5">
        <w:t xml:space="preserve"> </w:t>
      </w:r>
      <w:bookmarkStart w:id="4" w:name="_Hlk170667600"/>
      <w:r w:rsidRPr="009023A5">
        <w:t xml:space="preserve">Sudikno Mertokusumo, </w:t>
      </w:r>
      <w:r w:rsidRPr="009023A5">
        <w:rPr>
          <w:i/>
        </w:rPr>
        <w:t>Sistem Peradilan di Indonesia</w:t>
      </w:r>
      <w:r w:rsidRPr="009023A5">
        <w:t>, FH-UII, Jakarta, 2017</w:t>
      </w:r>
      <w:bookmarkEnd w:id="4"/>
      <w:r w:rsidRPr="009023A5">
        <w:t>, hlm.27.</w:t>
      </w:r>
    </w:p>
  </w:footnote>
  <w:footnote w:id="14">
    <w:p w:rsidR="005403EC" w:rsidRPr="009023A5" w:rsidRDefault="005403EC" w:rsidP="005403EC">
      <w:pPr>
        <w:pStyle w:val="FootnoteText"/>
        <w:ind w:firstLine="709"/>
        <w:jc w:val="both"/>
      </w:pPr>
      <w:r w:rsidRPr="009023A5">
        <w:rPr>
          <w:rStyle w:val="FootnoteReference"/>
        </w:rPr>
        <w:footnoteRef/>
      </w:r>
      <w:r w:rsidRPr="009023A5">
        <w:t xml:space="preserve"> </w:t>
      </w:r>
      <w:bookmarkStart w:id="5" w:name="_Hlk170667565"/>
      <w:r w:rsidRPr="009023A5">
        <w:t xml:space="preserve">Frans Magnis Suseno, </w:t>
      </w:r>
      <w:r w:rsidRPr="009023A5">
        <w:rPr>
          <w:i/>
        </w:rPr>
        <w:t>Etika Politik : Prinsip-Prinsip Moral Dasar Kenegaraan Modern</w:t>
      </w:r>
      <w:r w:rsidRPr="009023A5">
        <w:t>, Ghalia Indonesia, Jakarta, 2012</w:t>
      </w:r>
      <w:bookmarkEnd w:id="5"/>
      <w:r w:rsidRPr="009023A5">
        <w:t>, hlm.13.</w:t>
      </w:r>
    </w:p>
  </w:footnote>
  <w:footnote w:id="15">
    <w:p w:rsidR="005403EC" w:rsidRPr="009023A5" w:rsidRDefault="005403EC" w:rsidP="005403EC">
      <w:pPr>
        <w:pStyle w:val="FootnoteText"/>
        <w:jc w:val="both"/>
      </w:pPr>
      <w:r w:rsidRPr="009023A5">
        <w:tab/>
      </w:r>
      <w:r w:rsidRPr="009023A5">
        <w:rPr>
          <w:rStyle w:val="FootnoteReference"/>
        </w:rPr>
        <w:footnoteRef/>
      </w:r>
      <w:r w:rsidRPr="009023A5">
        <w:t xml:space="preserve"> Sudikno Mertokusumo, </w:t>
      </w:r>
      <w:r w:rsidRPr="009023A5">
        <w:rPr>
          <w:i/>
        </w:rPr>
        <w:t>Op.Cit</w:t>
      </w:r>
      <w:r w:rsidRPr="009023A5">
        <w:t>, hlm.29.</w:t>
      </w:r>
    </w:p>
  </w:footnote>
  <w:footnote w:id="16">
    <w:p w:rsidR="005403EC" w:rsidRPr="009023A5" w:rsidRDefault="005403EC" w:rsidP="005403EC">
      <w:pPr>
        <w:pStyle w:val="FootnoteText"/>
        <w:jc w:val="both"/>
      </w:pPr>
      <w:r w:rsidRPr="009023A5">
        <w:tab/>
      </w:r>
      <w:r w:rsidRPr="009023A5">
        <w:rPr>
          <w:rStyle w:val="FootnoteReference"/>
        </w:rPr>
        <w:footnoteRef/>
      </w:r>
      <w:r w:rsidRPr="009023A5">
        <w:t xml:space="preserve"> Oemar Seno Adji,</w:t>
      </w:r>
      <w:r w:rsidRPr="009023A5">
        <w:rPr>
          <w:i/>
        </w:rPr>
        <w:t xml:space="preserve">Op.Cit, </w:t>
      </w:r>
      <w:r w:rsidRPr="009023A5">
        <w:t>hlm.42.</w:t>
      </w:r>
    </w:p>
  </w:footnote>
  <w:footnote w:id="17">
    <w:p w:rsidR="005403EC" w:rsidRPr="009023A5" w:rsidRDefault="005403EC" w:rsidP="005403EC">
      <w:pPr>
        <w:autoSpaceDE w:val="0"/>
        <w:autoSpaceDN w:val="0"/>
        <w:adjustRightInd w:val="0"/>
        <w:jc w:val="both"/>
        <w:rPr>
          <w:sz w:val="20"/>
          <w:szCs w:val="20"/>
        </w:rPr>
      </w:pPr>
      <w:r w:rsidRPr="009023A5">
        <w:rPr>
          <w:sz w:val="20"/>
          <w:szCs w:val="20"/>
        </w:rPr>
        <w:tab/>
      </w:r>
      <w:r w:rsidRPr="009023A5">
        <w:rPr>
          <w:rStyle w:val="FootnoteReference"/>
          <w:sz w:val="20"/>
          <w:szCs w:val="20"/>
        </w:rPr>
        <w:footnoteRef/>
      </w:r>
      <w:r w:rsidRPr="009023A5">
        <w:rPr>
          <w:sz w:val="20"/>
          <w:szCs w:val="20"/>
        </w:rPr>
        <w:t xml:space="preserve"> Bambang Sutiyoso dan Sri Hastuti Puspitasari, </w:t>
      </w:r>
      <w:r w:rsidRPr="009023A5">
        <w:rPr>
          <w:i/>
          <w:sz w:val="20"/>
          <w:szCs w:val="20"/>
        </w:rPr>
        <w:t>Aspek- Aspek Perkembangan Kekuasaan</w:t>
      </w:r>
      <w:r w:rsidRPr="009023A5">
        <w:rPr>
          <w:sz w:val="20"/>
          <w:szCs w:val="20"/>
        </w:rPr>
        <w:t xml:space="preserve"> Kehakiman Indonesia, UII Press, Jakarta,  2015, hlm.15</w:t>
      </w:r>
    </w:p>
  </w:footnote>
  <w:footnote w:id="18">
    <w:p w:rsidR="005403EC" w:rsidRPr="009023A5" w:rsidRDefault="005403EC" w:rsidP="005403EC">
      <w:pPr>
        <w:pStyle w:val="FootnoteText"/>
        <w:jc w:val="both"/>
      </w:pPr>
      <w:r w:rsidRPr="009023A5">
        <w:tab/>
      </w:r>
      <w:r w:rsidRPr="009023A5">
        <w:rPr>
          <w:rStyle w:val="FootnoteReference"/>
        </w:rPr>
        <w:footnoteRef/>
      </w:r>
      <w:r w:rsidRPr="009023A5">
        <w:t xml:space="preserve"> Pasal 1 angka 1 Peraturan Mahkamah Agung RI Nomor 8 Tahun 2016</w:t>
      </w:r>
    </w:p>
  </w:footnote>
  <w:footnote w:id="19">
    <w:p w:rsidR="005403EC" w:rsidRPr="009023A5" w:rsidRDefault="005403EC" w:rsidP="005403EC">
      <w:pPr>
        <w:pStyle w:val="FootnoteText"/>
      </w:pPr>
      <w:r w:rsidRPr="009023A5">
        <w:tab/>
      </w:r>
      <w:r w:rsidRPr="009023A5">
        <w:rPr>
          <w:rStyle w:val="FootnoteReference"/>
        </w:rPr>
        <w:footnoteRef/>
      </w:r>
      <w:r w:rsidRPr="009023A5">
        <w:t xml:space="preserve"> Djoko Prakoso, </w:t>
      </w:r>
      <w:r w:rsidRPr="009023A5">
        <w:rPr>
          <w:i/>
          <w:iCs/>
        </w:rPr>
        <w:t xml:space="preserve">Hukum Penitensier di Indonesia, </w:t>
      </w:r>
      <w:r w:rsidRPr="009023A5">
        <w:t>Liberty, Yogyakarta, 2014, hlm. 14.</w:t>
      </w:r>
    </w:p>
  </w:footnote>
  <w:footnote w:id="20">
    <w:p w:rsidR="005403EC" w:rsidRPr="009023A5" w:rsidRDefault="005403EC" w:rsidP="005403EC">
      <w:pPr>
        <w:pStyle w:val="FootnoteText"/>
        <w:ind w:firstLine="720"/>
        <w:jc w:val="both"/>
        <w:rPr>
          <w:lang w:val="id-ID"/>
        </w:rPr>
      </w:pPr>
      <w:r w:rsidRPr="009023A5">
        <w:rPr>
          <w:rStyle w:val="FootnoteReference"/>
        </w:rPr>
        <w:footnoteRef/>
      </w:r>
      <w:r w:rsidRPr="009023A5">
        <w:t xml:space="preserve"> </w:t>
      </w:r>
      <w:r w:rsidRPr="009023A5">
        <w:rPr>
          <w:rStyle w:val="markedcontent"/>
        </w:rPr>
        <w:t>Barda Nawawi</w:t>
      </w:r>
      <w:r w:rsidRPr="009023A5">
        <w:rPr>
          <w:rStyle w:val="markedcontent"/>
          <w:lang w:val="id-ID"/>
        </w:rPr>
        <w:t xml:space="preserve"> A</w:t>
      </w:r>
      <w:r w:rsidRPr="009023A5">
        <w:rPr>
          <w:rStyle w:val="markedcontent"/>
        </w:rPr>
        <w:t>rief, Perkembangan Sistem Pemidanaan Indonesia, Universitas Diponegoro</w:t>
      </w:r>
      <w:r w:rsidRPr="009023A5">
        <w:rPr>
          <w:rStyle w:val="markedcontent"/>
          <w:lang w:val="id-ID"/>
        </w:rPr>
        <w:t>,</w:t>
      </w:r>
      <w:r w:rsidRPr="009023A5">
        <w:rPr>
          <w:rStyle w:val="markedcontent"/>
        </w:rPr>
        <w:t xml:space="preserve"> Semarang, 2009, hlm.81.</w:t>
      </w:r>
    </w:p>
  </w:footnote>
  <w:footnote w:id="21">
    <w:p w:rsidR="005403EC" w:rsidRPr="009023A5" w:rsidRDefault="005403EC" w:rsidP="005403EC">
      <w:pPr>
        <w:autoSpaceDE w:val="0"/>
        <w:autoSpaceDN w:val="0"/>
        <w:adjustRightInd w:val="0"/>
        <w:jc w:val="both"/>
        <w:rPr>
          <w:sz w:val="20"/>
          <w:szCs w:val="20"/>
        </w:rPr>
      </w:pPr>
      <w:r w:rsidRPr="009023A5">
        <w:rPr>
          <w:sz w:val="20"/>
          <w:szCs w:val="20"/>
        </w:rPr>
        <w:tab/>
      </w:r>
      <w:r w:rsidRPr="009023A5">
        <w:rPr>
          <w:rStyle w:val="FootnoteReference"/>
          <w:sz w:val="20"/>
          <w:szCs w:val="20"/>
        </w:rPr>
        <w:footnoteRef/>
      </w:r>
      <w:r w:rsidRPr="009023A5">
        <w:rPr>
          <w:sz w:val="20"/>
          <w:szCs w:val="20"/>
        </w:rPr>
        <w:t xml:space="preserve"> </w:t>
      </w:r>
      <w:bookmarkStart w:id="6" w:name="_Hlk143448887"/>
      <w:r w:rsidRPr="009023A5">
        <w:rPr>
          <w:sz w:val="20"/>
          <w:szCs w:val="20"/>
        </w:rPr>
        <w:t xml:space="preserve">Mompang L. Panggabean, </w:t>
      </w:r>
      <w:r w:rsidRPr="009023A5">
        <w:rPr>
          <w:i/>
          <w:sz w:val="20"/>
          <w:szCs w:val="20"/>
        </w:rPr>
        <w:t>Pokok-Pokok Hukum Penitensierdi Indonesia</w:t>
      </w:r>
      <w:r w:rsidRPr="009023A5">
        <w:rPr>
          <w:sz w:val="20"/>
          <w:szCs w:val="20"/>
        </w:rPr>
        <w:t xml:space="preserve">, Uki Press, Jakarta, 2015, </w:t>
      </w:r>
      <w:bookmarkEnd w:id="6"/>
      <w:r w:rsidRPr="009023A5">
        <w:rPr>
          <w:sz w:val="20"/>
          <w:szCs w:val="20"/>
        </w:rPr>
        <w:t>hlm.15.</w:t>
      </w:r>
    </w:p>
  </w:footnote>
  <w:footnote w:id="22">
    <w:p w:rsidR="005403EC" w:rsidRPr="009023A5" w:rsidRDefault="005403EC" w:rsidP="005403EC">
      <w:pPr>
        <w:pStyle w:val="FootnoteText"/>
        <w:ind w:firstLine="720"/>
        <w:jc w:val="both"/>
        <w:rPr>
          <w:lang w:val="id-ID"/>
        </w:rPr>
      </w:pPr>
      <w:r w:rsidRPr="009023A5">
        <w:rPr>
          <w:rStyle w:val="FootnoteReference"/>
        </w:rPr>
        <w:footnoteRef/>
      </w:r>
      <w:r w:rsidRPr="009023A5">
        <w:t xml:space="preserve"> </w:t>
      </w:r>
      <w:r w:rsidRPr="009023A5">
        <w:rPr>
          <w:rStyle w:val="markedcontent"/>
        </w:rPr>
        <w:t xml:space="preserve">Sudarto, </w:t>
      </w:r>
      <w:r w:rsidRPr="009023A5">
        <w:rPr>
          <w:rStyle w:val="markedcontent"/>
          <w:i/>
        </w:rPr>
        <w:t>Kapita Selekta Hukum Pidana</w:t>
      </w:r>
      <w:r w:rsidRPr="009023A5">
        <w:rPr>
          <w:rStyle w:val="markedcontent"/>
        </w:rPr>
        <w:t>, Alumni</w:t>
      </w:r>
      <w:r w:rsidRPr="009023A5">
        <w:rPr>
          <w:rStyle w:val="markedcontent"/>
          <w:lang w:val="id-ID"/>
        </w:rPr>
        <w:t>,</w:t>
      </w:r>
      <w:r w:rsidRPr="009023A5">
        <w:rPr>
          <w:rStyle w:val="markedcontent"/>
        </w:rPr>
        <w:t xml:space="preserve"> Bandung, 2006, hlm.46.</w:t>
      </w:r>
    </w:p>
  </w:footnote>
  <w:footnote w:id="23">
    <w:p w:rsidR="005403EC" w:rsidRPr="009023A5" w:rsidRDefault="005403EC" w:rsidP="005403EC">
      <w:pPr>
        <w:pStyle w:val="FootnoteText"/>
        <w:ind w:firstLine="720"/>
        <w:jc w:val="both"/>
        <w:rPr>
          <w:lang w:val="id-ID"/>
        </w:rPr>
      </w:pPr>
      <w:r w:rsidRPr="009023A5">
        <w:rPr>
          <w:rStyle w:val="FootnoteReference"/>
        </w:rPr>
        <w:footnoteRef/>
      </w:r>
      <w:r w:rsidRPr="009023A5">
        <w:t xml:space="preserve"> </w:t>
      </w:r>
      <w:r w:rsidRPr="009023A5">
        <w:rPr>
          <w:rStyle w:val="markedcontent"/>
        </w:rPr>
        <w:t xml:space="preserve">Roeslan Saleh, </w:t>
      </w:r>
      <w:r w:rsidRPr="009023A5">
        <w:rPr>
          <w:rStyle w:val="markedcontent"/>
          <w:i/>
        </w:rPr>
        <w:t>Perbuatan Pidana dan Pertanggungjawaban Pidana, Dua Pengertian Dasar dalam Hukum Pidana</w:t>
      </w:r>
      <w:r w:rsidRPr="009023A5">
        <w:rPr>
          <w:rStyle w:val="markedcontent"/>
        </w:rPr>
        <w:t>, Centra, Jakarta</w:t>
      </w:r>
      <w:r w:rsidRPr="009023A5">
        <w:rPr>
          <w:rStyle w:val="markedcontent"/>
          <w:lang w:val="id-ID"/>
        </w:rPr>
        <w:t>, 2003, hlm.27.</w:t>
      </w:r>
    </w:p>
  </w:footnote>
  <w:footnote w:id="24">
    <w:p w:rsidR="005403EC" w:rsidRPr="009023A5" w:rsidRDefault="005403EC" w:rsidP="005403EC">
      <w:pPr>
        <w:pStyle w:val="FootnoteText"/>
        <w:ind w:firstLine="720"/>
        <w:jc w:val="both"/>
        <w:rPr>
          <w:lang w:val="id-ID"/>
        </w:rPr>
      </w:pPr>
      <w:r w:rsidRPr="009023A5">
        <w:rPr>
          <w:rStyle w:val="FootnoteReference"/>
        </w:rPr>
        <w:footnoteRef/>
      </w:r>
      <w:r w:rsidRPr="009023A5">
        <w:rPr>
          <w:rStyle w:val="markedcontent"/>
        </w:rPr>
        <w:t>Barda Nawawi</w:t>
      </w:r>
      <w:r w:rsidRPr="009023A5">
        <w:rPr>
          <w:rStyle w:val="markedcontent"/>
          <w:lang w:val="id-ID"/>
        </w:rPr>
        <w:t xml:space="preserve"> A</w:t>
      </w:r>
      <w:r w:rsidRPr="009023A5">
        <w:rPr>
          <w:rStyle w:val="markedcontent"/>
        </w:rPr>
        <w:t>rief,</w:t>
      </w:r>
      <w:r w:rsidRPr="009023A5">
        <w:rPr>
          <w:rStyle w:val="markedcontent"/>
          <w:lang w:val="id-ID"/>
        </w:rPr>
        <w:t xml:space="preserve"> </w:t>
      </w:r>
      <w:r w:rsidRPr="009023A5">
        <w:rPr>
          <w:rStyle w:val="markedcontent"/>
          <w:i/>
          <w:lang w:val="id-ID"/>
        </w:rPr>
        <w:t>Op.Cit</w:t>
      </w:r>
      <w:r w:rsidRPr="009023A5">
        <w:rPr>
          <w:lang w:val="id-ID"/>
        </w:rPr>
        <w:t>, hlm.72.</w:t>
      </w:r>
    </w:p>
  </w:footnote>
  <w:footnote w:id="25">
    <w:p w:rsidR="005403EC" w:rsidRPr="009023A5" w:rsidRDefault="005403EC" w:rsidP="005403EC">
      <w:pPr>
        <w:pStyle w:val="Default"/>
        <w:ind w:firstLine="720"/>
        <w:jc w:val="both"/>
        <w:rPr>
          <w:sz w:val="20"/>
          <w:szCs w:val="20"/>
        </w:rPr>
      </w:pPr>
      <w:r w:rsidRPr="009023A5">
        <w:rPr>
          <w:rStyle w:val="FootnoteReference"/>
          <w:sz w:val="20"/>
          <w:szCs w:val="20"/>
        </w:rPr>
        <w:footnoteRef/>
      </w:r>
      <w:r w:rsidRPr="009023A5">
        <w:rPr>
          <w:sz w:val="20"/>
          <w:szCs w:val="20"/>
        </w:rPr>
        <w:t xml:space="preserve"> Andi Hamzah, </w:t>
      </w:r>
      <w:r w:rsidRPr="009023A5">
        <w:rPr>
          <w:i/>
          <w:iCs/>
          <w:sz w:val="20"/>
          <w:szCs w:val="20"/>
        </w:rPr>
        <w:t xml:space="preserve">Bunga Rampai Hukum Pidana dan Acara Pidana, </w:t>
      </w:r>
      <w:r w:rsidRPr="009023A5">
        <w:rPr>
          <w:sz w:val="20"/>
          <w:szCs w:val="20"/>
        </w:rPr>
        <w:t>Ghalia Indonesia, Jakarta, 2012, hlm.71.</w:t>
      </w:r>
    </w:p>
  </w:footnote>
  <w:footnote w:id="26">
    <w:p w:rsidR="005403EC" w:rsidRPr="009023A5" w:rsidRDefault="005403EC" w:rsidP="005403EC">
      <w:pPr>
        <w:pStyle w:val="FootnoteText"/>
        <w:ind w:firstLine="720"/>
        <w:jc w:val="both"/>
        <w:rPr>
          <w:lang w:val="id-ID"/>
        </w:rPr>
      </w:pPr>
      <w:r w:rsidRPr="009023A5">
        <w:rPr>
          <w:rStyle w:val="FootnoteReference"/>
        </w:rPr>
        <w:footnoteRef/>
      </w:r>
      <w:r w:rsidRPr="009023A5">
        <w:rPr>
          <w:lang w:val="id-ID"/>
        </w:rPr>
        <w:t xml:space="preserve">M. </w:t>
      </w:r>
      <w:r w:rsidRPr="009023A5">
        <w:t xml:space="preserve"> Sholehuddin, </w:t>
      </w:r>
      <w:r w:rsidRPr="009023A5">
        <w:rPr>
          <w:i/>
          <w:iCs/>
        </w:rPr>
        <w:t>Sistem Sanksi dalam Hukum Pidana Ide Dasar Double Track System &amp; Implementasinya</w:t>
      </w:r>
      <w:r w:rsidRPr="009023A5">
        <w:t>, Raja Grafindo Persada, Jakarta, 2014</w:t>
      </w:r>
      <w:r w:rsidRPr="009023A5">
        <w:rPr>
          <w:lang w:val="id-ID"/>
        </w:rPr>
        <w:t>, hlm.22.</w:t>
      </w:r>
    </w:p>
  </w:footnote>
  <w:footnote w:id="27">
    <w:p w:rsidR="005403EC" w:rsidRPr="009023A5" w:rsidRDefault="005403EC" w:rsidP="005403EC">
      <w:pPr>
        <w:autoSpaceDE w:val="0"/>
        <w:autoSpaceDN w:val="0"/>
        <w:adjustRightInd w:val="0"/>
        <w:ind w:firstLine="720"/>
        <w:jc w:val="both"/>
        <w:rPr>
          <w:sz w:val="20"/>
          <w:szCs w:val="20"/>
          <w:lang w:val="id-ID"/>
        </w:rPr>
      </w:pPr>
      <w:r w:rsidRPr="009023A5">
        <w:rPr>
          <w:rStyle w:val="FootnoteReference"/>
          <w:sz w:val="20"/>
          <w:szCs w:val="20"/>
        </w:rPr>
        <w:footnoteRef/>
      </w:r>
      <w:r w:rsidRPr="009023A5">
        <w:rPr>
          <w:sz w:val="20"/>
          <w:szCs w:val="20"/>
          <w:lang w:val="id-ID" w:eastAsia="id-ID"/>
        </w:rPr>
        <w:t xml:space="preserve">Mohammad Ekaputra dan Abul Khair, </w:t>
      </w:r>
      <w:r w:rsidRPr="009023A5">
        <w:rPr>
          <w:i/>
          <w:iCs/>
          <w:sz w:val="20"/>
          <w:szCs w:val="20"/>
          <w:lang w:val="id-ID" w:eastAsia="id-ID"/>
        </w:rPr>
        <w:t>Sistem Pidana Di Dalam KUHP Dan Pengaturannya Menurut Konsep KUHP Baru</w:t>
      </w:r>
      <w:r w:rsidRPr="009023A5">
        <w:rPr>
          <w:sz w:val="20"/>
          <w:szCs w:val="20"/>
          <w:lang w:val="id-ID" w:eastAsia="id-ID"/>
        </w:rPr>
        <w:t>, USU Press, Medan, 2010, hlm. 13.</w:t>
      </w:r>
    </w:p>
  </w:footnote>
  <w:footnote w:id="28">
    <w:p w:rsidR="005403EC" w:rsidRPr="009023A5" w:rsidRDefault="005403EC" w:rsidP="005403EC">
      <w:pPr>
        <w:autoSpaceDE w:val="0"/>
        <w:autoSpaceDN w:val="0"/>
        <w:adjustRightInd w:val="0"/>
        <w:ind w:firstLine="720"/>
        <w:jc w:val="both"/>
        <w:rPr>
          <w:sz w:val="20"/>
          <w:szCs w:val="20"/>
          <w:lang w:val="id-ID"/>
        </w:rPr>
      </w:pPr>
      <w:r w:rsidRPr="009023A5">
        <w:rPr>
          <w:rStyle w:val="FootnoteReference"/>
          <w:sz w:val="20"/>
          <w:szCs w:val="20"/>
        </w:rPr>
        <w:footnoteRef/>
      </w:r>
      <w:r w:rsidRPr="009023A5">
        <w:rPr>
          <w:sz w:val="20"/>
          <w:szCs w:val="20"/>
        </w:rPr>
        <w:t xml:space="preserve"> </w:t>
      </w:r>
      <w:r w:rsidRPr="009023A5">
        <w:rPr>
          <w:sz w:val="20"/>
          <w:szCs w:val="20"/>
          <w:lang w:val="id-ID" w:eastAsia="id-ID"/>
        </w:rPr>
        <w:t xml:space="preserve">Eddy O.S. Hiariej, </w:t>
      </w:r>
      <w:r w:rsidRPr="009023A5">
        <w:rPr>
          <w:i/>
          <w:iCs/>
          <w:sz w:val="20"/>
          <w:szCs w:val="20"/>
          <w:lang w:val="id-ID" w:eastAsia="id-ID"/>
        </w:rPr>
        <w:t>Prinsip-Prinsip Hukum Pidana</w:t>
      </w:r>
      <w:r w:rsidRPr="009023A5">
        <w:rPr>
          <w:sz w:val="20"/>
          <w:szCs w:val="20"/>
          <w:lang w:val="id-ID" w:eastAsia="id-ID"/>
        </w:rPr>
        <w:t>, Cahaya Atma Pustaka, Yogyakarta, 2014</w:t>
      </w:r>
      <w:r w:rsidRPr="009023A5">
        <w:rPr>
          <w:i/>
          <w:iCs/>
          <w:sz w:val="20"/>
          <w:szCs w:val="20"/>
          <w:lang w:val="id-ID" w:eastAsia="id-ID"/>
        </w:rPr>
        <w:t xml:space="preserve">, </w:t>
      </w:r>
      <w:r w:rsidRPr="009023A5">
        <w:rPr>
          <w:sz w:val="20"/>
          <w:szCs w:val="20"/>
          <w:lang w:val="id-ID" w:eastAsia="id-ID"/>
        </w:rPr>
        <w:t>hlm. 36</w:t>
      </w:r>
    </w:p>
  </w:footnote>
  <w:footnote w:id="29">
    <w:p w:rsidR="005403EC" w:rsidRPr="009023A5" w:rsidRDefault="005403EC" w:rsidP="005403EC">
      <w:pPr>
        <w:pStyle w:val="FootnoteText"/>
        <w:ind w:firstLine="720"/>
        <w:jc w:val="both"/>
      </w:pPr>
      <w:r w:rsidRPr="009023A5">
        <w:rPr>
          <w:rStyle w:val="FootnoteReference"/>
        </w:rPr>
        <w:footnoteRef/>
      </w:r>
      <w:r w:rsidRPr="009023A5">
        <w:t xml:space="preserve"> M. Sholehuddin, </w:t>
      </w:r>
      <w:r w:rsidRPr="009023A5">
        <w:rPr>
          <w:i/>
          <w:iCs/>
          <w:lang w:val="id-ID"/>
        </w:rPr>
        <w:t>Op.Cit</w:t>
      </w:r>
      <w:r w:rsidRPr="009023A5">
        <w:t>, hlm.44-45</w:t>
      </w:r>
    </w:p>
  </w:footnote>
  <w:footnote w:id="30">
    <w:p w:rsidR="005403EC" w:rsidRPr="00B05BC8" w:rsidRDefault="005403EC" w:rsidP="005403EC">
      <w:pPr>
        <w:autoSpaceDE w:val="0"/>
        <w:autoSpaceDN w:val="0"/>
        <w:adjustRightInd w:val="0"/>
        <w:ind w:firstLine="709"/>
        <w:jc w:val="both"/>
        <w:rPr>
          <w:sz w:val="20"/>
          <w:szCs w:val="20"/>
          <w:lang w:val="id-ID"/>
        </w:rPr>
      </w:pPr>
      <w:r w:rsidRPr="00B05BC8">
        <w:rPr>
          <w:rStyle w:val="FootnoteReference"/>
          <w:sz w:val="20"/>
          <w:szCs w:val="20"/>
        </w:rPr>
        <w:t>73</w:t>
      </w:r>
      <w:r w:rsidRPr="00B05BC8">
        <w:rPr>
          <w:sz w:val="20"/>
          <w:szCs w:val="20"/>
        </w:rPr>
        <w:t xml:space="preserve"> F.Asya, </w:t>
      </w:r>
      <w:r w:rsidRPr="00B05BC8">
        <w:rPr>
          <w:i/>
          <w:iCs/>
          <w:sz w:val="20"/>
          <w:szCs w:val="20"/>
        </w:rPr>
        <w:t xml:space="preserve">Narkotika dan Psikotropika, </w:t>
      </w:r>
      <w:r w:rsidRPr="00B05BC8">
        <w:rPr>
          <w:sz w:val="20"/>
          <w:szCs w:val="20"/>
        </w:rPr>
        <w:t xml:space="preserve">Asa Mandiri, Jakarta, 2014, </w:t>
      </w:r>
      <w:r>
        <w:rPr>
          <w:sz w:val="20"/>
          <w:szCs w:val="20"/>
        </w:rPr>
        <w:t>hlm.</w:t>
      </w:r>
      <w:r w:rsidRPr="00B05BC8">
        <w:rPr>
          <w:sz w:val="20"/>
          <w:szCs w:val="20"/>
        </w:rPr>
        <w:t>81.</w:t>
      </w:r>
    </w:p>
  </w:footnote>
  <w:footnote w:id="31">
    <w:p w:rsidR="005403EC" w:rsidRPr="00B05BC8" w:rsidRDefault="005403EC" w:rsidP="005403EC">
      <w:pPr>
        <w:pStyle w:val="FootnoteText"/>
        <w:ind w:firstLine="709"/>
        <w:jc w:val="both"/>
      </w:pPr>
      <w:r w:rsidRPr="00B05BC8">
        <w:rPr>
          <w:rStyle w:val="FootnoteReference"/>
        </w:rPr>
        <w:t>74</w:t>
      </w:r>
      <w:r w:rsidRPr="00B05BC8">
        <w:t xml:space="preserve"> </w:t>
      </w:r>
      <w:r w:rsidRPr="00B05BC8">
        <w:rPr>
          <w:i/>
        </w:rPr>
        <w:t>Ibid</w:t>
      </w:r>
      <w:r w:rsidRPr="00B05BC8">
        <w:t xml:space="preserve">, </w:t>
      </w:r>
      <w:r w:rsidRPr="00B05BC8">
        <w:rPr>
          <w:i/>
        </w:rPr>
        <w:t xml:space="preserve"> </w:t>
      </w:r>
      <w:r>
        <w:t>hlm.</w:t>
      </w:r>
      <w:r w:rsidRPr="00B05BC8">
        <w:t>82.</w:t>
      </w:r>
    </w:p>
  </w:footnote>
  <w:footnote w:id="32">
    <w:p w:rsidR="005403EC" w:rsidRPr="00B05BC8" w:rsidRDefault="005403EC" w:rsidP="005403EC">
      <w:pPr>
        <w:pStyle w:val="FootnoteText"/>
        <w:ind w:firstLine="709"/>
        <w:jc w:val="both"/>
        <w:rPr>
          <w:lang w:val="id-ID"/>
        </w:rPr>
      </w:pPr>
      <w:r w:rsidRPr="00B05BC8">
        <w:rPr>
          <w:rStyle w:val="FootnoteReference"/>
        </w:rPr>
        <w:footnoteRef/>
      </w:r>
      <w:r w:rsidRPr="00B05BC8">
        <w:rPr>
          <w:lang w:val="id-ID"/>
        </w:rPr>
        <w:t>Pasal 1</w:t>
      </w:r>
      <w:r w:rsidRPr="00B05BC8">
        <w:t xml:space="preserve"> Peraturan Menteri Pendidikan Dan Kebudayaan Republik Indonesia Nomor 38 Tahun 2019 Tentang Pencegahan Penyalahgunaan </w:t>
      </w:r>
      <w:r w:rsidRPr="00B05BC8">
        <w:rPr>
          <w:lang w:val="id-ID"/>
        </w:rPr>
        <w:t>d</w:t>
      </w:r>
      <w:r w:rsidRPr="00B05BC8">
        <w:t xml:space="preserve">an Peredaran Gelap Narkotika </w:t>
      </w:r>
      <w:r w:rsidRPr="00B05BC8">
        <w:rPr>
          <w:lang w:val="id-ID"/>
        </w:rPr>
        <w:t>d</w:t>
      </w:r>
      <w:r w:rsidRPr="00B05BC8">
        <w:t xml:space="preserve">an Prekursor Narkotika Di Lingkungan Kementerian Pendidikan </w:t>
      </w:r>
      <w:r w:rsidRPr="00B05BC8">
        <w:rPr>
          <w:lang w:val="id-ID"/>
        </w:rPr>
        <w:t>d</w:t>
      </w:r>
      <w:r w:rsidRPr="00B05BC8">
        <w:t>an Kebudayaan</w:t>
      </w:r>
    </w:p>
  </w:footnote>
  <w:footnote w:id="33">
    <w:p w:rsidR="005403EC" w:rsidRPr="00B05BC8" w:rsidRDefault="005403EC" w:rsidP="005403EC">
      <w:pPr>
        <w:pStyle w:val="FootnoteText"/>
        <w:ind w:firstLine="709"/>
        <w:jc w:val="both"/>
        <w:rPr>
          <w:lang w:val="id-ID"/>
        </w:rPr>
      </w:pPr>
      <w:r w:rsidRPr="00B05BC8">
        <w:rPr>
          <w:rStyle w:val="FootnoteReference"/>
        </w:rPr>
        <w:footnoteRef/>
      </w:r>
      <w:r w:rsidRPr="00B05BC8">
        <w:rPr>
          <w:lang w:val="id-ID"/>
        </w:rPr>
        <w:t>Bagian Menimbang</w:t>
      </w:r>
      <w:r w:rsidRPr="00B05BC8">
        <w:t xml:space="preserve"> Peraturan Menteri Kesehatan Republik Indonesia Nomor 44 Tahun 2019 Tentang Perubahan Penggolongan Narkotika</w:t>
      </w:r>
      <w:r w:rsidRPr="00B05BC8">
        <w:rPr>
          <w:lang w:val="id-ID"/>
        </w:rPr>
        <w:t xml:space="preserve">. </w:t>
      </w:r>
    </w:p>
  </w:footnote>
  <w:footnote w:id="34">
    <w:p w:rsidR="005403EC" w:rsidRPr="00B05BC8" w:rsidRDefault="005403EC" w:rsidP="005403EC">
      <w:pPr>
        <w:pStyle w:val="FootnoteText"/>
        <w:ind w:firstLine="709"/>
        <w:jc w:val="both"/>
        <w:rPr>
          <w:lang w:val="id-ID"/>
        </w:rPr>
      </w:pPr>
      <w:r w:rsidRPr="00B05BC8">
        <w:rPr>
          <w:rStyle w:val="FootnoteReference"/>
        </w:rPr>
        <w:footnoteRef/>
      </w:r>
      <w:r w:rsidRPr="00B05BC8">
        <w:t xml:space="preserve"> </w:t>
      </w:r>
      <w:r w:rsidRPr="00B05BC8">
        <w:rPr>
          <w:lang w:val="id-ID"/>
        </w:rPr>
        <w:t xml:space="preserve">Penjelasan </w:t>
      </w:r>
      <w:r w:rsidRPr="00B05BC8">
        <w:t>Peraturan Pemerintah Republik Indonesia Nomor 40 Tahun 2013 Tentang Pelaksanaan Undang-Undang Nomor 35 Tahun 2009 Tentang Narkotika</w:t>
      </w:r>
      <w:r w:rsidRPr="00B05BC8">
        <w:rPr>
          <w:lang w:val="id-ID"/>
        </w:rPr>
        <w:t>.</w:t>
      </w:r>
    </w:p>
  </w:footnote>
  <w:footnote w:id="35">
    <w:p w:rsidR="005403EC" w:rsidRPr="00B05BC8" w:rsidRDefault="005403EC" w:rsidP="005403EC">
      <w:pPr>
        <w:pStyle w:val="FootnoteText"/>
        <w:ind w:firstLine="709"/>
        <w:jc w:val="both"/>
        <w:rPr>
          <w:lang w:val="id-ID"/>
        </w:rPr>
      </w:pPr>
      <w:r w:rsidRPr="00B05BC8">
        <w:rPr>
          <w:rStyle w:val="FootnoteReference"/>
        </w:rPr>
        <w:footnoteRef/>
      </w:r>
      <w:r w:rsidRPr="00B05BC8">
        <w:t xml:space="preserve"> Bagian Menimbang huruf e Undang-Undang No. 35 Tahun 2009 tentang Narkotika  </w:t>
      </w:r>
    </w:p>
  </w:footnote>
  <w:footnote w:id="36">
    <w:p w:rsidR="005403EC" w:rsidRPr="00B05BC8" w:rsidRDefault="005403EC" w:rsidP="005403EC">
      <w:pPr>
        <w:pStyle w:val="FootnoteText"/>
        <w:ind w:firstLine="709"/>
        <w:jc w:val="both"/>
        <w:rPr>
          <w:lang w:val="id-ID"/>
        </w:rPr>
      </w:pPr>
      <w:r w:rsidRPr="00B05BC8">
        <w:rPr>
          <w:rStyle w:val="FootnoteReference"/>
        </w:rPr>
        <w:footnoteRef/>
      </w:r>
      <w:r w:rsidRPr="00B05BC8">
        <w:t xml:space="preserve">Puteri Hikmawati, “Analisis Terhadap Sanksi Pidana Bagi Pengguna Narkotika”, </w:t>
      </w:r>
      <w:r w:rsidRPr="00B05BC8">
        <w:rPr>
          <w:i/>
          <w:iCs/>
        </w:rPr>
        <w:t>Jurnal Negara Hukum Vol. 2 No. 2</w:t>
      </w:r>
      <w:r w:rsidRPr="00B05BC8">
        <w:t>, November 201</w:t>
      </w:r>
      <w:r w:rsidRPr="00B05BC8">
        <w:rPr>
          <w:lang w:val="id-ID"/>
        </w:rPr>
        <w:t>9</w:t>
      </w:r>
      <w:r w:rsidRPr="00B05BC8">
        <w:t>, h</w:t>
      </w:r>
      <w:r w:rsidRPr="00B05BC8">
        <w:rPr>
          <w:lang w:val="id-ID"/>
        </w:rPr>
        <w:t>al</w:t>
      </w:r>
      <w:r w:rsidRPr="00B05BC8">
        <w:t xml:space="preserve">. 331  </w:t>
      </w:r>
    </w:p>
  </w:footnote>
  <w:footnote w:id="37">
    <w:p w:rsidR="005403EC" w:rsidRPr="00B05BC8" w:rsidRDefault="005403EC" w:rsidP="005403EC">
      <w:pPr>
        <w:autoSpaceDE w:val="0"/>
        <w:autoSpaceDN w:val="0"/>
        <w:adjustRightInd w:val="0"/>
        <w:ind w:firstLine="709"/>
        <w:jc w:val="both"/>
        <w:rPr>
          <w:sz w:val="20"/>
          <w:szCs w:val="20"/>
        </w:rPr>
      </w:pPr>
      <w:r w:rsidRPr="00B05BC8">
        <w:rPr>
          <w:rStyle w:val="FootnoteReference"/>
          <w:sz w:val="20"/>
          <w:szCs w:val="20"/>
        </w:rPr>
        <w:t>75</w:t>
      </w:r>
      <w:r w:rsidRPr="00B05BC8">
        <w:rPr>
          <w:sz w:val="20"/>
          <w:szCs w:val="20"/>
        </w:rPr>
        <w:t xml:space="preserve"> D. Soedjono, </w:t>
      </w:r>
      <w:r w:rsidRPr="00B05BC8">
        <w:rPr>
          <w:i/>
          <w:iCs/>
          <w:sz w:val="20"/>
          <w:szCs w:val="20"/>
        </w:rPr>
        <w:t xml:space="preserve">Segi Hukum tentang Narkotika di Indonesia, </w:t>
      </w:r>
      <w:r w:rsidRPr="00B05BC8">
        <w:rPr>
          <w:sz w:val="20"/>
          <w:szCs w:val="20"/>
        </w:rPr>
        <w:t xml:space="preserve">Karya Nusantara, Bandung, 2017, </w:t>
      </w:r>
      <w:r>
        <w:rPr>
          <w:sz w:val="20"/>
          <w:szCs w:val="20"/>
        </w:rPr>
        <w:t>hlm.</w:t>
      </w:r>
      <w:r w:rsidRPr="00B05BC8">
        <w:rPr>
          <w:sz w:val="20"/>
          <w:szCs w:val="20"/>
        </w:rPr>
        <w:t>18</w:t>
      </w:r>
      <w:r w:rsidRPr="00B05BC8">
        <w:rPr>
          <w:sz w:val="20"/>
          <w:szCs w:val="20"/>
          <w:lang w:val="id-ID"/>
        </w:rPr>
        <w:t>.</w:t>
      </w:r>
    </w:p>
  </w:footnote>
  <w:footnote w:id="38">
    <w:p w:rsidR="005403EC" w:rsidRPr="00B05BC8" w:rsidRDefault="005403EC" w:rsidP="005403EC">
      <w:pPr>
        <w:pStyle w:val="FootnoteText"/>
        <w:ind w:firstLine="709"/>
        <w:jc w:val="both"/>
      </w:pPr>
      <w:r w:rsidRPr="00B05BC8">
        <w:rPr>
          <w:rStyle w:val="FootnoteReference"/>
        </w:rPr>
        <w:t>76</w:t>
      </w:r>
      <w:r w:rsidRPr="00B05BC8">
        <w:t xml:space="preserve"> M. Ridha Ma’roef, </w:t>
      </w:r>
      <w:r w:rsidRPr="00B05BC8">
        <w:rPr>
          <w:i/>
          <w:iCs/>
        </w:rPr>
        <w:t>Narkotika Masalah dan Bahayanya</w:t>
      </w:r>
      <w:r w:rsidRPr="00B05BC8">
        <w:t xml:space="preserve">, Marga Djaya, Jakarta, 2016, </w:t>
      </w:r>
      <w:r>
        <w:t>hlm.</w:t>
      </w:r>
      <w:r w:rsidRPr="00B05BC8">
        <w:t>94.</w:t>
      </w:r>
    </w:p>
  </w:footnote>
  <w:footnote w:id="39">
    <w:p w:rsidR="005403EC" w:rsidRPr="00B05BC8" w:rsidRDefault="005403EC" w:rsidP="005403EC">
      <w:pPr>
        <w:pStyle w:val="FootnoteText"/>
        <w:ind w:firstLine="709"/>
        <w:jc w:val="both"/>
      </w:pPr>
      <w:r w:rsidRPr="00B05BC8">
        <w:rPr>
          <w:rStyle w:val="FootnoteReference"/>
        </w:rPr>
        <w:t>78</w:t>
      </w:r>
      <w:r w:rsidRPr="00B05BC8">
        <w:t xml:space="preserve"> </w:t>
      </w:r>
      <w:r w:rsidRPr="00B05BC8">
        <w:rPr>
          <w:i/>
        </w:rPr>
        <w:t>Ibid</w:t>
      </w:r>
      <w:r w:rsidRPr="00B05BC8">
        <w:t xml:space="preserve">, </w:t>
      </w:r>
      <w:r>
        <w:t>hlm.</w:t>
      </w:r>
      <w:r w:rsidRPr="00B05BC8">
        <w:t xml:space="preserve"> 23</w:t>
      </w:r>
    </w:p>
  </w:footnote>
  <w:footnote w:id="40">
    <w:p w:rsidR="005403EC" w:rsidRPr="00B05BC8" w:rsidRDefault="005403EC" w:rsidP="005403EC">
      <w:pPr>
        <w:pStyle w:val="FootnoteText"/>
        <w:ind w:firstLine="709"/>
        <w:jc w:val="both"/>
      </w:pPr>
      <w:r w:rsidRPr="00B05BC8">
        <w:rPr>
          <w:rStyle w:val="FootnoteReference"/>
        </w:rPr>
        <w:footnoteRef/>
      </w:r>
      <w:r w:rsidRPr="00B05BC8">
        <w:rPr>
          <w:color w:val="000000"/>
        </w:rPr>
        <w:t xml:space="preserve">Hari Sasangka,  </w:t>
      </w:r>
      <w:r w:rsidRPr="00B05BC8">
        <w:rPr>
          <w:i/>
          <w:iCs/>
          <w:color w:val="000000"/>
        </w:rPr>
        <w:t>Narkotika Dan Psikotropika Dalam Hukum Pidana</w:t>
      </w:r>
      <w:r w:rsidRPr="00B05BC8">
        <w:rPr>
          <w:color w:val="000000"/>
        </w:rPr>
        <w:t xml:space="preserve">, Mandar Maju, Bandung, 2013, </w:t>
      </w:r>
      <w:r>
        <w:rPr>
          <w:color w:val="000000"/>
        </w:rPr>
        <w:t>hlm.</w:t>
      </w:r>
      <w:r w:rsidRPr="00B05BC8">
        <w:rPr>
          <w:color w:val="000000"/>
        </w:rPr>
        <w:t>116.</w:t>
      </w:r>
    </w:p>
  </w:footnote>
  <w:footnote w:id="41">
    <w:p w:rsidR="005403EC" w:rsidRPr="00B05BC8" w:rsidRDefault="005403EC" w:rsidP="005403EC">
      <w:pPr>
        <w:pStyle w:val="FootnoteText"/>
        <w:ind w:firstLine="709"/>
        <w:jc w:val="both"/>
      </w:pPr>
      <w:r w:rsidRPr="00B05BC8">
        <w:rPr>
          <w:rStyle w:val="FootnoteReference"/>
        </w:rPr>
        <w:footnoteRef/>
      </w:r>
      <w:r w:rsidRPr="00B05BC8">
        <w:rPr>
          <w:i/>
        </w:rPr>
        <w:t>Ibid</w:t>
      </w:r>
      <w:r w:rsidRPr="00B05BC8">
        <w:t xml:space="preserve">, </w:t>
      </w:r>
      <w:r>
        <w:t>hlm.</w:t>
      </w:r>
      <w:r w:rsidRPr="00B05BC8">
        <w:t xml:space="preserve">117. </w:t>
      </w:r>
    </w:p>
  </w:footnote>
  <w:footnote w:id="42">
    <w:p w:rsidR="005403EC" w:rsidRPr="00B05BC8" w:rsidRDefault="005403EC" w:rsidP="005403EC">
      <w:pPr>
        <w:pStyle w:val="FootnoteText"/>
        <w:ind w:firstLine="709"/>
        <w:jc w:val="both"/>
        <w:rPr>
          <w:color w:val="000000"/>
        </w:rPr>
      </w:pPr>
      <w:r w:rsidRPr="00B05BC8">
        <w:rPr>
          <w:rStyle w:val="FootnoteReference"/>
        </w:rPr>
        <w:t>15</w:t>
      </w:r>
      <w:r w:rsidRPr="00B05BC8">
        <w:rPr>
          <w:color w:val="000000"/>
        </w:rPr>
        <w:t xml:space="preserve"> Totok Yuliyanto, </w:t>
      </w:r>
      <w:r w:rsidRPr="00B05BC8">
        <w:rPr>
          <w:i/>
          <w:color w:val="000000"/>
        </w:rPr>
        <w:t>Peredaran Narkoba dan Dampaknya</w:t>
      </w:r>
      <w:r w:rsidRPr="00B05BC8">
        <w:rPr>
          <w:color w:val="000000"/>
        </w:rPr>
        <w:t xml:space="preserve">, Ghalia Indonesia, Jakarta, 2011, </w:t>
      </w:r>
      <w:r>
        <w:rPr>
          <w:color w:val="000000"/>
        </w:rPr>
        <w:t>hlm.</w:t>
      </w:r>
      <w:r w:rsidRPr="00B05BC8">
        <w:rPr>
          <w:color w:val="000000"/>
        </w:rPr>
        <w:t xml:space="preserve"> 39.</w:t>
      </w:r>
    </w:p>
  </w:footnote>
  <w:footnote w:id="43">
    <w:p w:rsidR="005403EC" w:rsidRPr="00B05BC8" w:rsidRDefault="005403EC" w:rsidP="005403EC">
      <w:pPr>
        <w:pStyle w:val="FootnoteText"/>
        <w:ind w:firstLine="709"/>
        <w:jc w:val="both"/>
        <w:rPr>
          <w:i/>
          <w:color w:val="000000"/>
        </w:rPr>
      </w:pPr>
      <w:r w:rsidRPr="00B05BC8">
        <w:rPr>
          <w:rStyle w:val="FootnoteReference"/>
        </w:rPr>
        <w:t>16</w:t>
      </w:r>
      <w:r w:rsidRPr="00B05BC8">
        <w:rPr>
          <w:color w:val="000000"/>
        </w:rPr>
        <w:t xml:space="preserve"> </w:t>
      </w:r>
      <w:r w:rsidRPr="00B05BC8">
        <w:rPr>
          <w:i/>
          <w:color w:val="000000"/>
        </w:rPr>
        <w:t>Ibid</w:t>
      </w:r>
      <w:r w:rsidRPr="00B05BC8">
        <w:rPr>
          <w:color w:val="000000"/>
        </w:rPr>
        <w:t xml:space="preserve">, </w:t>
      </w:r>
      <w:r>
        <w:rPr>
          <w:color w:val="000000"/>
        </w:rPr>
        <w:t>hlm.</w:t>
      </w:r>
      <w:r w:rsidRPr="00B05BC8">
        <w:rPr>
          <w:color w:val="000000"/>
        </w:rPr>
        <w:t>40.</w:t>
      </w:r>
    </w:p>
  </w:footnote>
  <w:footnote w:id="44">
    <w:p w:rsidR="005403EC" w:rsidRPr="00B05BC8" w:rsidRDefault="005403EC" w:rsidP="005403EC">
      <w:pPr>
        <w:pStyle w:val="FootnoteText"/>
        <w:ind w:firstLine="709"/>
        <w:jc w:val="both"/>
      </w:pPr>
      <w:r w:rsidRPr="00B05BC8">
        <w:rPr>
          <w:rStyle w:val="FootnoteReference"/>
        </w:rPr>
        <w:footnoteRef/>
      </w:r>
      <w:r w:rsidRPr="00B05BC8">
        <w:t xml:space="preserve"> </w:t>
      </w:r>
      <w:r w:rsidRPr="00B05BC8">
        <w:rPr>
          <w:i/>
          <w:color w:val="000000"/>
        </w:rPr>
        <w:t>Ibid</w:t>
      </w:r>
      <w:r w:rsidRPr="00B05BC8">
        <w:rPr>
          <w:color w:val="000000"/>
        </w:rPr>
        <w:t xml:space="preserve">, </w:t>
      </w:r>
      <w:r>
        <w:rPr>
          <w:color w:val="000000"/>
        </w:rPr>
        <w:t>hlm.</w:t>
      </w:r>
      <w:r w:rsidRPr="00B05BC8">
        <w:rPr>
          <w:color w:val="000000"/>
        </w:rPr>
        <w:t>22</w:t>
      </w:r>
    </w:p>
  </w:footnote>
  <w:footnote w:id="45">
    <w:p w:rsidR="005403EC" w:rsidRPr="00B05BC8" w:rsidRDefault="005403EC" w:rsidP="005403EC">
      <w:pPr>
        <w:pStyle w:val="FootnoteText"/>
        <w:ind w:firstLine="709"/>
        <w:jc w:val="both"/>
      </w:pPr>
      <w:r w:rsidRPr="00B05BC8">
        <w:rPr>
          <w:rStyle w:val="FootnoteReference"/>
        </w:rPr>
        <w:footnoteRef/>
      </w:r>
      <w:r w:rsidRPr="00B05BC8">
        <w:t xml:space="preserve"> </w:t>
      </w:r>
      <w:r w:rsidRPr="00B05BC8">
        <w:rPr>
          <w:i/>
        </w:rPr>
        <w:t>Ibid</w:t>
      </w:r>
      <w:r w:rsidRPr="00B05BC8">
        <w:t xml:space="preserve">, </w:t>
      </w:r>
      <w:r>
        <w:t>hlm.</w:t>
      </w:r>
      <w:r w:rsidRPr="00B05BC8">
        <w:t>51</w:t>
      </w:r>
    </w:p>
  </w:footnote>
  <w:footnote w:id="46">
    <w:p w:rsidR="005403EC" w:rsidRPr="00B05BC8" w:rsidRDefault="005403EC" w:rsidP="005403EC">
      <w:pPr>
        <w:pStyle w:val="FootnoteText"/>
        <w:ind w:firstLine="709"/>
        <w:jc w:val="both"/>
      </w:pPr>
      <w:r w:rsidRPr="00B05BC8">
        <w:rPr>
          <w:rStyle w:val="FootnoteReference"/>
        </w:rPr>
        <w:t>82</w:t>
      </w:r>
      <w:r w:rsidRPr="00B05BC8">
        <w:t xml:space="preserve"> </w:t>
      </w:r>
      <w:r w:rsidRPr="00B05BC8">
        <w:rPr>
          <w:i/>
        </w:rPr>
        <w:t xml:space="preserve">Ibid, </w:t>
      </w:r>
      <w:r>
        <w:t>hlm.</w:t>
      </w:r>
      <w:r w:rsidRPr="00B05BC8">
        <w:t>52.</w:t>
      </w:r>
    </w:p>
  </w:footnote>
  <w:footnote w:id="47">
    <w:p w:rsidR="005403EC" w:rsidRPr="00B05BC8" w:rsidRDefault="005403EC" w:rsidP="005403EC">
      <w:pPr>
        <w:pStyle w:val="FootnoteText"/>
        <w:ind w:firstLine="709"/>
        <w:jc w:val="both"/>
      </w:pPr>
      <w:r w:rsidRPr="00B05BC8">
        <w:rPr>
          <w:rStyle w:val="FootnoteReference"/>
        </w:rPr>
        <w:footnoteRef/>
      </w:r>
      <w:r w:rsidRPr="00B05BC8">
        <w:t xml:space="preserve"> </w:t>
      </w:r>
      <w:r w:rsidRPr="00B05BC8">
        <w:rPr>
          <w:i/>
          <w:color w:val="000000"/>
        </w:rPr>
        <w:t>Ibid</w:t>
      </w:r>
      <w:r w:rsidRPr="00B05BC8">
        <w:rPr>
          <w:color w:val="000000"/>
        </w:rPr>
        <w:t xml:space="preserve">, </w:t>
      </w:r>
      <w:r>
        <w:rPr>
          <w:color w:val="000000"/>
        </w:rPr>
        <w:t>hlm.</w:t>
      </w:r>
      <w:r w:rsidRPr="00B05BC8">
        <w:rPr>
          <w:color w:val="000000"/>
        </w:rPr>
        <w:t>84.</w:t>
      </w:r>
    </w:p>
  </w:footnote>
  <w:footnote w:id="48">
    <w:p w:rsidR="005403EC" w:rsidRPr="00B05BC8" w:rsidRDefault="005403EC" w:rsidP="005403EC">
      <w:pPr>
        <w:pStyle w:val="FootnoteText"/>
        <w:ind w:firstLine="709"/>
        <w:jc w:val="both"/>
      </w:pPr>
      <w:r w:rsidRPr="00B05BC8">
        <w:rPr>
          <w:rStyle w:val="FootnoteReference"/>
        </w:rPr>
        <w:footnoteRef/>
      </w:r>
      <w:r w:rsidRPr="00B05BC8">
        <w:t xml:space="preserve"> Wison Nadaek, </w:t>
      </w:r>
      <w:r w:rsidRPr="00B05BC8">
        <w:rPr>
          <w:i/>
          <w:iCs/>
        </w:rPr>
        <w:t xml:space="preserve">Korban Ganja dan Masalah Narkotika, </w:t>
      </w:r>
      <w:r w:rsidRPr="00B05BC8">
        <w:t xml:space="preserve">Indonesia Publishing House, Bandung, 2013, </w:t>
      </w:r>
      <w:r>
        <w:t>hlm.</w:t>
      </w:r>
      <w:r w:rsidRPr="00B05BC8">
        <w:t>77.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F0E" w:rsidRDefault="00CB3AF2" w:rsidP="00161EFD">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831772" o:spid="_x0000_s2062" type="#_x0000_t75" style="position:absolute;margin-left:0;margin-top:0;width:396.7pt;height:390.9pt;z-index:-251658752;mso-position-horizontal:center;mso-position-horizontal-relative:margin;mso-position-vertical:center;mso-position-vertical-relative:margin" o:allowincell="f">
          <v:imagedata r:id="rId1" o:title="LOGO-UMN-1" gain="19661f" blacklevel="22938f"/>
        </v:shape>
      </w:pict>
    </w:r>
    <w:r w:rsidR="00641F0E">
      <w:rPr>
        <w:rStyle w:val="PageNumber"/>
      </w:rPr>
      <w:fldChar w:fldCharType="begin"/>
    </w:r>
    <w:r w:rsidR="00641F0E">
      <w:rPr>
        <w:rStyle w:val="PageNumber"/>
      </w:rPr>
      <w:instrText xml:space="preserve">PAGE  </w:instrText>
    </w:r>
    <w:r w:rsidR="00641F0E">
      <w:rPr>
        <w:rStyle w:val="PageNumber"/>
      </w:rPr>
      <w:fldChar w:fldCharType="end"/>
    </w:r>
  </w:p>
  <w:p w:rsidR="00641F0E" w:rsidRDefault="00641F0E">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F0E" w:rsidRDefault="00CB3AF2" w:rsidP="00CB1355">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831773" o:spid="_x0000_s2063" type="#_x0000_t75" style="position:absolute;margin-left:0;margin-top:0;width:396.7pt;height:390.9pt;z-index:-251657728;mso-position-horizontal:center;mso-position-horizontal-relative:margin;mso-position-vertical:center;mso-position-vertical-relative:margin" o:allowincell="f">
          <v:imagedata r:id="rId1" o:title="LOGO-UMN-1" gain="19661f" blacklevel="22938f"/>
        </v:shape>
      </w:pict>
    </w:r>
    <w:r w:rsidR="00641F0E">
      <w:rPr>
        <w:rStyle w:val="PageNumber"/>
      </w:rPr>
      <w:fldChar w:fldCharType="begin"/>
    </w:r>
    <w:r w:rsidR="00641F0E">
      <w:rPr>
        <w:rStyle w:val="PageNumber"/>
      </w:rPr>
      <w:instrText xml:space="preserve">PAGE  </w:instrText>
    </w:r>
    <w:r w:rsidR="00641F0E">
      <w:rPr>
        <w:rStyle w:val="PageNumber"/>
      </w:rPr>
      <w:fldChar w:fldCharType="separate"/>
    </w:r>
    <w:r w:rsidR="00C517C1">
      <w:rPr>
        <w:rStyle w:val="PageNumber"/>
        <w:noProof/>
      </w:rPr>
      <w:t>108</w:t>
    </w:r>
    <w:r w:rsidR="00641F0E">
      <w:rPr>
        <w:rStyle w:val="PageNumber"/>
      </w:rPr>
      <w:fldChar w:fldCharType="end"/>
    </w:r>
  </w:p>
  <w:p w:rsidR="00C517C1" w:rsidRPr="0018612D" w:rsidRDefault="00C517C1" w:rsidP="00C517C1">
    <w:pPr>
      <w:pStyle w:val="Header"/>
      <w:jc w:val="right"/>
      <w:rPr>
        <w:lang w:val="id-ID"/>
      </w:rPr>
    </w:pPr>
    <w:r>
      <w:rPr>
        <w:noProof/>
      </w:rPr>
      <w:pict>
        <v:shape id="_x0000_s2065" type="#_x0000_t75" style="position:absolute;left:0;text-align:left;margin-left:0;margin-top:0;width:396.7pt;height:390.9pt;z-index:-251653632;mso-position-horizontal:center;mso-position-horizontal-relative:margin;mso-position-vertical:center;mso-position-vertical-relative:margin" o:allowincell="f">
          <v:imagedata r:id="rId2" o:title="LOGO-UMN-1" gain="19661f" blacklevel="22938f"/>
        </v:shape>
      </w:pict>
    </w:r>
    <w:r>
      <w:rPr>
        <w:lang w:val="id-ID"/>
      </w:rPr>
      <w:t>PUBLISH: 21/11/2025 11:00:21</w:t>
    </w:r>
  </w:p>
  <w:p w:rsidR="00641F0E" w:rsidRDefault="00641F0E">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7C1" w:rsidRPr="0018612D" w:rsidRDefault="00C517C1" w:rsidP="00C517C1">
    <w:pPr>
      <w:pStyle w:val="Header"/>
      <w:jc w:val="right"/>
      <w:rPr>
        <w:lang w:val="id-ID"/>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4" type="#_x0000_t75" style="position:absolute;left:0;text-align:left;margin-left:0;margin-top:0;width:396.7pt;height:390.9pt;z-index:-251655680;mso-position-horizontal:center;mso-position-horizontal-relative:margin;mso-position-vertical:center;mso-position-vertical-relative:margin" o:allowincell="f">
          <v:imagedata r:id="rId1" o:title="LOGO-UMN-1" gain="19661f" blacklevel="22938f"/>
        </v:shape>
      </w:pict>
    </w:r>
    <w:r>
      <w:rPr>
        <w:lang w:val="id-ID"/>
      </w:rPr>
      <w:t>PUBLISH: 21/11/2025 11:00:21</w:t>
    </w:r>
  </w:p>
  <w:p w:rsidR="00CB3AF2" w:rsidRDefault="00CB3AF2">
    <w:pPr>
      <w:pStyle w:val="Header"/>
    </w:pPr>
    <w:r>
      <w:rPr>
        <w:noProof/>
      </w:rPr>
      <w:pict>
        <v:shape id="WordPictureWatermark29831771" o:spid="_x0000_s2061" type="#_x0000_t75" style="position:absolute;margin-left:0;margin-top:0;width:396.7pt;height:390.9pt;z-index:-251659776;mso-position-horizontal:center;mso-position-horizontal-relative:margin;mso-position-vertical:center;mso-position-vertical-relative:margin" o:allowincell="f">
          <v:imagedata r:id="rId2" o:title="LOGO-UMN-1"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3479D"/>
    <w:multiLevelType w:val="hybridMultilevel"/>
    <w:tmpl w:val="57E67E70"/>
    <w:lvl w:ilvl="0" w:tplc="2F8087C0">
      <w:start w:val="1"/>
      <w:numFmt w:val="lowerLetter"/>
      <w:lvlText w:val="%1."/>
      <w:lvlJc w:val="left"/>
      <w:pPr>
        <w:ind w:left="1429" w:hanging="360"/>
      </w:pPr>
      <w:rPr>
        <w:rFonts w:ascii="Times New Roman" w:eastAsia="Times New Roman" w:hAnsi="Times New Roman" w:cs="Times New Roman"/>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
    <w:nsid w:val="0E836E74"/>
    <w:multiLevelType w:val="hybridMultilevel"/>
    <w:tmpl w:val="38D82010"/>
    <w:lvl w:ilvl="0" w:tplc="1FD8FCCC">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F544B7F"/>
    <w:multiLevelType w:val="multilevel"/>
    <w:tmpl w:val="0D26AE7C"/>
    <w:lvl w:ilvl="0">
      <w:start w:val="1"/>
      <w:numFmt w:val="upperLetter"/>
      <w:lvlText w:val="%1."/>
      <w:lvlJc w:val="left"/>
      <w:pPr>
        <w:tabs>
          <w:tab w:val="num" w:pos="360"/>
        </w:tabs>
        <w:ind w:left="360" w:hanging="360"/>
      </w:pPr>
    </w:lvl>
    <w:lvl w:ilvl="1">
      <w:start w:val="1"/>
      <w:numFmt w:val="decimal"/>
      <w:pStyle w:val="Normal"/>
      <w:lvlText w:val="(%2)"/>
      <w:lvlJc w:val="left"/>
      <w:pPr>
        <w:tabs>
          <w:tab w:val="num" w:pos="2850"/>
        </w:tabs>
        <w:ind w:left="2850" w:hanging="1410"/>
      </w:pPr>
      <w:rPr>
        <w:rFonts w:hint="default"/>
      </w:rPr>
    </w:lvl>
    <w:lvl w:ilvl="2">
      <w:start w:val="1"/>
      <w:numFmt w:val="lowerLetter"/>
      <w:pStyle w:val="Normal"/>
      <w:lvlText w:val="%3."/>
      <w:lvlJc w:val="left"/>
      <w:pPr>
        <w:tabs>
          <w:tab w:val="num" w:pos="2700"/>
        </w:tabs>
        <w:ind w:left="2700" w:hanging="360"/>
      </w:pPr>
      <w:rPr>
        <w:rFonts w:hint="default"/>
      </w:rPr>
    </w:lvl>
    <w:lvl w:ilvl="3">
      <w:start w:val="5"/>
      <w:numFmt w:val="upperLetter"/>
      <w:pStyle w:val="Normal"/>
      <w:lvlText w:val="%4."/>
      <w:lvlJc w:val="left"/>
      <w:pPr>
        <w:tabs>
          <w:tab w:val="num" w:pos="3240"/>
        </w:tabs>
        <w:ind w:left="3240" w:hanging="360"/>
      </w:pPr>
      <w:rPr>
        <w:rFonts w:hint="default"/>
      </w:rPr>
    </w:lvl>
    <w:lvl w:ilvl="4" w:tentative="1">
      <w:start w:val="1"/>
      <w:numFmt w:val="lowerLetter"/>
      <w:pStyle w:val="Normal"/>
      <w:lvlText w:val="%5."/>
      <w:lvlJc w:val="left"/>
      <w:pPr>
        <w:tabs>
          <w:tab w:val="num" w:pos="3960"/>
        </w:tabs>
        <w:ind w:left="3960" w:hanging="360"/>
      </w:pPr>
    </w:lvl>
    <w:lvl w:ilvl="5" w:tentative="1">
      <w:start w:val="1"/>
      <w:numFmt w:val="lowerRoman"/>
      <w:pStyle w:val="Normal"/>
      <w:lvlText w:val="%6."/>
      <w:lvlJc w:val="right"/>
      <w:pPr>
        <w:tabs>
          <w:tab w:val="num" w:pos="4680"/>
        </w:tabs>
        <w:ind w:left="4680" w:hanging="180"/>
      </w:pPr>
    </w:lvl>
    <w:lvl w:ilvl="6" w:tentative="1">
      <w:start w:val="1"/>
      <w:numFmt w:val="decimal"/>
      <w:pStyle w:val="Normal"/>
      <w:lvlText w:val="%7."/>
      <w:lvlJc w:val="left"/>
      <w:pPr>
        <w:tabs>
          <w:tab w:val="num" w:pos="5400"/>
        </w:tabs>
        <w:ind w:left="5400" w:hanging="360"/>
      </w:pPr>
    </w:lvl>
    <w:lvl w:ilvl="7" w:tentative="1">
      <w:start w:val="1"/>
      <w:numFmt w:val="lowerLetter"/>
      <w:pStyle w:val="Normal"/>
      <w:lvlText w:val="%8."/>
      <w:lvlJc w:val="left"/>
      <w:pPr>
        <w:tabs>
          <w:tab w:val="num" w:pos="6120"/>
        </w:tabs>
        <w:ind w:left="6120" w:hanging="360"/>
      </w:pPr>
    </w:lvl>
    <w:lvl w:ilvl="8" w:tentative="1">
      <w:start w:val="1"/>
      <w:numFmt w:val="lowerRoman"/>
      <w:pStyle w:val="Normal"/>
      <w:lvlText w:val="%9."/>
      <w:lvlJc w:val="right"/>
      <w:pPr>
        <w:tabs>
          <w:tab w:val="num" w:pos="6840"/>
        </w:tabs>
        <w:ind w:left="6840" w:hanging="180"/>
      </w:pPr>
    </w:lvl>
  </w:abstractNum>
  <w:abstractNum w:abstractNumId="3">
    <w:nsid w:val="0FA31C04"/>
    <w:multiLevelType w:val="hybridMultilevel"/>
    <w:tmpl w:val="7FE28E80"/>
    <w:lvl w:ilvl="0" w:tplc="46DA703E">
      <w:start w:val="1"/>
      <w:numFmt w:val="decimal"/>
      <w:lvlText w:val="%1."/>
      <w:lvlJc w:val="left"/>
      <w:pPr>
        <w:tabs>
          <w:tab w:val="num" w:pos="720"/>
        </w:tabs>
        <w:ind w:left="720" w:hanging="360"/>
      </w:pPr>
      <w:rPr>
        <w:b w:val="0"/>
      </w:rPr>
    </w:lvl>
    <w:lvl w:ilvl="1" w:tplc="15D87CBE">
      <w:start w:val="1"/>
      <w:numFmt w:val="lowerLetter"/>
      <w:lvlText w:val="%2."/>
      <w:lvlJc w:val="left"/>
      <w:pPr>
        <w:tabs>
          <w:tab w:val="num" w:pos="1440"/>
        </w:tabs>
        <w:ind w:left="1440" w:hanging="360"/>
      </w:pPr>
      <w:rPr>
        <w:rFonts w:ascii="Times New Roman" w:eastAsia="Calibri" w:hAnsi="Times New Roman" w:cs="Times New Roman" w:hint="default"/>
      </w:rPr>
    </w:lvl>
    <w:lvl w:ilvl="2" w:tplc="295067FA">
      <w:start w:val="1"/>
      <w:numFmt w:val="lowerLetter"/>
      <w:lvlText w:val="%3."/>
      <w:lvlJc w:val="left"/>
      <w:pPr>
        <w:ind w:left="2340" w:hanging="360"/>
      </w:pPr>
      <w:rPr>
        <w:rFonts w:ascii="Times New Roman" w:eastAsia="Times New Roman" w:hAnsi="Times New Roman" w:cs="Times New Roman"/>
        <w:sz w:val="23"/>
      </w:r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nsid w:val="1396191D"/>
    <w:multiLevelType w:val="hybridMultilevel"/>
    <w:tmpl w:val="779CFA02"/>
    <w:lvl w:ilvl="0" w:tplc="BAF4973A">
      <w:start w:val="1"/>
      <w:numFmt w:val="lowerLetter"/>
      <w:lvlText w:val="%1."/>
      <w:lvlJc w:val="left"/>
      <w:pPr>
        <w:ind w:left="1650" w:hanging="360"/>
      </w:pPr>
      <w:rPr>
        <w:rFonts w:ascii="Times New Roman" w:eastAsia="Times New Roman" w:hAnsi="Times New Roman" w:cs="Times New Roman" w:hint="default"/>
        <w:b w:val="0"/>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5">
    <w:nsid w:val="1E34709E"/>
    <w:multiLevelType w:val="hybridMultilevel"/>
    <w:tmpl w:val="91E8FE62"/>
    <w:lvl w:ilvl="0" w:tplc="B5A6504C">
      <w:start w:val="1"/>
      <w:numFmt w:val="decimal"/>
      <w:lvlText w:val="%1."/>
      <w:lvlJc w:val="left"/>
      <w:pPr>
        <w:ind w:left="72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DC9382C"/>
    <w:multiLevelType w:val="singleLevel"/>
    <w:tmpl w:val="744E5658"/>
    <w:lvl w:ilvl="0">
      <w:start w:val="1"/>
      <w:numFmt w:val="decimal"/>
      <w:lvlText w:val="%1."/>
      <w:lvlJc w:val="left"/>
      <w:pPr>
        <w:tabs>
          <w:tab w:val="num" w:pos="720"/>
        </w:tabs>
        <w:ind w:left="720" w:hanging="360"/>
      </w:pPr>
    </w:lvl>
  </w:abstractNum>
  <w:abstractNum w:abstractNumId="7">
    <w:nsid w:val="44385A00"/>
    <w:multiLevelType w:val="hybridMultilevel"/>
    <w:tmpl w:val="5A5A9464"/>
    <w:lvl w:ilvl="0" w:tplc="30A81BB0">
      <w:start w:val="1"/>
      <w:numFmt w:val="lowerLetter"/>
      <w:lvlText w:val="%1."/>
      <w:lvlJc w:val="left"/>
      <w:pPr>
        <w:ind w:left="1828" w:hanging="360"/>
      </w:pPr>
      <w:rPr>
        <w:i w:val="0"/>
      </w:rPr>
    </w:lvl>
    <w:lvl w:ilvl="1" w:tplc="3D3EBD4A">
      <w:start w:val="1"/>
      <w:numFmt w:val="decimal"/>
      <w:lvlText w:val="%2."/>
      <w:lvlJc w:val="left"/>
      <w:pPr>
        <w:ind w:left="2548" w:hanging="360"/>
      </w:pPr>
      <w:rPr>
        <w:rFonts w:ascii="Times New Roman" w:eastAsia="Times New Roman" w:hAnsi="Times New Roman" w:cs="Times New Roman" w:hint="default"/>
      </w:rPr>
    </w:lvl>
    <w:lvl w:ilvl="2" w:tplc="0409001B">
      <w:start w:val="1"/>
      <w:numFmt w:val="lowerRoman"/>
      <w:lvlText w:val="%3."/>
      <w:lvlJc w:val="right"/>
      <w:pPr>
        <w:ind w:left="3268" w:hanging="180"/>
      </w:pPr>
    </w:lvl>
    <w:lvl w:ilvl="3" w:tplc="0409000F" w:tentative="1">
      <w:start w:val="1"/>
      <w:numFmt w:val="decimal"/>
      <w:lvlText w:val="%4."/>
      <w:lvlJc w:val="left"/>
      <w:pPr>
        <w:ind w:left="3988" w:hanging="360"/>
      </w:pPr>
    </w:lvl>
    <w:lvl w:ilvl="4" w:tplc="04090019" w:tentative="1">
      <w:start w:val="1"/>
      <w:numFmt w:val="lowerLetter"/>
      <w:lvlText w:val="%5."/>
      <w:lvlJc w:val="left"/>
      <w:pPr>
        <w:ind w:left="4708" w:hanging="360"/>
      </w:pPr>
    </w:lvl>
    <w:lvl w:ilvl="5" w:tplc="0409001B" w:tentative="1">
      <w:start w:val="1"/>
      <w:numFmt w:val="lowerRoman"/>
      <w:lvlText w:val="%6."/>
      <w:lvlJc w:val="right"/>
      <w:pPr>
        <w:ind w:left="5428" w:hanging="180"/>
      </w:pPr>
    </w:lvl>
    <w:lvl w:ilvl="6" w:tplc="0409000F" w:tentative="1">
      <w:start w:val="1"/>
      <w:numFmt w:val="decimal"/>
      <w:lvlText w:val="%7."/>
      <w:lvlJc w:val="left"/>
      <w:pPr>
        <w:ind w:left="6148" w:hanging="360"/>
      </w:pPr>
    </w:lvl>
    <w:lvl w:ilvl="7" w:tplc="04090019" w:tentative="1">
      <w:start w:val="1"/>
      <w:numFmt w:val="lowerLetter"/>
      <w:lvlText w:val="%8."/>
      <w:lvlJc w:val="left"/>
      <w:pPr>
        <w:ind w:left="6868" w:hanging="360"/>
      </w:pPr>
    </w:lvl>
    <w:lvl w:ilvl="8" w:tplc="0409001B" w:tentative="1">
      <w:start w:val="1"/>
      <w:numFmt w:val="lowerRoman"/>
      <w:lvlText w:val="%9."/>
      <w:lvlJc w:val="right"/>
      <w:pPr>
        <w:ind w:left="7588" w:hanging="180"/>
      </w:pPr>
    </w:lvl>
  </w:abstractNum>
  <w:abstractNum w:abstractNumId="8">
    <w:nsid w:val="4E0320CA"/>
    <w:multiLevelType w:val="hybridMultilevel"/>
    <w:tmpl w:val="67165206"/>
    <w:lvl w:ilvl="0" w:tplc="18B07BB6">
      <w:start w:val="1"/>
      <w:numFmt w:val="lowerLetter"/>
      <w:lvlText w:val="%1."/>
      <w:lvlJc w:val="left"/>
      <w:pPr>
        <w:ind w:left="1440" w:hanging="360"/>
      </w:pPr>
      <w:rPr>
        <w:rFonts w:ascii="Times New Roman" w:eastAsia="Times New Roman" w:hAnsi="Times New Roman" w:cs="Times New Roman"/>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start w:val="1"/>
      <w:numFmt w:val="lowerLetter"/>
      <w:lvlText w:val="%8."/>
      <w:lvlJc w:val="left"/>
      <w:pPr>
        <w:ind w:left="6480" w:hanging="360"/>
      </w:pPr>
    </w:lvl>
    <w:lvl w:ilvl="8" w:tplc="088646E8">
      <w:start w:val="1"/>
      <w:numFmt w:val="decimal"/>
      <w:lvlText w:val="%9."/>
      <w:lvlJc w:val="right"/>
      <w:pPr>
        <w:ind w:left="7200" w:hanging="180"/>
      </w:pPr>
      <w:rPr>
        <w:rFonts w:ascii="Times New Roman" w:eastAsia="Times New Roman" w:hAnsi="Times New Roman" w:cs="Times New Roman"/>
      </w:rPr>
    </w:lvl>
  </w:abstractNum>
  <w:abstractNum w:abstractNumId="9">
    <w:nsid w:val="4E316887"/>
    <w:multiLevelType w:val="hybridMultilevel"/>
    <w:tmpl w:val="6CC2B968"/>
    <w:lvl w:ilvl="0" w:tplc="D2AEF25A">
      <w:start w:val="1"/>
      <w:numFmt w:val="lowerLetter"/>
      <w:lvlText w:val="%1."/>
      <w:lvlJc w:val="left"/>
      <w:pPr>
        <w:tabs>
          <w:tab w:val="num" w:pos="930"/>
        </w:tabs>
        <w:ind w:left="930" w:hanging="570"/>
      </w:pPr>
      <w:rPr>
        <w:rFonts w:ascii="Arial" w:eastAsia="Times New Roman" w:hAnsi="Arial" w:cs="Arial" w:hint="default"/>
      </w:rPr>
    </w:lvl>
    <w:lvl w:ilvl="1" w:tplc="8236AFDA">
      <w:start w:val="1"/>
      <w:numFmt w:val="decimal"/>
      <w:lvlText w:val="%2."/>
      <w:lvlJc w:val="left"/>
      <w:pPr>
        <w:tabs>
          <w:tab w:val="num" w:pos="1440"/>
        </w:tabs>
        <w:ind w:left="1440" w:hanging="360"/>
      </w:pPr>
      <w:rPr>
        <w:rFonts w:ascii="Times New Roman" w:eastAsia="Times New Roman" w:hAnsi="Times New Roman" w:cs="Times New Roman" w:hint="default"/>
      </w:rPr>
    </w:lvl>
    <w:lvl w:ilvl="2" w:tplc="507E64AA">
      <w:start w:val="2"/>
      <w:numFmt w:val="upperLetter"/>
      <w:lvlText w:val="%3."/>
      <w:lvlJc w:val="left"/>
      <w:pPr>
        <w:tabs>
          <w:tab w:val="num" w:pos="2340"/>
        </w:tabs>
        <w:ind w:left="2340" w:hanging="360"/>
      </w:pPr>
      <w:rPr>
        <w:rFonts w:hint="default"/>
      </w:rPr>
    </w:lvl>
    <w:lvl w:ilvl="3" w:tplc="385A2578">
      <w:start w:val="1"/>
      <w:numFmt w:val="decimal"/>
      <w:lvlText w:val="%4)"/>
      <w:lvlJc w:val="left"/>
      <w:pPr>
        <w:tabs>
          <w:tab w:val="num" w:pos="2880"/>
        </w:tabs>
        <w:ind w:left="2880" w:hanging="360"/>
      </w:pPr>
      <w:rPr>
        <w:rFonts w:ascii="Arial" w:eastAsia="Times New Roman" w:hAnsi="Arial" w:cs="Arial"/>
      </w:rPr>
    </w:lvl>
    <w:lvl w:ilvl="4" w:tplc="F7A055FE">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F373291"/>
    <w:multiLevelType w:val="singleLevel"/>
    <w:tmpl w:val="14C88894"/>
    <w:lvl w:ilvl="0">
      <w:start w:val="1"/>
      <w:numFmt w:val="upperLetter"/>
      <w:lvlText w:val="%1."/>
      <w:lvlJc w:val="left"/>
      <w:pPr>
        <w:tabs>
          <w:tab w:val="num" w:pos="360"/>
        </w:tabs>
        <w:ind w:left="360" w:hanging="360"/>
      </w:pPr>
    </w:lvl>
  </w:abstractNum>
  <w:abstractNum w:abstractNumId="11">
    <w:nsid w:val="517E0A4F"/>
    <w:multiLevelType w:val="hybridMultilevel"/>
    <w:tmpl w:val="2ADA40DA"/>
    <w:lvl w:ilvl="0" w:tplc="73064DF2">
      <w:start w:val="1"/>
      <w:numFmt w:val="lowerLetter"/>
      <w:lvlText w:val="%1."/>
      <w:lvlJc w:val="left"/>
      <w:pPr>
        <w:ind w:left="720" w:hanging="36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2A86CA96">
      <w:start w:val="1"/>
      <w:numFmt w:val="decimal"/>
      <w:lvlText w:val="%3)"/>
      <w:lvlJc w:val="left"/>
      <w:pPr>
        <w:ind w:left="2340" w:hanging="360"/>
      </w:pPr>
      <w:rPr>
        <w:rFonts w:ascii="Calibri" w:eastAsia="DejaVuSans" w:hAnsi="Calibri" w:cs="DejaVuSans" w:hint="default"/>
      </w:rPr>
    </w:lvl>
    <w:lvl w:ilvl="3" w:tplc="0409000F">
      <w:start w:val="1"/>
      <w:numFmt w:val="decimal"/>
      <w:lvlText w:val="%4."/>
      <w:lvlJc w:val="left"/>
      <w:pPr>
        <w:ind w:left="2880" w:hanging="360"/>
      </w:pPr>
    </w:lvl>
    <w:lvl w:ilvl="4" w:tplc="6F4066D8">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5410EA"/>
    <w:multiLevelType w:val="singleLevel"/>
    <w:tmpl w:val="0409000F"/>
    <w:lvl w:ilvl="0">
      <w:start w:val="1"/>
      <w:numFmt w:val="decimal"/>
      <w:lvlText w:val="%1."/>
      <w:lvlJc w:val="left"/>
      <w:pPr>
        <w:tabs>
          <w:tab w:val="num" w:pos="360"/>
        </w:tabs>
        <w:ind w:left="360" w:hanging="360"/>
      </w:pPr>
    </w:lvl>
  </w:abstractNum>
  <w:abstractNum w:abstractNumId="13">
    <w:nsid w:val="736709D5"/>
    <w:multiLevelType w:val="hybridMultilevel"/>
    <w:tmpl w:val="524A672C"/>
    <w:lvl w:ilvl="0" w:tplc="67C20F68">
      <w:start w:val="1"/>
      <w:numFmt w:val="decimal"/>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799051F7"/>
    <w:multiLevelType w:val="singleLevel"/>
    <w:tmpl w:val="6264EBEA"/>
    <w:lvl w:ilvl="0">
      <w:start w:val="1"/>
      <w:numFmt w:val="upperRoman"/>
      <w:lvlText w:val="%1."/>
      <w:lvlJc w:val="left"/>
      <w:pPr>
        <w:tabs>
          <w:tab w:val="num" w:pos="720"/>
        </w:tabs>
        <w:ind w:left="720" w:hanging="720"/>
      </w:pPr>
    </w:lvl>
  </w:abstractNum>
  <w:abstractNum w:abstractNumId="15">
    <w:nsid w:val="7B1065DE"/>
    <w:multiLevelType w:val="hybridMultilevel"/>
    <w:tmpl w:val="81868D12"/>
    <w:lvl w:ilvl="0" w:tplc="97064CD0">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rPr>
        <w:rFonts w:hint="default"/>
      </w:rPr>
    </w:lvl>
    <w:lvl w:ilvl="2" w:tplc="DAC2ECEE">
      <w:start w:val="1"/>
      <w:numFmt w:val="lowerLetter"/>
      <w:lvlText w:val="%3."/>
      <w:lvlJc w:val="right"/>
      <w:pPr>
        <w:tabs>
          <w:tab w:val="num" w:pos="2520"/>
        </w:tabs>
        <w:ind w:left="2520" w:hanging="180"/>
      </w:pPr>
      <w:rPr>
        <w:rFonts w:ascii="Times New Roman" w:eastAsia="Times New Roman" w:hAnsi="Times New Roman" w:cs="Times New Roman"/>
      </w:rPr>
    </w:lvl>
    <w:lvl w:ilvl="3" w:tplc="61B6D74E">
      <w:start w:val="1"/>
      <w:numFmt w:val="decimal"/>
      <w:lvlText w:val="%4."/>
      <w:lvlJc w:val="left"/>
      <w:pPr>
        <w:tabs>
          <w:tab w:val="num" w:pos="3240"/>
        </w:tabs>
        <w:ind w:left="3240" w:hanging="360"/>
      </w:pPr>
      <w:rPr>
        <w:b w:val="0"/>
        <w:bCs/>
      </w:rPr>
    </w:lvl>
    <w:lvl w:ilvl="4" w:tplc="04090019">
      <w:start w:val="1"/>
      <w:numFmt w:val="decimal"/>
      <w:lvlText w:val="%5)"/>
      <w:lvlJc w:val="left"/>
      <w:pPr>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0"/>
    <w:lvlOverride w:ilvl="0">
      <w:startOverride w:val="1"/>
    </w:lvlOverride>
  </w:num>
  <w:num w:numId="2">
    <w:abstractNumId w:val="14"/>
    <w:lvlOverride w:ilvl="0">
      <w:startOverride w:val="1"/>
    </w:lvlOverride>
  </w:num>
  <w:num w:numId="3">
    <w:abstractNumId w:val="2"/>
  </w:num>
  <w:num w:numId="4">
    <w:abstractNumId w:val="12"/>
    <w:lvlOverride w:ilvl="0">
      <w:startOverride w:val="1"/>
    </w:lvlOverride>
  </w:num>
  <w:num w:numId="5">
    <w:abstractNumId w:val="6"/>
    <w:lvlOverride w:ilvl="0">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1"/>
  </w:num>
  <w:num w:numId="9">
    <w:abstractNumId w:val="9"/>
  </w:num>
  <w:num w:numId="10">
    <w:abstractNumId w:val="4"/>
  </w:num>
  <w:num w:numId="11">
    <w:abstractNumId w:val="15"/>
  </w:num>
  <w:num w:numId="12">
    <w:abstractNumId w:val="3"/>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0"/>
  </w:num>
  <w:num w:numId="16">
    <w:abstractNumId w:val="8"/>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embedSystemFonts/>
  <w:hideSpellingErrors/>
  <w:stylePaneFormatFilter w:val="3F01"/>
  <w:documentProtection w:edit="forms" w:formatting="1" w:enforcement="1" w:cryptProviderType="rsaFull" w:cryptAlgorithmClass="hash" w:cryptAlgorithmType="typeAny" w:cryptAlgorithmSid="4" w:cryptSpinCount="50000" w:hash="/JeZvBxUUtvo49Y8vg8cX+29SIk=" w:salt="SLNCYvAyMDTzCOLe5xkeUg=="/>
  <w:defaultTabStop w:val="720"/>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C96323"/>
    <w:rsid w:val="00002399"/>
    <w:rsid w:val="0000798A"/>
    <w:rsid w:val="0002190F"/>
    <w:rsid w:val="00021E37"/>
    <w:rsid w:val="00022294"/>
    <w:rsid w:val="00023C1A"/>
    <w:rsid w:val="000240EA"/>
    <w:rsid w:val="000321CF"/>
    <w:rsid w:val="00040469"/>
    <w:rsid w:val="0004770F"/>
    <w:rsid w:val="00054A2A"/>
    <w:rsid w:val="0007491A"/>
    <w:rsid w:val="00074C8E"/>
    <w:rsid w:val="000769B1"/>
    <w:rsid w:val="000804AC"/>
    <w:rsid w:val="0008541E"/>
    <w:rsid w:val="000A3F62"/>
    <w:rsid w:val="000A6140"/>
    <w:rsid w:val="000A638A"/>
    <w:rsid w:val="000B05DC"/>
    <w:rsid w:val="000B0838"/>
    <w:rsid w:val="000C145B"/>
    <w:rsid w:val="000D58D0"/>
    <w:rsid w:val="000D671F"/>
    <w:rsid w:val="000D68FA"/>
    <w:rsid w:val="000E3188"/>
    <w:rsid w:val="000F566E"/>
    <w:rsid w:val="000F77FE"/>
    <w:rsid w:val="001010A7"/>
    <w:rsid w:val="00102870"/>
    <w:rsid w:val="001041D1"/>
    <w:rsid w:val="00104979"/>
    <w:rsid w:val="001051AB"/>
    <w:rsid w:val="00125FFC"/>
    <w:rsid w:val="001364F6"/>
    <w:rsid w:val="0014080F"/>
    <w:rsid w:val="00140B3F"/>
    <w:rsid w:val="00145AF5"/>
    <w:rsid w:val="00150D1D"/>
    <w:rsid w:val="001579D7"/>
    <w:rsid w:val="00161196"/>
    <w:rsid w:val="00161EFD"/>
    <w:rsid w:val="001632C4"/>
    <w:rsid w:val="0016571C"/>
    <w:rsid w:val="0017074C"/>
    <w:rsid w:val="00181B29"/>
    <w:rsid w:val="001B222B"/>
    <w:rsid w:val="001B3F56"/>
    <w:rsid w:val="001B4250"/>
    <w:rsid w:val="001B721C"/>
    <w:rsid w:val="001C5D11"/>
    <w:rsid w:val="001F0995"/>
    <w:rsid w:val="001F1C48"/>
    <w:rsid w:val="00212428"/>
    <w:rsid w:val="00216665"/>
    <w:rsid w:val="002326C6"/>
    <w:rsid w:val="00233F5B"/>
    <w:rsid w:val="00243BAA"/>
    <w:rsid w:val="00244863"/>
    <w:rsid w:val="00245398"/>
    <w:rsid w:val="00247F5B"/>
    <w:rsid w:val="00250B6D"/>
    <w:rsid w:val="00263D4E"/>
    <w:rsid w:val="00263E7E"/>
    <w:rsid w:val="00270B69"/>
    <w:rsid w:val="00295BAF"/>
    <w:rsid w:val="002963D1"/>
    <w:rsid w:val="002B1E8B"/>
    <w:rsid w:val="002B38F7"/>
    <w:rsid w:val="002B7E56"/>
    <w:rsid w:val="002C09EE"/>
    <w:rsid w:val="002C2178"/>
    <w:rsid w:val="002C61B2"/>
    <w:rsid w:val="002D41FB"/>
    <w:rsid w:val="002D78BB"/>
    <w:rsid w:val="002E149D"/>
    <w:rsid w:val="002E2FF4"/>
    <w:rsid w:val="002F067D"/>
    <w:rsid w:val="002F1D5E"/>
    <w:rsid w:val="002F2682"/>
    <w:rsid w:val="002F73C6"/>
    <w:rsid w:val="00324E79"/>
    <w:rsid w:val="00347E75"/>
    <w:rsid w:val="003556A3"/>
    <w:rsid w:val="00393491"/>
    <w:rsid w:val="003B37CC"/>
    <w:rsid w:val="003B381D"/>
    <w:rsid w:val="003C0E79"/>
    <w:rsid w:val="003F0D58"/>
    <w:rsid w:val="004000AF"/>
    <w:rsid w:val="00401085"/>
    <w:rsid w:val="004016F1"/>
    <w:rsid w:val="00403FAE"/>
    <w:rsid w:val="0041204A"/>
    <w:rsid w:val="0041240C"/>
    <w:rsid w:val="00417AE7"/>
    <w:rsid w:val="00420825"/>
    <w:rsid w:val="00421545"/>
    <w:rsid w:val="004371E4"/>
    <w:rsid w:val="0044174A"/>
    <w:rsid w:val="00461146"/>
    <w:rsid w:val="004660AC"/>
    <w:rsid w:val="004735C1"/>
    <w:rsid w:val="004754D1"/>
    <w:rsid w:val="0048200F"/>
    <w:rsid w:val="00485E44"/>
    <w:rsid w:val="004A59DE"/>
    <w:rsid w:val="004C4A50"/>
    <w:rsid w:val="004D0BB5"/>
    <w:rsid w:val="004D3FD8"/>
    <w:rsid w:val="004F2CE5"/>
    <w:rsid w:val="004F594F"/>
    <w:rsid w:val="004F5FE5"/>
    <w:rsid w:val="004F7E1D"/>
    <w:rsid w:val="00500481"/>
    <w:rsid w:val="0050341A"/>
    <w:rsid w:val="0050345D"/>
    <w:rsid w:val="00507060"/>
    <w:rsid w:val="00512997"/>
    <w:rsid w:val="00515B50"/>
    <w:rsid w:val="0052036A"/>
    <w:rsid w:val="00523762"/>
    <w:rsid w:val="00540096"/>
    <w:rsid w:val="005403EC"/>
    <w:rsid w:val="00560DCA"/>
    <w:rsid w:val="00566D6B"/>
    <w:rsid w:val="00582731"/>
    <w:rsid w:val="00583175"/>
    <w:rsid w:val="00583A8D"/>
    <w:rsid w:val="00597471"/>
    <w:rsid w:val="005B78BF"/>
    <w:rsid w:val="005C638F"/>
    <w:rsid w:val="005D2D39"/>
    <w:rsid w:val="005D370B"/>
    <w:rsid w:val="005D53C8"/>
    <w:rsid w:val="005E030A"/>
    <w:rsid w:val="005E0F98"/>
    <w:rsid w:val="005E2C05"/>
    <w:rsid w:val="00600B85"/>
    <w:rsid w:val="00601B48"/>
    <w:rsid w:val="0060257A"/>
    <w:rsid w:val="0061658C"/>
    <w:rsid w:val="00621BA5"/>
    <w:rsid w:val="00627A00"/>
    <w:rsid w:val="00631F9F"/>
    <w:rsid w:val="00635FC9"/>
    <w:rsid w:val="00640831"/>
    <w:rsid w:val="00641F0E"/>
    <w:rsid w:val="00643D30"/>
    <w:rsid w:val="00643DC3"/>
    <w:rsid w:val="00651CF9"/>
    <w:rsid w:val="00652487"/>
    <w:rsid w:val="006544EE"/>
    <w:rsid w:val="00674FB5"/>
    <w:rsid w:val="006802D0"/>
    <w:rsid w:val="006823BE"/>
    <w:rsid w:val="006825F8"/>
    <w:rsid w:val="00682B44"/>
    <w:rsid w:val="006844EB"/>
    <w:rsid w:val="00690108"/>
    <w:rsid w:val="00691290"/>
    <w:rsid w:val="006953F3"/>
    <w:rsid w:val="006A23E8"/>
    <w:rsid w:val="006A2F4F"/>
    <w:rsid w:val="006A39A0"/>
    <w:rsid w:val="006C24EE"/>
    <w:rsid w:val="006C444D"/>
    <w:rsid w:val="006C5466"/>
    <w:rsid w:val="006C589A"/>
    <w:rsid w:val="006C75BE"/>
    <w:rsid w:val="006D1B64"/>
    <w:rsid w:val="006D6C73"/>
    <w:rsid w:val="006E0E54"/>
    <w:rsid w:val="006E7B69"/>
    <w:rsid w:val="00700BA8"/>
    <w:rsid w:val="00706EA9"/>
    <w:rsid w:val="007114E7"/>
    <w:rsid w:val="00722AF3"/>
    <w:rsid w:val="00724B5A"/>
    <w:rsid w:val="00731763"/>
    <w:rsid w:val="00745D0C"/>
    <w:rsid w:val="00750610"/>
    <w:rsid w:val="0075311B"/>
    <w:rsid w:val="007606CB"/>
    <w:rsid w:val="00761830"/>
    <w:rsid w:val="00770026"/>
    <w:rsid w:val="0077191F"/>
    <w:rsid w:val="00771F36"/>
    <w:rsid w:val="00776A4C"/>
    <w:rsid w:val="00797702"/>
    <w:rsid w:val="007A642A"/>
    <w:rsid w:val="007C3C8D"/>
    <w:rsid w:val="007D1585"/>
    <w:rsid w:val="007D7A81"/>
    <w:rsid w:val="0080428B"/>
    <w:rsid w:val="008157E6"/>
    <w:rsid w:val="008166DE"/>
    <w:rsid w:val="00816D6F"/>
    <w:rsid w:val="00817150"/>
    <w:rsid w:val="00820682"/>
    <w:rsid w:val="008215AE"/>
    <w:rsid w:val="00834BA3"/>
    <w:rsid w:val="00836AAC"/>
    <w:rsid w:val="0084601F"/>
    <w:rsid w:val="008603EB"/>
    <w:rsid w:val="00865784"/>
    <w:rsid w:val="008928EF"/>
    <w:rsid w:val="00893285"/>
    <w:rsid w:val="008A776F"/>
    <w:rsid w:val="008B02C0"/>
    <w:rsid w:val="008B7566"/>
    <w:rsid w:val="008C15EA"/>
    <w:rsid w:val="008D0548"/>
    <w:rsid w:val="008D214B"/>
    <w:rsid w:val="008E4381"/>
    <w:rsid w:val="008F3FA3"/>
    <w:rsid w:val="00901D13"/>
    <w:rsid w:val="009342BD"/>
    <w:rsid w:val="00934309"/>
    <w:rsid w:val="00943B2D"/>
    <w:rsid w:val="00951C90"/>
    <w:rsid w:val="00957C65"/>
    <w:rsid w:val="00980860"/>
    <w:rsid w:val="00984D11"/>
    <w:rsid w:val="00984DB9"/>
    <w:rsid w:val="00992ADF"/>
    <w:rsid w:val="00993D38"/>
    <w:rsid w:val="009D143E"/>
    <w:rsid w:val="009E1187"/>
    <w:rsid w:val="009E3ED7"/>
    <w:rsid w:val="00A001EE"/>
    <w:rsid w:val="00A16600"/>
    <w:rsid w:val="00A248F0"/>
    <w:rsid w:val="00A24F55"/>
    <w:rsid w:val="00A2589D"/>
    <w:rsid w:val="00A37AC0"/>
    <w:rsid w:val="00A4382C"/>
    <w:rsid w:val="00A52380"/>
    <w:rsid w:val="00A54A94"/>
    <w:rsid w:val="00A5550B"/>
    <w:rsid w:val="00A905EB"/>
    <w:rsid w:val="00AB5E23"/>
    <w:rsid w:val="00AC5B2D"/>
    <w:rsid w:val="00AD0DF8"/>
    <w:rsid w:val="00AD55A7"/>
    <w:rsid w:val="00AE1AE0"/>
    <w:rsid w:val="00AE45EF"/>
    <w:rsid w:val="00AF7524"/>
    <w:rsid w:val="00B00CA0"/>
    <w:rsid w:val="00B12316"/>
    <w:rsid w:val="00B33017"/>
    <w:rsid w:val="00B33142"/>
    <w:rsid w:val="00B366A7"/>
    <w:rsid w:val="00B4447D"/>
    <w:rsid w:val="00B4508D"/>
    <w:rsid w:val="00B51FE4"/>
    <w:rsid w:val="00B66137"/>
    <w:rsid w:val="00B7023A"/>
    <w:rsid w:val="00B823FB"/>
    <w:rsid w:val="00B86F26"/>
    <w:rsid w:val="00BB63B4"/>
    <w:rsid w:val="00BC11B0"/>
    <w:rsid w:val="00BC4617"/>
    <w:rsid w:val="00BD66E2"/>
    <w:rsid w:val="00BE589E"/>
    <w:rsid w:val="00BF3828"/>
    <w:rsid w:val="00BF40CC"/>
    <w:rsid w:val="00C000D2"/>
    <w:rsid w:val="00C002DB"/>
    <w:rsid w:val="00C03B2A"/>
    <w:rsid w:val="00C10E87"/>
    <w:rsid w:val="00C217BB"/>
    <w:rsid w:val="00C517C1"/>
    <w:rsid w:val="00C6779B"/>
    <w:rsid w:val="00C834EA"/>
    <w:rsid w:val="00C93690"/>
    <w:rsid w:val="00C94E43"/>
    <w:rsid w:val="00C96323"/>
    <w:rsid w:val="00CA3450"/>
    <w:rsid w:val="00CB11AE"/>
    <w:rsid w:val="00CB1355"/>
    <w:rsid w:val="00CB3AF2"/>
    <w:rsid w:val="00CB685D"/>
    <w:rsid w:val="00CB6D8F"/>
    <w:rsid w:val="00CC79E9"/>
    <w:rsid w:val="00CD1969"/>
    <w:rsid w:val="00CE1234"/>
    <w:rsid w:val="00CE4DB7"/>
    <w:rsid w:val="00CF0CA2"/>
    <w:rsid w:val="00D046B7"/>
    <w:rsid w:val="00D0562A"/>
    <w:rsid w:val="00D10D93"/>
    <w:rsid w:val="00D11A25"/>
    <w:rsid w:val="00D12948"/>
    <w:rsid w:val="00D134BF"/>
    <w:rsid w:val="00D13D85"/>
    <w:rsid w:val="00D2302D"/>
    <w:rsid w:val="00D37C86"/>
    <w:rsid w:val="00D5011F"/>
    <w:rsid w:val="00D6706C"/>
    <w:rsid w:val="00D67796"/>
    <w:rsid w:val="00D80400"/>
    <w:rsid w:val="00D840AA"/>
    <w:rsid w:val="00D86DE0"/>
    <w:rsid w:val="00D937A3"/>
    <w:rsid w:val="00DB5F2C"/>
    <w:rsid w:val="00DD31E3"/>
    <w:rsid w:val="00DE4D55"/>
    <w:rsid w:val="00E052C2"/>
    <w:rsid w:val="00E10660"/>
    <w:rsid w:val="00E160AB"/>
    <w:rsid w:val="00E23A0E"/>
    <w:rsid w:val="00E604E5"/>
    <w:rsid w:val="00E6788D"/>
    <w:rsid w:val="00E85243"/>
    <w:rsid w:val="00E85BC7"/>
    <w:rsid w:val="00E85E6E"/>
    <w:rsid w:val="00EA08DA"/>
    <w:rsid w:val="00EA572E"/>
    <w:rsid w:val="00EA7716"/>
    <w:rsid w:val="00EC3E9C"/>
    <w:rsid w:val="00EC4CD8"/>
    <w:rsid w:val="00EC7DB9"/>
    <w:rsid w:val="00ED6B0A"/>
    <w:rsid w:val="00ED713A"/>
    <w:rsid w:val="00EF216E"/>
    <w:rsid w:val="00F07ABF"/>
    <w:rsid w:val="00F12F85"/>
    <w:rsid w:val="00F30170"/>
    <w:rsid w:val="00F33769"/>
    <w:rsid w:val="00F505D1"/>
    <w:rsid w:val="00F5182C"/>
    <w:rsid w:val="00F53586"/>
    <w:rsid w:val="00F61346"/>
    <w:rsid w:val="00F62902"/>
    <w:rsid w:val="00F661CF"/>
    <w:rsid w:val="00F778E7"/>
    <w:rsid w:val="00F83B03"/>
    <w:rsid w:val="00F86957"/>
    <w:rsid w:val="00F94C10"/>
    <w:rsid w:val="00FB6E0D"/>
    <w:rsid w:val="00FC2EE7"/>
    <w:rsid w:val="00FD55B1"/>
    <w:rsid w:val="00FE1784"/>
    <w:rsid w:val="00FE33F1"/>
    <w:rsid w:val="00FE642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footnote text"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4A2A"/>
    <w:rPr>
      <w:sz w:val="24"/>
      <w:szCs w:val="24"/>
      <w:lang w:val="en-US" w:eastAsia="en-US"/>
    </w:rPr>
  </w:style>
  <w:style w:type="paragraph" w:styleId="Heading1">
    <w:name w:val="heading 1"/>
    <w:basedOn w:val="Normal"/>
    <w:next w:val="Normal"/>
    <w:qFormat/>
    <w:rsid w:val="00C96323"/>
    <w:pPr>
      <w:keepNext/>
      <w:spacing w:line="480" w:lineRule="auto"/>
      <w:jc w:val="center"/>
      <w:outlineLvl w:val="0"/>
    </w:pPr>
    <w:rPr>
      <w:rFonts w:ascii="Arial" w:hAnsi="Arial"/>
      <w:b/>
      <w:szCs w:val="20"/>
    </w:rPr>
  </w:style>
  <w:style w:type="paragraph" w:styleId="Heading2">
    <w:name w:val="heading 2"/>
    <w:basedOn w:val="Normal"/>
    <w:next w:val="Normal"/>
    <w:qFormat/>
    <w:rsid w:val="00C96323"/>
    <w:pPr>
      <w:keepNext/>
      <w:numPr>
        <w:numId w:val="1"/>
      </w:numPr>
      <w:outlineLvl w:val="1"/>
    </w:pPr>
    <w:rPr>
      <w:rFonts w:ascii="Bookman Old Style" w:hAnsi="Bookman Old Style"/>
      <w:b/>
      <w:szCs w:val="20"/>
    </w:rPr>
  </w:style>
  <w:style w:type="paragraph" w:styleId="Heading3">
    <w:name w:val="heading 3"/>
    <w:basedOn w:val="Normal"/>
    <w:next w:val="Normal"/>
    <w:qFormat/>
    <w:rsid w:val="00C96323"/>
    <w:pPr>
      <w:keepNext/>
      <w:numPr>
        <w:numId w:val="2"/>
      </w:numPr>
      <w:tabs>
        <w:tab w:val="left" w:pos="993"/>
        <w:tab w:val="left" w:pos="1418"/>
        <w:tab w:val="left" w:pos="1701"/>
      </w:tabs>
      <w:spacing w:line="480" w:lineRule="auto"/>
      <w:jc w:val="both"/>
      <w:outlineLvl w:val="2"/>
    </w:pPr>
    <w:rPr>
      <w:rFonts w:ascii="Bookman Old Style" w:hAnsi="Bookman Old Style"/>
      <w:b/>
      <w:szCs w:val="20"/>
    </w:rPr>
  </w:style>
  <w:style w:type="paragraph" w:styleId="Heading4">
    <w:name w:val="heading 4"/>
    <w:basedOn w:val="Normal"/>
    <w:next w:val="Normal"/>
    <w:qFormat/>
    <w:rsid w:val="00C96323"/>
    <w:pPr>
      <w:keepNext/>
      <w:numPr>
        <w:ilvl w:val="1"/>
        <w:numId w:val="3"/>
      </w:numPr>
      <w:spacing w:line="528" w:lineRule="auto"/>
      <w:ind w:left="374"/>
      <w:jc w:val="both"/>
      <w:outlineLvl w:val="3"/>
    </w:pPr>
    <w:rPr>
      <w:rFonts w:ascii="Bookman Old Style" w:hAnsi="Bookman Old Style"/>
      <w:b/>
    </w:rPr>
  </w:style>
  <w:style w:type="paragraph" w:styleId="Heading5">
    <w:name w:val="heading 5"/>
    <w:basedOn w:val="Normal"/>
    <w:next w:val="Normal"/>
    <w:qFormat/>
    <w:rsid w:val="00C96323"/>
    <w:pPr>
      <w:keepNext/>
      <w:numPr>
        <w:numId w:val="4"/>
      </w:numPr>
      <w:tabs>
        <w:tab w:val="num" w:pos="426"/>
      </w:tabs>
      <w:spacing w:line="480" w:lineRule="auto"/>
      <w:jc w:val="both"/>
      <w:outlineLvl w:val="4"/>
    </w:pPr>
    <w:rPr>
      <w:rFonts w:ascii="Bookman Old Style" w:hAnsi="Bookman Old Style"/>
      <w:b/>
      <w:szCs w:val="20"/>
    </w:rPr>
  </w:style>
  <w:style w:type="paragraph" w:styleId="Heading6">
    <w:name w:val="heading 6"/>
    <w:basedOn w:val="Normal"/>
    <w:next w:val="Normal"/>
    <w:qFormat/>
    <w:rsid w:val="00C96323"/>
    <w:pPr>
      <w:keepNext/>
      <w:numPr>
        <w:ilvl w:val="1"/>
        <w:numId w:val="5"/>
      </w:numPr>
      <w:tabs>
        <w:tab w:val="left" w:pos="374"/>
      </w:tabs>
      <w:spacing w:line="480" w:lineRule="auto"/>
      <w:ind w:left="374"/>
      <w:outlineLvl w:val="5"/>
    </w:pPr>
    <w:rPr>
      <w:rFonts w:ascii="Bookman Old Style" w:hAnsi="Bookman Old Style"/>
      <w:b/>
      <w:bCs/>
    </w:rPr>
  </w:style>
  <w:style w:type="paragraph" w:styleId="Heading8">
    <w:name w:val="heading 8"/>
    <w:basedOn w:val="Normal"/>
    <w:next w:val="Normal"/>
    <w:qFormat/>
    <w:rsid w:val="00054A2A"/>
    <w:pPr>
      <w:spacing w:before="240" w:after="60"/>
      <w:outlineLvl w:val="7"/>
    </w:pPr>
    <w:rPr>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rsid w:val="00C96323"/>
    <w:pPr>
      <w:tabs>
        <w:tab w:val="left" w:pos="709"/>
      </w:tabs>
      <w:spacing w:line="480" w:lineRule="auto"/>
      <w:jc w:val="both"/>
    </w:pPr>
    <w:rPr>
      <w:rFonts w:ascii="Bookman Old Style" w:hAnsi="Bookman Old Style"/>
      <w:szCs w:val="20"/>
    </w:rPr>
  </w:style>
  <w:style w:type="character" w:styleId="FootnoteReference">
    <w:name w:val="footnote reference"/>
    <w:aliases w:val="BVI fnr,Footnote Reference1"/>
    <w:rsid w:val="00C96323"/>
    <w:rPr>
      <w:vertAlign w:val="superscript"/>
    </w:rPr>
  </w:style>
  <w:style w:type="paragraph" w:styleId="BodyTextIndent">
    <w:name w:val="Body Text Indent"/>
    <w:basedOn w:val="Normal"/>
    <w:link w:val="BodyTextIndentChar"/>
    <w:rsid w:val="00C96323"/>
    <w:pPr>
      <w:tabs>
        <w:tab w:val="right" w:pos="0"/>
      </w:tabs>
      <w:spacing w:line="480" w:lineRule="auto"/>
      <w:jc w:val="both"/>
    </w:pPr>
    <w:rPr>
      <w:szCs w:val="20"/>
    </w:rPr>
  </w:style>
  <w:style w:type="paragraph" w:styleId="BodyTextIndent2">
    <w:name w:val="Body Text Indent 2"/>
    <w:basedOn w:val="Normal"/>
    <w:rsid w:val="00C96323"/>
    <w:pPr>
      <w:spacing w:line="480" w:lineRule="auto"/>
      <w:ind w:left="720"/>
      <w:jc w:val="both"/>
    </w:pPr>
    <w:rPr>
      <w:szCs w:val="20"/>
    </w:rPr>
  </w:style>
  <w:style w:type="paragraph" w:styleId="BodyTextIndent3">
    <w:name w:val="Body Text Indent 3"/>
    <w:basedOn w:val="Normal"/>
    <w:link w:val="BodyTextIndent3Char"/>
    <w:rsid w:val="00C96323"/>
    <w:pPr>
      <w:tabs>
        <w:tab w:val="left" w:pos="1276"/>
        <w:tab w:val="left" w:pos="1560"/>
        <w:tab w:val="left" w:pos="1701"/>
      </w:tabs>
      <w:spacing w:line="480" w:lineRule="auto"/>
      <w:ind w:left="426"/>
    </w:pPr>
    <w:rPr>
      <w:szCs w:val="20"/>
    </w:rPr>
  </w:style>
  <w:style w:type="paragraph" w:styleId="FootnoteText">
    <w:name w:val="footnote text"/>
    <w:aliases w:val=" Char,Char, Char Char Char Char, Char Char Char, Char Char,Footnote Text Char Char,Char Char Char1,Char Char Char Char Char Char1,Char Char Char Char1,Char Char Char Char Char,Char Char Char,Char Char Char Char,Char Char Char Ch"/>
    <w:basedOn w:val="Normal"/>
    <w:link w:val="FootnoteTextChar"/>
    <w:qFormat/>
    <w:rsid w:val="00C96323"/>
    <w:rPr>
      <w:sz w:val="20"/>
      <w:szCs w:val="20"/>
    </w:rPr>
  </w:style>
  <w:style w:type="paragraph" w:styleId="Header">
    <w:name w:val="header"/>
    <w:basedOn w:val="Normal"/>
    <w:link w:val="HeaderChar"/>
    <w:uiPriority w:val="99"/>
    <w:rsid w:val="00C96323"/>
    <w:pPr>
      <w:tabs>
        <w:tab w:val="center" w:pos="4320"/>
        <w:tab w:val="right" w:pos="8640"/>
      </w:tabs>
    </w:pPr>
  </w:style>
  <w:style w:type="character" w:styleId="PageNumber">
    <w:name w:val="page number"/>
    <w:basedOn w:val="DefaultParagraphFont"/>
    <w:rsid w:val="00C96323"/>
  </w:style>
  <w:style w:type="paragraph" w:styleId="BodyText2">
    <w:name w:val="Body Text 2"/>
    <w:basedOn w:val="Normal"/>
    <w:link w:val="BodyText2Char"/>
    <w:rsid w:val="00C96323"/>
    <w:pPr>
      <w:ind w:right="187"/>
      <w:jc w:val="both"/>
    </w:pPr>
    <w:rPr>
      <w:rFonts w:ascii="Bookman Old Style" w:hAnsi="Bookman Old Style"/>
      <w:bCs/>
    </w:rPr>
  </w:style>
  <w:style w:type="paragraph" w:styleId="Footer">
    <w:name w:val="footer"/>
    <w:basedOn w:val="Normal"/>
    <w:link w:val="FooterChar"/>
    <w:uiPriority w:val="99"/>
    <w:rsid w:val="00724B5A"/>
    <w:pPr>
      <w:tabs>
        <w:tab w:val="center" w:pos="4320"/>
        <w:tab w:val="right" w:pos="8640"/>
      </w:tabs>
    </w:pPr>
  </w:style>
  <w:style w:type="paragraph" w:styleId="BodyText3">
    <w:name w:val="Body Text 3"/>
    <w:basedOn w:val="Normal"/>
    <w:link w:val="BodyText3Char"/>
    <w:rsid w:val="00C217BB"/>
    <w:pPr>
      <w:spacing w:after="120"/>
    </w:pPr>
    <w:rPr>
      <w:sz w:val="16"/>
      <w:szCs w:val="16"/>
    </w:rPr>
  </w:style>
  <w:style w:type="paragraph" w:styleId="Title">
    <w:name w:val="Title"/>
    <w:basedOn w:val="Normal"/>
    <w:link w:val="TitleChar"/>
    <w:qFormat/>
    <w:rsid w:val="0044174A"/>
    <w:pPr>
      <w:spacing w:line="480" w:lineRule="auto"/>
      <w:jc w:val="center"/>
    </w:pPr>
    <w:rPr>
      <w:b/>
      <w:bCs/>
    </w:rPr>
  </w:style>
  <w:style w:type="character" w:customStyle="1" w:styleId="FootnoteTextChar">
    <w:name w:val="Footnote Text Char"/>
    <w:aliases w:val="Char Char,Char Char1, Char Char Char Char Char, Char Char Char Char1,Footnote Text Char1 Char,Footnote Text Char Char Char,Char Char Char1 Char,Char Char Char Char Char Char1 Char,Char Char Char Char1 Char,Char Char1 Char, Char Char1"/>
    <w:link w:val="FootnoteText"/>
    <w:locked/>
    <w:rsid w:val="001F1C48"/>
    <w:rPr>
      <w:lang w:val="en-US" w:eastAsia="en-US" w:bidi="ar-SA"/>
    </w:rPr>
  </w:style>
  <w:style w:type="character" w:styleId="Hyperlink">
    <w:name w:val="Hyperlink"/>
    <w:rsid w:val="002D41FB"/>
    <w:rPr>
      <w:color w:val="0000FF"/>
      <w:u w:val="single"/>
    </w:rPr>
  </w:style>
  <w:style w:type="character" w:customStyle="1" w:styleId="FootnoteTextChar1">
    <w:name w:val="Footnote Text Char1"/>
    <w:basedOn w:val="DefaultParagraphFont"/>
    <w:semiHidden/>
    <w:rsid w:val="002D41FB"/>
  </w:style>
  <w:style w:type="character" w:customStyle="1" w:styleId="BodyTextIndentChar">
    <w:name w:val="Body Text Indent Char"/>
    <w:link w:val="BodyTextIndent"/>
    <w:rsid w:val="007D7A81"/>
    <w:rPr>
      <w:sz w:val="24"/>
      <w:lang w:val="en-US" w:eastAsia="en-US"/>
    </w:rPr>
  </w:style>
  <w:style w:type="character" w:customStyle="1" w:styleId="BodyText2Char">
    <w:name w:val="Body Text 2 Char"/>
    <w:link w:val="BodyText2"/>
    <w:rsid w:val="007D7A81"/>
    <w:rPr>
      <w:rFonts w:ascii="Bookman Old Style" w:hAnsi="Bookman Old Style"/>
      <w:bCs/>
      <w:sz w:val="24"/>
      <w:szCs w:val="24"/>
      <w:lang w:val="en-US" w:eastAsia="en-US"/>
    </w:rPr>
  </w:style>
  <w:style w:type="character" w:customStyle="1" w:styleId="BodyTextChar">
    <w:name w:val="Body Text Char"/>
    <w:link w:val="BodyText"/>
    <w:rsid w:val="007D7A81"/>
    <w:rPr>
      <w:rFonts w:ascii="Bookman Old Style" w:hAnsi="Bookman Old Style"/>
      <w:sz w:val="24"/>
      <w:lang w:val="en-US" w:eastAsia="en-US"/>
    </w:rPr>
  </w:style>
  <w:style w:type="character" w:customStyle="1" w:styleId="fullpost">
    <w:name w:val="fullpost"/>
    <w:basedOn w:val="DefaultParagraphFont"/>
    <w:rsid w:val="00D10D93"/>
  </w:style>
  <w:style w:type="paragraph" w:styleId="NormalWeb">
    <w:name w:val="Normal (Web)"/>
    <w:basedOn w:val="Normal"/>
    <w:uiPriority w:val="99"/>
    <w:rsid w:val="00D10D93"/>
    <w:pPr>
      <w:spacing w:before="100" w:beforeAutospacing="1" w:after="100" w:afterAutospacing="1"/>
    </w:pPr>
  </w:style>
  <w:style w:type="character" w:styleId="Emphasis">
    <w:name w:val="Emphasis"/>
    <w:uiPriority w:val="20"/>
    <w:qFormat/>
    <w:rsid w:val="00D10D93"/>
    <w:rPr>
      <w:i/>
      <w:iCs/>
    </w:rPr>
  </w:style>
  <w:style w:type="paragraph" w:customStyle="1" w:styleId="Default">
    <w:name w:val="Default"/>
    <w:rsid w:val="00CC79E9"/>
    <w:pPr>
      <w:autoSpaceDE w:val="0"/>
      <w:autoSpaceDN w:val="0"/>
      <w:adjustRightInd w:val="0"/>
    </w:pPr>
    <w:rPr>
      <w:rFonts w:ascii="Bookman Old Style" w:hAnsi="Bookman Old Style" w:cs="Bookman Old Style"/>
      <w:color w:val="000000"/>
      <w:sz w:val="24"/>
      <w:szCs w:val="24"/>
    </w:rPr>
  </w:style>
  <w:style w:type="paragraph" w:styleId="ListParagraph">
    <w:name w:val="List Paragraph"/>
    <w:aliases w:val="Body of text,Body Text Char1,Char Char2,kepala,skripsi"/>
    <w:basedOn w:val="Normal"/>
    <w:link w:val="ListParagraphChar"/>
    <w:qFormat/>
    <w:rsid w:val="008C15EA"/>
    <w:pPr>
      <w:spacing w:after="200" w:line="276" w:lineRule="auto"/>
      <w:ind w:left="720"/>
      <w:contextualSpacing/>
    </w:pPr>
    <w:rPr>
      <w:rFonts w:ascii="Calibri" w:eastAsia="Calibri" w:hAnsi="Calibri"/>
      <w:sz w:val="22"/>
      <w:szCs w:val="22"/>
      <w:lang w:val="id-ID"/>
    </w:rPr>
  </w:style>
  <w:style w:type="character" w:customStyle="1" w:styleId="st">
    <w:name w:val="st"/>
    <w:basedOn w:val="DefaultParagraphFont"/>
    <w:rsid w:val="008C15EA"/>
  </w:style>
  <w:style w:type="character" w:customStyle="1" w:styleId="heading2char">
    <w:name w:val="heading2char"/>
    <w:basedOn w:val="DefaultParagraphFont"/>
    <w:rsid w:val="008C15EA"/>
  </w:style>
  <w:style w:type="character" w:customStyle="1" w:styleId="a">
    <w:name w:val="a"/>
    <w:basedOn w:val="DefaultParagraphFont"/>
    <w:rsid w:val="008C15EA"/>
  </w:style>
  <w:style w:type="character" w:customStyle="1" w:styleId="l6">
    <w:name w:val="l6"/>
    <w:basedOn w:val="DefaultParagraphFont"/>
    <w:rsid w:val="008C15EA"/>
  </w:style>
  <w:style w:type="character" w:customStyle="1" w:styleId="l8">
    <w:name w:val="l8"/>
    <w:basedOn w:val="DefaultParagraphFont"/>
    <w:rsid w:val="008C15EA"/>
  </w:style>
  <w:style w:type="character" w:customStyle="1" w:styleId="l7">
    <w:name w:val="l7"/>
    <w:basedOn w:val="DefaultParagraphFont"/>
    <w:rsid w:val="008C15EA"/>
  </w:style>
  <w:style w:type="character" w:customStyle="1" w:styleId="l12">
    <w:name w:val="l12"/>
    <w:basedOn w:val="DefaultParagraphFont"/>
    <w:rsid w:val="008C15EA"/>
  </w:style>
  <w:style w:type="character" w:customStyle="1" w:styleId="skimlinks-unlinked">
    <w:name w:val="skimlinks-unlinked"/>
    <w:basedOn w:val="DefaultParagraphFont"/>
    <w:rsid w:val="00A2589D"/>
  </w:style>
  <w:style w:type="character" w:customStyle="1" w:styleId="CharacterStyle3">
    <w:name w:val="Character Style 3"/>
    <w:rsid w:val="00FC2EE7"/>
    <w:rPr>
      <w:sz w:val="20"/>
    </w:rPr>
  </w:style>
  <w:style w:type="paragraph" w:customStyle="1" w:styleId="Style17">
    <w:name w:val="Style 17"/>
    <w:basedOn w:val="Normal"/>
    <w:rsid w:val="00FC2EE7"/>
    <w:pPr>
      <w:widowControl w:val="0"/>
      <w:autoSpaceDE w:val="0"/>
      <w:autoSpaceDN w:val="0"/>
      <w:spacing w:before="144" w:line="384" w:lineRule="exact"/>
      <w:ind w:left="720" w:firstLine="720"/>
      <w:jc w:val="both"/>
    </w:pPr>
    <w:rPr>
      <w:lang w:val="id-ID" w:eastAsia="id-ID"/>
    </w:rPr>
  </w:style>
  <w:style w:type="paragraph" w:customStyle="1" w:styleId="Style33">
    <w:name w:val="Style 33"/>
    <w:basedOn w:val="Normal"/>
    <w:rsid w:val="00FC2EE7"/>
    <w:pPr>
      <w:widowControl w:val="0"/>
      <w:autoSpaceDE w:val="0"/>
      <w:autoSpaceDN w:val="0"/>
      <w:adjustRightInd w:val="0"/>
    </w:pPr>
    <w:rPr>
      <w:sz w:val="20"/>
      <w:szCs w:val="20"/>
      <w:lang w:val="id-ID" w:eastAsia="id-ID"/>
    </w:rPr>
  </w:style>
  <w:style w:type="character" w:customStyle="1" w:styleId="CharacterStyle1">
    <w:name w:val="Character Style 1"/>
    <w:rsid w:val="00FC2EE7"/>
    <w:rPr>
      <w:sz w:val="24"/>
    </w:rPr>
  </w:style>
  <w:style w:type="paragraph" w:customStyle="1" w:styleId="Style18">
    <w:name w:val="Style 18"/>
    <w:basedOn w:val="Normal"/>
    <w:rsid w:val="00FC2EE7"/>
    <w:pPr>
      <w:widowControl w:val="0"/>
      <w:autoSpaceDE w:val="0"/>
      <w:autoSpaceDN w:val="0"/>
      <w:spacing w:before="108" w:line="372" w:lineRule="exact"/>
      <w:ind w:left="360"/>
      <w:jc w:val="both"/>
    </w:pPr>
    <w:rPr>
      <w:lang w:val="id-ID" w:eastAsia="id-ID"/>
    </w:rPr>
  </w:style>
  <w:style w:type="paragraph" w:customStyle="1" w:styleId="Style19">
    <w:name w:val="Style 19"/>
    <w:basedOn w:val="Normal"/>
    <w:rsid w:val="00FC2EE7"/>
    <w:pPr>
      <w:widowControl w:val="0"/>
      <w:autoSpaceDE w:val="0"/>
      <w:autoSpaceDN w:val="0"/>
      <w:spacing w:before="144" w:line="360" w:lineRule="auto"/>
      <w:ind w:left="1440" w:right="216"/>
      <w:jc w:val="both"/>
    </w:pPr>
    <w:rPr>
      <w:lang w:val="id-ID" w:eastAsia="id-ID"/>
    </w:rPr>
  </w:style>
  <w:style w:type="character" w:styleId="Strong">
    <w:name w:val="Strong"/>
    <w:uiPriority w:val="22"/>
    <w:qFormat/>
    <w:rsid w:val="0002190F"/>
    <w:rPr>
      <w:b/>
      <w:bCs/>
    </w:rPr>
  </w:style>
  <w:style w:type="character" w:customStyle="1" w:styleId="BodyTextIndent3Char">
    <w:name w:val="Body Text Indent 3 Char"/>
    <w:link w:val="BodyTextIndent3"/>
    <w:rsid w:val="00515B50"/>
    <w:rPr>
      <w:sz w:val="24"/>
    </w:rPr>
  </w:style>
  <w:style w:type="character" w:customStyle="1" w:styleId="url">
    <w:name w:val="url"/>
    <w:basedOn w:val="DefaultParagraphFont"/>
    <w:rsid w:val="006953F3"/>
  </w:style>
  <w:style w:type="table" w:styleId="TableGrid">
    <w:name w:val="Table Grid"/>
    <w:basedOn w:val="TableNormal"/>
    <w:rsid w:val="00250B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uiPriority w:val="99"/>
    <w:rsid w:val="00F5182C"/>
    <w:pPr>
      <w:spacing w:after="160" w:line="240" w:lineRule="exact"/>
    </w:pPr>
    <w:rPr>
      <w:rFonts w:ascii="Calibri" w:eastAsia="MS Mincho" w:hAnsi="Calibri" w:cs="Calibri"/>
      <w:noProof/>
      <w:color w:val="000000"/>
      <w:sz w:val="20"/>
      <w:szCs w:val="20"/>
      <w:lang w:val="id-ID" w:eastAsia="id-ID"/>
    </w:rPr>
  </w:style>
  <w:style w:type="character" w:customStyle="1" w:styleId="UnresolvedMention">
    <w:name w:val="Unresolved Mention"/>
    <w:uiPriority w:val="99"/>
    <w:semiHidden/>
    <w:unhideWhenUsed/>
    <w:rsid w:val="00797702"/>
    <w:rPr>
      <w:color w:val="605E5C"/>
      <w:shd w:val="clear" w:color="auto" w:fill="E1DFDD"/>
    </w:rPr>
  </w:style>
  <w:style w:type="character" w:customStyle="1" w:styleId="markedcontent">
    <w:name w:val="markedcontent"/>
    <w:rsid w:val="00263E7E"/>
  </w:style>
  <w:style w:type="paragraph" w:styleId="BalloonText">
    <w:name w:val="Balloon Text"/>
    <w:basedOn w:val="Normal"/>
    <w:link w:val="BalloonTextChar"/>
    <w:rsid w:val="00263E7E"/>
    <w:rPr>
      <w:rFonts w:ascii="Segoe UI" w:hAnsi="Segoe UI" w:cs="Segoe UI"/>
      <w:sz w:val="18"/>
      <w:szCs w:val="18"/>
    </w:rPr>
  </w:style>
  <w:style w:type="character" w:customStyle="1" w:styleId="BalloonTextChar">
    <w:name w:val="Balloon Text Char"/>
    <w:link w:val="BalloonText"/>
    <w:rsid w:val="00263E7E"/>
    <w:rPr>
      <w:rFonts w:ascii="Segoe UI" w:hAnsi="Segoe UI" w:cs="Segoe UI"/>
      <w:sz w:val="18"/>
      <w:szCs w:val="18"/>
      <w:lang w:val="en-US" w:eastAsia="en-US"/>
    </w:rPr>
  </w:style>
  <w:style w:type="character" w:customStyle="1" w:styleId="ListParagraphChar">
    <w:name w:val="List Paragraph Char"/>
    <w:aliases w:val="Body of text Char,Body Text Char1 Char,Char Char2 Char,kepala Char,skripsi Char"/>
    <w:link w:val="ListParagraph"/>
    <w:rsid w:val="004754D1"/>
    <w:rPr>
      <w:rFonts w:ascii="Calibri" w:eastAsia="Calibri" w:hAnsi="Calibri"/>
      <w:sz w:val="22"/>
      <w:szCs w:val="22"/>
      <w:lang w:val="id-ID" w:eastAsia="en-US"/>
    </w:rPr>
  </w:style>
  <w:style w:type="character" w:customStyle="1" w:styleId="hgkelc">
    <w:name w:val="hgkelc"/>
    <w:rsid w:val="0004770F"/>
  </w:style>
  <w:style w:type="character" w:customStyle="1" w:styleId="HeaderChar">
    <w:name w:val="Header Char"/>
    <w:link w:val="Header"/>
    <w:uiPriority w:val="99"/>
    <w:rsid w:val="00934309"/>
    <w:rPr>
      <w:sz w:val="24"/>
      <w:szCs w:val="24"/>
      <w:lang w:val="en-US" w:eastAsia="en-US"/>
    </w:rPr>
  </w:style>
  <w:style w:type="character" w:customStyle="1" w:styleId="FooterChar">
    <w:name w:val="Footer Char"/>
    <w:link w:val="Footer"/>
    <w:uiPriority w:val="99"/>
    <w:rsid w:val="00934309"/>
    <w:rPr>
      <w:sz w:val="24"/>
      <w:szCs w:val="24"/>
      <w:lang w:val="en-US" w:eastAsia="en-US"/>
    </w:rPr>
  </w:style>
  <w:style w:type="character" w:customStyle="1" w:styleId="TitleChar">
    <w:name w:val="Title Char"/>
    <w:link w:val="Title"/>
    <w:rsid w:val="00401085"/>
    <w:rPr>
      <w:b/>
      <w:bCs/>
      <w:sz w:val="24"/>
      <w:szCs w:val="24"/>
      <w:lang w:val="en-US" w:eastAsia="en-US"/>
    </w:rPr>
  </w:style>
  <w:style w:type="character" w:customStyle="1" w:styleId="jlqj4b">
    <w:name w:val="jlqj4b"/>
    <w:rsid w:val="004000AF"/>
  </w:style>
  <w:style w:type="character" w:customStyle="1" w:styleId="q4iawc">
    <w:name w:val="q4iawc"/>
    <w:rsid w:val="004000AF"/>
  </w:style>
  <w:style w:type="character" w:customStyle="1" w:styleId="rynqvb">
    <w:name w:val="rynqvb"/>
    <w:rsid w:val="004000AF"/>
  </w:style>
  <w:style w:type="character" w:customStyle="1" w:styleId="lrzxr">
    <w:name w:val="lrzxr"/>
    <w:rsid w:val="007114E7"/>
  </w:style>
  <w:style w:type="character" w:customStyle="1" w:styleId="w8qarf">
    <w:name w:val="w8qarf"/>
    <w:rsid w:val="007114E7"/>
  </w:style>
  <w:style w:type="character" w:customStyle="1" w:styleId="BodyText3Char">
    <w:name w:val="Body Text 3 Char"/>
    <w:link w:val="BodyText3"/>
    <w:rsid w:val="007114E7"/>
    <w:rPr>
      <w:sz w:val="16"/>
      <w:szCs w:val="16"/>
    </w:rPr>
  </w:style>
  <w:style w:type="character" w:customStyle="1" w:styleId="textwebstyledtext-sc-1uxddwr-0">
    <w:name w:val="textweb__styledtext-sc-1uxddwr-0"/>
    <w:rsid w:val="00D11A25"/>
  </w:style>
</w:styles>
</file>

<file path=word/webSettings.xml><?xml version="1.0" encoding="utf-8"?>
<w:webSettings xmlns:r="http://schemas.openxmlformats.org/officeDocument/2006/relationships" xmlns:w="http://schemas.openxmlformats.org/wordprocessingml/2006/main">
  <w:divs>
    <w:div w:id="424887338">
      <w:bodyDiv w:val="1"/>
      <w:marLeft w:val="0"/>
      <w:marRight w:val="0"/>
      <w:marTop w:val="0"/>
      <w:marBottom w:val="0"/>
      <w:divBdr>
        <w:top w:val="none" w:sz="0" w:space="0" w:color="auto"/>
        <w:left w:val="none" w:sz="0" w:space="0" w:color="auto"/>
        <w:bottom w:val="none" w:sz="0" w:space="0" w:color="auto"/>
        <w:right w:val="none" w:sz="0" w:space="0" w:color="auto"/>
      </w:divBdr>
      <w:divsChild>
        <w:div w:id="964386125">
          <w:marLeft w:val="709"/>
          <w:marRight w:val="0"/>
          <w:marTop w:val="0"/>
          <w:marBottom w:val="0"/>
          <w:divBdr>
            <w:top w:val="none" w:sz="0" w:space="0" w:color="auto"/>
            <w:left w:val="none" w:sz="0" w:space="0" w:color="auto"/>
            <w:bottom w:val="none" w:sz="0" w:space="0" w:color="auto"/>
            <w:right w:val="none" w:sz="0" w:space="0" w:color="auto"/>
          </w:divBdr>
        </w:div>
        <w:div w:id="1913075890">
          <w:marLeft w:val="1134"/>
          <w:marRight w:val="0"/>
          <w:marTop w:val="0"/>
          <w:marBottom w:val="0"/>
          <w:divBdr>
            <w:top w:val="none" w:sz="0" w:space="0" w:color="auto"/>
            <w:left w:val="none" w:sz="0" w:space="0" w:color="auto"/>
            <w:bottom w:val="none" w:sz="0" w:space="0" w:color="auto"/>
            <w:right w:val="none" w:sz="0" w:space="0" w:color="auto"/>
          </w:divBdr>
        </w:div>
      </w:divsChild>
    </w:div>
    <w:div w:id="685443477">
      <w:bodyDiv w:val="1"/>
      <w:marLeft w:val="0"/>
      <w:marRight w:val="0"/>
      <w:marTop w:val="0"/>
      <w:marBottom w:val="0"/>
      <w:divBdr>
        <w:top w:val="none" w:sz="0" w:space="0" w:color="auto"/>
        <w:left w:val="none" w:sz="0" w:space="0" w:color="auto"/>
        <w:bottom w:val="none" w:sz="0" w:space="0" w:color="auto"/>
        <w:right w:val="none" w:sz="0" w:space="0" w:color="auto"/>
      </w:divBdr>
    </w:div>
    <w:div w:id="1690520943">
      <w:bodyDiv w:val="1"/>
      <w:marLeft w:val="0"/>
      <w:marRight w:val="0"/>
      <w:marTop w:val="0"/>
      <w:marBottom w:val="0"/>
      <w:divBdr>
        <w:top w:val="none" w:sz="0" w:space="0" w:color="auto"/>
        <w:left w:val="none" w:sz="0" w:space="0" w:color="auto"/>
        <w:bottom w:val="none" w:sz="0" w:space="0" w:color="auto"/>
        <w:right w:val="none" w:sz="0" w:space="0" w:color="auto"/>
      </w:divBdr>
      <w:divsChild>
        <w:div w:id="440952724">
          <w:marLeft w:val="720"/>
          <w:marRight w:val="0"/>
          <w:marTop w:val="0"/>
          <w:marBottom w:val="0"/>
          <w:divBdr>
            <w:top w:val="none" w:sz="0" w:space="0" w:color="auto"/>
            <w:left w:val="none" w:sz="0" w:space="0" w:color="auto"/>
            <w:bottom w:val="none" w:sz="0" w:space="0" w:color="auto"/>
            <w:right w:val="none" w:sz="0" w:space="0" w:color="auto"/>
          </w:divBdr>
        </w:div>
        <w:div w:id="1077172019">
          <w:marLeft w:val="720"/>
          <w:marRight w:val="0"/>
          <w:marTop w:val="0"/>
          <w:marBottom w:val="0"/>
          <w:divBdr>
            <w:top w:val="none" w:sz="0" w:space="0" w:color="auto"/>
            <w:left w:val="none" w:sz="0" w:space="0" w:color="auto"/>
            <w:bottom w:val="none" w:sz="0" w:space="0" w:color="auto"/>
            <w:right w:val="none" w:sz="0" w:space="0" w:color="auto"/>
          </w:divBdr>
        </w:div>
      </w:divsChild>
    </w:div>
    <w:div w:id="184971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ukumonline.com/pusatdata/detail/lt57199c2177e74/node/758/peraturan-menteri-sosial-no-08-tahun-2014-pedoman-rehabilitasi-sosial-pecandu-narkotika-dan-korban-penyalahgunaan-narkotika-yang-berhadapan-dengan-hukum-di-dalam-lembaga-rehabilitasi-sos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418E4-0C8C-441C-8CDE-74DA61E3B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5359</Words>
  <Characters>30548</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Riz_Q Computer</Company>
  <LinksUpToDate>false</LinksUpToDate>
  <CharactersWithSpaces>35836</CharactersWithSpaces>
  <SharedDoc>false</SharedDoc>
  <HLinks>
    <vt:vector size="6" baseType="variant">
      <vt:variant>
        <vt:i4>3997796</vt:i4>
      </vt:variant>
      <vt:variant>
        <vt:i4>0</vt:i4>
      </vt:variant>
      <vt:variant>
        <vt:i4>0</vt:i4>
      </vt:variant>
      <vt:variant>
        <vt:i4>5</vt:i4>
      </vt:variant>
      <vt:variant>
        <vt:lpwstr>https://www.hukumonline.com/pusatdata/detail/lt57199c2177e74/node/758/peraturan-menteri-sosial-no-08-tahun-2014-pedoman-rehabilitasi-sosial-pecandu-narkotika-dan-korban-penyalahgunaan-narkotika-yang-berhadapan-dengan-hukum-di-dalam-lembaga-rehabilitasi-sosi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Arief Pranoto</dc:creator>
  <cp:lastModifiedBy>AsusWin7</cp:lastModifiedBy>
  <cp:revision>2</cp:revision>
  <cp:lastPrinted>2025-08-11T01:14:00Z</cp:lastPrinted>
  <dcterms:created xsi:type="dcterms:W3CDTF">2025-11-21T04:02:00Z</dcterms:created>
  <dcterms:modified xsi:type="dcterms:W3CDTF">2025-11-21T04:02:00Z</dcterms:modified>
</cp:coreProperties>
</file>