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9A" w:rsidRPr="007576A7" w:rsidRDefault="006D6C9A" w:rsidP="006D6C9A">
      <w:pPr>
        <w:pStyle w:val="BodyText3"/>
        <w:spacing w:line="480" w:lineRule="auto"/>
        <w:jc w:val="center"/>
        <w:rPr>
          <w:b/>
          <w:sz w:val="24"/>
          <w:szCs w:val="24"/>
        </w:rPr>
      </w:pPr>
      <w:r w:rsidRPr="007576A7">
        <w:rPr>
          <w:b/>
          <w:sz w:val="24"/>
          <w:szCs w:val="24"/>
        </w:rPr>
        <w:t>BAB IV</w:t>
      </w:r>
    </w:p>
    <w:p w:rsidR="006D6C9A" w:rsidRPr="007576A7" w:rsidRDefault="006D6C9A" w:rsidP="006D6C9A">
      <w:pPr>
        <w:pStyle w:val="BodyText3"/>
        <w:spacing w:line="480" w:lineRule="auto"/>
        <w:jc w:val="center"/>
        <w:rPr>
          <w:b/>
          <w:sz w:val="24"/>
          <w:szCs w:val="24"/>
        </w:rPr>
      </w:pPr>
      <w:r w:rsidRPr="007576A7">
        <w:rPr>
          <w:b/>
          <w:sz w:val="24"/>
          <w:szCs w:val="24"/>
        </w:rPr>
        <w:t>HASIL PENELITIAN DAN PEMBAHASAN</w:t>
      </w:r>
    </w:p>
    <w:p w:rsidR="006D6C9A" w:rsidRPr="007576A7" w:rsidRDefault="006D6C9A" w:rsidP="00443AD4">
      <w:pPr>
        <w:numPr>
          <w:ilvl w:val="0"/>
          <w:numId w:val="11"/>
        </w:numPr>
        <w:tabs>
          <w:tab w:val="clear" w:pos="720"/>
          <w:tab w:val="num" w:pos="360"/>
        </w:tabs>
        <w:autoSpaceDE w:val="0"/>
        <w:autoSpaceDN w:val="0"/>
        <w:adjustRightInd w:val="0"/>
        <w:spacing w:line="480" w:lineRule="auto"/>
        <w:ind w:left="360"/>
        <w:jc w:val="both"/>
        <w:rPr>
          <w:b/>
          <w:color w:val="000000"/>
        </w:rPr>
      </w:pPr>
      <w:r w:rsidRPr="007576A7">
        <w:rPr>
          <w:b/>
          <w:color w:val="000000"/>
        </w:rPr>
        <w:t>Pengaturan sanksi Pidana Terhadap Pengguna Narkotika</w:t>
      </w:r>
    </w:p>
    <w:p w:rsidR="006D6C9A" w:rsidRPr="007576A7" w:rsidRDefault="006D6C9A" w:rsidP="006D6C9A">
      <w:pPr>
        <w:pStyle w:val="BodyTextIndent"/>
        <w:tabs>
          <w:tab w:val="clear" w:pos="0"/>
        </w:tabs>
        <w:ind w:firstLine="720"/>
        <w:rPr>
          <w:iCs/>
          <w:szCs w:val="24"/>
        </w:rPr>
      </w:pPr>
      <w:r w:rsidRPr="007576A7">
        <w:rPr>
          <w:szCs w:val="24"/>
        </w:rPr>
        <w:t xml:space="preserve">Tindak pidana narkotika merupakan suatu perbuatan yang dapat dipidana oleh hukum, maka beberapa negara berpendapat bahwa perbuatan dan sikap batin seseorang dapat dipersatukan dan menjadi syarat suatu perbuatan yang dapat dipidana. Siswanto berpendapat bahwa asas tersebut adalah unsur </w:t>
      </w:r>
      <w:r w:rsidRPr="007576A7">
        <w:rPr>
          <w:i/>
          <w:iCs/>
          <w:szCs w:val="24"/>
        </w:rPr>
        <w:t xml:space="preserve">actus reus </w:t>
      </w:r>
      <w:r w:rsidRPr="007576A7">
        <w:rPr>
          <w:szCs w:val="24"/>
        </w:rPr>
        <w:t>harus didahulukan yaitu perbuatan criminal (</w:t>
      </w:r>
      <w:r w:rsidRPr="007576A7">
        <w:rPr>
          <w:i/>
          <w:iCs/>
          <w:szCs w:val="24"/>
        </w:rPr>
        <w:t>criminal act</w:t>
      </w:r>
      <w:r w:rsidRPr="007576A7">
        <w:rPr>
          <w:szCs w:val="24"/>
        </w:rPr>
        <w:t>). Hal tersebut sejalan dengan syarat pemidanaan (</w:t>
      </w:r>
      <w:r w:rsidRPr="007576A7">
        <w:rPr>
          <w:i/>
          <w:iCs/>
          <w:szCs w:val="24"/>
        </w:rPr>
        <w:t>strafvoraus setzungen</w:t>
      </w:r>
      <w:r w:rsidRPr="007576A7">
        <w:rPr>
          <w:szCs w:val="24"/>
        </w:rPr>
        <w:t>) yang mendahulukan adanya perbuatan pidana. Setelah diketahui adanya suatu perbuatan pidana sesuai rumusan undang-undang barulah diselidiki tentang sikap batin atau niat pembuat atau pelakunya (</w:t>
      </w:r>
      <w:r w:rsidRPr="007576A7">
        <w:rPr>
          <w:i/>
          <w:iCs/>
          <w:szCs w:val="24"/>
        </w:rPr>
        <w:t>mens rea)</w:t>
      </w:r>
      <w:r w:rsidRPr="007576A7">
        <w:rPr>
          <w:iCs/>
          <w:szCs w:val="24"/>
        </w:rPr>
        <w:t>.</w:t>
      </w:r>
      <w:r w:rsidRPr="007576A7">
        <w:rPr>
          <w:rStyle w:val="FootnoteReference"/>
          <w:iCs/>
          <w:szCs w:val="24"/>
        </w:rPr>
        <w:footnoteReference w:id="2"/>
      </w:r>
    </w:p>
    <w:p w:rsidR="006D6C9A" w:rsidRPr="007576A7" w:rsidRDefault="006D6C9A" w:rsidP="006D6C9A">
      <w:pPr>
        <w:pStyle w:val="BodyTextIndent"/>
        <w:tabs>
          <w:tab w:val="clear" w:pos="0"/>
        </w:tabs>
        <w:ind w:firstLine="720"/>
        <w:rPr>
          <w:color w:val="000000"/>
          <w:szCs w:val="24"/>
        </w:rPr>
      </w:pPr>
      <w:r w:rsidRPr="007576A7">
        <w:rPr>
          <w:color w:val="000000"/>
          <w:szCs w:val="24"/>
        </w:rPr>
        <w:t>Undang-Undang Nomor 35 Tahun 2009 menyebutkan 4 kategori yang merupakan tindakan melawan hukum yang dilarang oleh undang-undang dan diancam dengan sanksi pidana, antara lain:</w:t>
      </w:r>
    </w:p>
    <w:p w:rsidR="006D6C9A" w:rsidRPr="007576A7" w:rsidRDefault="006D6C9A" w:rsidP="00443AD4">
      <w:pPr>
        <w:pStyle w:val="BodyTextIndent"/>
        <w:numPr>
          <w:ilvl w:val="4"/>
          <w:numId w:val="7"/>
        </w:numPr>
        <w:tabs>
          <w:tab w:val="clear" w:pos="0"/>
          <w:tab w:val="left" w:pos="1134"/>
        </w:tabs>
        <w:autoSpaceDE w:val="0"/>
        <w:autoSpaceDN w:val="0"/>
        <w:adjustRightInd w:val="0"/>
        <w:ind w:left="1134" w:hanging="414"/>
        <w:rPr>
          <w:color w:val="000000"/>
          <w:szCs w:val="24"/>
        </w:rPr>
      </w:pPr>
      <w:r w:rsidRPr="007576A7">
        <w:rPr>
          <w:color w:val="000000"/>
          <w:szCs w:val="24"/>
        </w:rPr>
        <w:t>Kategori pertama, yaitu perbuatan-perbuatan berupa memiliki, menyimpan, menguasai, atau menyediakan narkotika dan prekursor narkotika ( Terdapat pada Pasal 111 dan Pasal 112 untuk Narkotika Golongan I, Pasal 117 untuk Narkotika Golongan II, Pasal 122 untuk Narkotika Golongan III dan Pasal 129 Huruf (a)).</w:t>
      </w:r>
    </w:p>
    <w:p w:rsidR="006D6C9A" w:rsidRPr="007576A7" w:rsidRDefault="006D6C9A" w:rsidP="00443AD4">
      <w:pPr>
        <w:pStyle w:val="BodyTextIndent"/>
        <w:numPr>
          <w:ilvl w:val="4"/>
          <w:numId w:val="7"/>
        </w:numPr>
        <w:tabs>
          <w:tab w:val="clear" w:pos="0"/>
          <w:tab w:val="left" w:pos="1134"/>
        </w:tabs>
        <w:autoSpaceDE w:val="0"/>
        <w:autoSpaceDN w:val="0"/>
        <w:adjustRightInd w:val="0"/>
        <w:ind w:left="1134" w:hanging="414"/>
        <w:rPr>
          <w:color w:val="000000"/>
          <w:szCs w:val="24"/>
        </w:rPr>
      </w:pPr>
      <w:r w:rsidRPr="007576A7">
        <w:rPr>
          <w:color w:val="000000"/>
          <w:szCs w:val="24"/>
        </w:rPr>
        <w:t xml:space="preserve">Kategori kedua, yaitu perbuatan-perbuatan berupa memproduksi, mengimpor, mengekspor, atau menyalurkan narkotika dan prekursor </w:t>
      </w:r>
      <w:r w:rsidRPr="007576A7">
        <w:rPr>
          <w:color w:val="000000"/>
          <w:szCs w:val="24"/>
        </w:rPr>
        <w:lastRenderedPageBreak/>
        <w:t>narkotika ( Terdapat pada Pasal 113 untuk Narkotika Golongan I, Pasal 118 untuk Narkotika Golongan II, Pasal 123 untuk Narkotika Golongan III, dan Pasal 129 (b))</w:t>
      </w:r>
    </w:p>
    <w:p w:rsidR="006D6C9A" w:rsidRPr="007576A7" w:rsidRDefault="006D6C9A" w:rsidP="00443AD4">
      <w:pPr>
        <w:pStyle w:val="BodyTextIndent"/>
        <w:numPr>
          <w:ilvl w:val="4"/>
          <w:numId w:val="7"/>
        </w:numPr>
        <w:tabs>
          <w:tab w:val="clear" w:pos="0"/>
          <w:tab w:val="left" w:pos="1134"/>
        </w:tabs>
        <w:autoSpaceDE w:val="0"/>
        <w:autoSpaceDN w:val="0"/>
        <w:adjustRightInd w:val="0"/>
        <w:ind w:left="1134" w:hanging="414"/>
        <w:rPr>
          <w:color w:val="000000"/>
          <w:szCs w:val="24"/>
        </w:rPr>
      </w:pPr>
      <w:r w:rsidRPr="007576A7">
        <w:rPr>
          <w:color w:val="000000"/>
          <w:szCs w:val="24"/>
        </w:rPr>
        <w:t>Kategori ketiga, yaitu perbuatan-perbuatan berupa menawarkan untuk dijual, menjual, membeli, menerima, menjadi perantara dalam jual beli, menukar atau menyerahkan narkotika dan prekursor narkotika (Terdapat pada Pasal 114 dan Pasal 116 untuk Narkotika Golongan I, Pasal 119 dan  Pasal 121 untuk Narkotika Golongan II, Pasal 124 dan Pasal 126 untuk Golongan Narkotika Golongan III, dan Pasal 129 c)).</w:t>
      </w:r>
    </w:p>
    <w:p w:rsidR="006D6C9A" w:rsidRPr="007576A7" w:rsidRDefault="006D6C9A" w:rsidP="00443AD4">
      <w:pPr>
        <w:pStyle w:val="BodyTextIndent"/>
        <w:numPr>
          <w:ilvl w:val="4"/>
          <w:numId w:val="7"/>
        </w:numPr>
        <w:tabs>
          <w:tab w:val="clear" w:pos="0"/>
          <w:tab w:val="left" w:pos="1134"/>
        </w:tabs>
        <w:autoSpaceDE w:val="0"/>
        <w:autoSpaceDN w:val="0"/>
        <w:adjustRightInd w:val="0"/>
        <w:ind w:left="1134" w:hanging="414"/>
        <w:rPr>
          <w:color w:val="000000"/>
          <w:szCs w:val="24"/>
        </w:rPr>
      </w:pPr>
      <w:r w:rsidRPr="007576A7">
        <w:rPr>
          <w:color w:val="000000"/>
          <w:szCs w:val="24"/>
        </w:rPr>
        <w:t xml:space="preserve">Kategori keempat, yakni perbuatan-perbuatan berupa membawa, mengirim, mengangkut, atau mentransit narkotika dan prekusor narkotika ( Terdapat pada Pasal 115 untuk Golongan I, Pasal 120 untuk Narkotika Golongan II, Pasal 125 untuk Narkotika Golongan III, dan Pasal 129 (d)). </w:t>
      </w:r>
      <w:r w:rsidRPr="007576A7">
        <w:rPr>
          <w:rStyle w:val="FootnoteReference"/>
          <w:color w:val="000000"/>
          <w:szCs w:val="24"/>
        </w:rPr>
        <w:footnoteReference w:id="3"/>
      </w:r>
    </w:p>
    <w:p w:rsidR="006D6C9A" w:rsidRPr="007576A7" w:rsidRDefault="006D6C9A" w:rsidP="006D6C9A">
      <w:pPr>
        <w:pStyle w:val="BodyTextIndent"/>
        <w:tabs>
          <w:tab w:val="clear" w:pos="0"/>
          <w:tab w:val="left" w:pos="993"/>
        </w:tabs>
        <w:autoSpaceDE w:val="0"/>
        <w:autoSpaceDN w:val="0"/>
        <w:adjustRightInd w:val="0"/>
        <w:ind w:left="993"/>
        <w:rPr>
          <w:color w:val="000000"/>
          <w:szCs w:val="24"/>
        </w:rPr>
      </w:pPr>
    </w:p>
    <w:p w:rsidR="006D6C9A" w:rsidRPr="007576A7" w:rsidRDefault="006D6C9A" w:rsidP="006D6C9A">
      <w:pPr>
        <w:spacing w:line="480" w:lineRule="auto"/>
        <w:ind w:firstLine="720"/>
        <w:jc w:val="both"/>
      </w:pPr>
      <w:r w:rsidRPr="007576A7">
        <w:rPr>
          <w:color w:val="000000"/>
        </w:rPr>
        <w:t>Undang-Undang No. 35 Tahun 2009 tentang Narkotika</w:t>
      </w:r>
      <w:r w:rsidRPr="007576A7">
        <w:t xml:space="preserve"> memiliki kencenderungan mengkriminalisasi orang, baik produsen, distributor, konsumen dan masyarakat dengan mencantumkan ketentuan pidana sebanyak 39 pasal dari 150 pasal yang diatur dalam undang-undang tersebut. </w:t>
      </w:r>
      <w:r w:rsidRPr="007576A7">
        <w:rPr>
          <w:color w:val="000000"/>
        </w:rPr>
        <w:t>Undang-Undang No. 35 Tahun 2009 tentang Narkotika</w:t>
      </w:r>
      <w:r w:rsidRPr="007576A7">
        <w:t xml:space="preserve"> menggunakan pendekatan pidana untuk melakukan pengawasan dan pencegahan terhadap penyalahgunaan narkotika. Penggunaan </w:t>
      </w:r>
      <w:r w:rsidRPr="007576A7">
        <w:lastRenderedPageBreak/>
        <w:t>pidana masih dianggap sebagai suatu upaya untuk menakut-nakuti agar tidak terjadinya penggunaan narkotika.</w:t>
      </w:r>
      <w:r w:rsidRPr="007576A7">
        <w:rPr>
          <w:rStyle w:val="FootnoteReference"/>
        </w:rPr>
        <w:footnoteReference w:id="4"/>
      </w:r>
    </w:p>
    <w:p w:rsidR="006D6C9A" w:rsidRPr="007576A7" w:rsidRDefault="006D6C9A" w:rsidP="006D6C9A">
      <w:pPr>
        <w:spacing w:line="480" w:lineRule="auto"/>
        <w:ind w:firstLine="720"/>
        <w:jc w:val="both"/>
        <w:rPr>
          <w:color w:val="000000"/>
        </w:rPr>
      </w:pPr>
      <w:r w:rsidRPr="007576A7">
        <w:rPr>
          <w:color w:val="000000"/>
        </w:rPr>
        <w:t>Ketentuan pidana yang diatur di dalam Undang-Undang No. 35 Tahun 2009 tentang Narkotika</w:t>
      </w:r>
      <w:r w:rsidRPr="007576A7">
        <w:t xml:space="preserve"> </w:t>
      </w:r>
      <w:r w:rsidRPr="007576A7">
        <w:rPr>
          <w:color w:val="000000"/>
        </w:rPr>
        <w:t xml:space="preserve">sebagai berikut : </w:t>
      </w:r>
    </w:p>
    <w:p w:rsidR="006D6C9A" w:rsidRPr="007576A7" w:rsidRDefault="006D6C9A" w:rsidP="00443AD4">
      <w:pPr>
        <w:numPr>
          <w:ilvl w:val="3"/>
          <w:numId w:val="6"/>
        </w:numPr>
        <w:tabs>
          <w:tab w:val="clear" w:pos="2520"/>
          <w:tab w:val="num" w:pos="1080"/>
        </w:tabs>
        <w:spacing w:line="480" w:lineRule="auto"/>
        <w:ind w:left="1080"/>
        <w:jc w:val="both"/>
        <w:rPr>
          <w:color w:val="000000"/>
        </w:rPr>
      </w:pPr>
      <w:r w:rsidRPr="007576A7">
        <w:rPr>
          <w:color w:val="000000"/>
        </w:rPr>
        <w:t>Tidak mementingkan unsur kesengajaan dalam tindak pidana narkotika</w:t>
      </w:r>
    </w:p>
    <w:p w:rsidR="006D6C9A" w:rsidRPr="007576A7" w:rsidRDefault="006D6C9A" w:rsidP="006D6C9A">
      <w:pPr>
        <w:spacing w:line="480" w:lineRule="auto"/>
        <w:ind w:left="1080"/>
        <w:jc w:val="both"/>
        <w:rPr>
          <w:color w:val="000000"/>
        </w:rPr>
      </w:pPr>
      <w:r w:rsidRPr="007576A7">
        <w:rPr>
          <w:color w:val="000000"/>
        </w:rPr>
        <w:t>Penggunaan kata “setiap orang tanpa hak dan melawan hukum” dalam beberapa pasal Undang-Undang No. 35 Tahun 2009 tentang Narkotika dengan tidak memperdulikan unsur kesengajaan, dapat menjerat orang-orang yang memang sebenarnya tidak mempunyai niatan melakukan tindak pidana narkotika, baik karena adanya paksaan, desakan, ataupun ketidaktahuan.</w:t>
      </w:r>
    </w:p>
    <w:p w:rsidR="006D6C9A" w:rsidRPr="007576A7" w:rsidRDefault="006D6C9A" w:rsidP="00443AD4">
      <w:pPr>
        <w:numPr>
          <w:ilvl w:val="3"/>
          <w:numId w:val="6"/>
        </w:numPr>
        <w:tabs>
          <w:tab w:val="clear" w:pos="2520"/>
          <w:tab w:val="num" w:pos="1080"/>
        </w:tabs>
        <w:spacing w:line="480" w:lineRule="auto"/>
        <w:ind w:left="1080"/>
        <w:jc w:val="both"/>
        <w:rPr>
          <w:color w:val="000000"/>
        </w:rPr>
      </w:pPr>
      <w:r w:rsidRPr="007576A7">
        <w:rPr>
          <w:color w:val="000000"/>
        </w:rPr>
        <w:t>Penggunaan sistem pidana minimal.</w:t>
      </w:r>
    </w:p>
    <w:p w:rsidR="006D6C9A" w:rsidRPr="007576A7" w:rsidRDefault="006D6C9A" w:rsidP="006D6C9A">
      <w:pPr>
        <w:spacing w:line="480" w:lineRule="auto"/>
        <w:ind w:left="1080"/>
        <w:jc w:val="both"/>
        <w:rPr>
          <w:color w:val="000000"/>
        </w:rPr>
      </w:pPr>
      <w:r w:rsidRPr="007576A7">
        <w:rPr>
          <w:color w:val="000000"/>
        </w:rPr>
        <w:t>Penggunaan sistem pidana minimal dalam Undang-Undang No. 35 Tahun 2009 tentang Narkotika memperkuat asumsi bahwa undang-undang tersebut memang diberlakukan untuk memidanakan masyarakat yang berhubungan dengan narkotika. Penggunaan pidana minimal juga akan menutup hakim dalam menjatuhkan putusan walaupun di dalam prakteknya, hakim dapat menjatuhkan putusan kurang dari pidana minimal dan hal tersebut diperbolehkan oleh Ketua Mahkamah Agung.</w:t>
      </w:r>
    </w:p>
    <w:p w:rsidR="006D6C9A" w:rsidRPr="007576A7" w:rsidRDefault="006D6C9A" w:rsidP="00443AD4">
      <w:pPr>
        <w:numPr>
          <w:ilvl w:val="3"/>
          <w:numId w:val="6"/>
        </w:numPr>
        <w:tabs>
          <w:tab w:val="clear" w:pos="2520"/>
          <w:tab w:val="num" w:pos="1080"/>
        </w:tabs>
        <w:spacing w:line="480" w:lineRule="auto"/>
        <w:ind w:left="1080"/>
        <w:jc w:val="both"/>
        <w:rPr>
          <w:color w:val="000000"/>
        </w:rPr>
      </w:pPr>
      <w:r w:rsidRPr="007576A7">
        <w:rPr>
          <w:color w:val="000000"/>
        </w:rPr>
        <w:t xml:space="preserve">Kriminalisasi bagi orang tua dan masyarakat; </w:t>
      </w:r>
    </w:p>
    <w:p w:rsidR="006D6C9A" w:rsidRPr="007576A7" w:rsidRDefault="006D6C9A" w:rsidP="006D6C9A">
      <w:pPr>
        <w:spacing w:line="480" w:lineRule="auto"/>
        <w:ind w:left="1080"/>
        <w:jc w:val="both"/>
        <w:rPr>
          <w:color w:val="000000"/>
        </w:rPr>
      </w:pPr>
      <w:r w:rsidRPr="007576A7">
        <w:rPr>
          <w:color w:val="000000"/>
        </w:rPr>
        <w:lastRenderedPageBreak/>
        <w:t>Undang-Undang No. 35 Tahun 2009 tentang Narkotika memberikan ancaman hukuman pidana (6 bulan kurungan) bagi orang tua yang sengaja tidak melaporkan anaknya yang menggunakan narkotika untuk mendapatkan rehabilitasi. Meskipun unsur “kesengajaan tidak melapor” tersebut harus dibuktikan terlebih dahulu, unsur tersebut tidak mengecualikan orang tua yang tidak mengetahui bahwa zat yang dikonsumsi anaknya adalah narkotika.</w:t>
      </w:r>
    </w:p>
    <w:p w:rsidR="006D6C9A" w:rsidRPr="007576A7" w:rsidRDefault="006D6C9A" w:rsidP="00443AD4">
      <w:pPr>
        <w:numPr>
          <w:ilvl w:val="3"/>
          <w:numId w:val="6"/>
        </w:numPr>
        <w:tabs>
          <w:tab w:val="clear" w:pos="2520"/>
          <w:tab w:val="num" w:pos="1080"/>
        </w:tabs>
        <w:spacing w:line="480" w:lineRule="auto"/>
        <w:ind w:left="1080"/>
        <w:jc w:val="both"/>
        <w:rPr>
          <w:color w:val="000000"/>
        </w:rPr>
      </w:pPr>
      <w:r w:rsidRPr="007576A7">
        <w:rPr>
          <w:color w:val="000000"/>
        </w:rPr>
        <w:t xml:space="preserve">Persamaan hukuman bagi percobaan dan tindak pidana selesai; </w:t>
      </w:r>
    </w:p>
    <w:p w:rsidR="006D6C9A" w:rsidRPr="007576A7" w:rsidRDefault="006D6C9A" w:rsidP="006D6C9A">
      <w:pPr>
        <w:spacing w:line="480" w:lineRule="auto"/>
        <w:ind w:left="1080"/>
        <w:jc w:val="both"/>
        <w:rPr>
          <w:color w:val="000000"/>
        </w:rPr>
      </w:pPr>
      <w:r w:rsidRPr="007576A7">
        <w:rPr>
          <w:color w:val="000000"/>
        </w:rPr>
        <w:t xml:space="preserve">Undang-Undang No. 35 Tahun 2009 tentang Narkotika menyamakan hukuman pidana bagi pelaku tidak pidana selesai dengan pelaku tidak pidana percobaan. Tindak Pidana Narkotika adalah suatu </w:t>
      </w:r>
      <w:r w:rsidRPr="007576A7">
        <w:t>kejahatan karena perbuatan tersebut memiliki efek yang buruk. Delik percobaan mensyaratkan suatu tindak pidana tersebut terjadi, sehingga akibat tindak pidana tersebut tidak selesai, sehingga seharusnya pemidanaan antara pelaku tidak pidana percobaan dan pelaku tidak pidana selesai harus dibedakan</w:t>
      </w:r>
      <w:r w:rsidRPr="007576A7">
        <w:rPr>
          <w:rStyle w:val="FootnoteReference"/>
          <w:color w:val="000000"/>
        </w:rPr>
        <w:t xml:space="preserve"> </w:t>
      </w:r>
      <w:r w:rsidRPr="007576A7">
        <w:rPr>
          <w:rStyle w:val="FootnoteReference"/>
          <w:color w:val="000000"/>
        </w:rPr>
        <w:footnoteReference w:id="5"/>
      </w:r>
    </w:p>
    <w:p w:rsidR="006D6C9A" w:rsidRPr="007576A7" w:rsidRDefault="006D6C9A" w:rsidP="006D6C9A">
      <w:pPr>
        <w:spacing w:line="480" w:lineRule="auto"/>
        <w:ind w:firstLine="720"/>
        <w:jc w:val="both"/>
      </w:pPr>
    </w:p>
    <w:p w:rsidR="006D6C9A" w:rsidRPr="007576A7" w:rsidRDefault="006D6C9A" w:rsidP="006D6C9A">
      <w:pPr>
        <w:spacing w:line="480" w:lineRule="auto"/>
        <w:ind w:firstLine="720"/>
        <w:jc w:val="both"/>
        <w:rPr>
          <w:color w:val="000000"/>
        </w:rPr>
      </w:pPr>
      <w:r w:rsidRPr="007576A7">
        <w:rPr>
          <w:color w:val="000000"/>
        </w:rPr>
        <w:t xml:space="preserve">Menggunakan Narkotika Golongan I, Golongan II, atau Golongan III terhadap orang lain atau memberikan Narkotika Golongan I, Golongan II, atau Golongan III untuk digunakan orang lain. Diancam dengan pidana : </w:t>
      </w:r>
    </w:p>
    <w:p w:rsidR="006D6C9A" w:rsidRPr="007576A7" w:rsidRDefault="006D6C9A" w:rsidP="00443AD4">
      <w:pPr>
        <w:numPr>
          <w:ilvl w:val="1"/>
          <w:numId w:val="9"/>
        </w:numPr>
        <w:tabs>
          <w:tab w:val="clear" w:pos="1440"/>
          <w:tab w:val="num" w:pos="360"/>
        </w:tabs>
        <w:spacing w:line="480" w:lineRule="auto"/>
        <w:ind w:left="360"/>
        <w:jc w:val="both"/>
        <w:rPr>
          <w:color w:val="000000"/>
        </w:rPr>
      </w:pPr>
      <w:r w:rsidRPr="007576A7">
        <w:rPr>
          <w:color w:val="000000"/>
        </w:rPr>
        <w:t xml:space="preserve">Golongan I. Dipidana dengan pidana penjara paling singkat lima tahun dan maksimum pidana penjara seumur hidup atau pidana mati. Denda paling </w:t>
      </w:r>
      <w:r w:rsidRPr="007576A7">
        <w:rPr>
          <w:color w:val="000000"/>
        </w:rPr>
        <w:lastRenderedPageBreak/>
        <w:t>sedikit satu miliar rupiah, dan paling banyak sepuluh miliar rupiah. Apabilamengakibatkan orang lain mati atau cacat permanen, maka pidana denda maksimum ditambah sepertiga.</w:t>
      </w:r>
      <w:r w:rsidRPr="007576A7">
        <w:rPr>
          <w:rStyle w:val="FootnoteReference"/>
          <w:color w:val="000000"/>
        </w:rPr>
        <w:t xml:space="preserve"> </w:t>
      </w:r>
      <w:r w:rsidRPr="007576A7">
        <w:rPr>
          <w:rStyle w:val="FootnoteReference"/>
          <w:color w:val="000000"/>
        </w:rPr>
        <w:footnoteReference w:id="6"/>
      </w:r>
    </w:p>
    <w:p w:rsidR="006D6C9A" w:rsidRPr="007576A7" w:rsidRDefault="006D6C9A" w:rsidP="00443AD4">
      <w:pPr>
        <w:numPr>
          <w:ilvl w:val="1"/>
          <w:numId w:val="9"/>
        </w:numPr>
        <w:tabs>
          <w:tab w:val="clear" w:pos="1440"/>
          <w:tab w:val="num" w:pos="360"/>
        </w:tabs>
        <w:spacing w:line="480" w:lineRule="auto"/>
        <w:ind w:left="360"/>
        <w:jc w:val="both"/>
        <w:rPr>
          <w:color w:val="000000"/>
        </w:rPr>
      </w:pPr>
      <w:r w:rsidRPr="007576A7">
        <w:rPr>
          <w:color w:val="000000"/>
        </w:rPr>
        <w:t>Golongan II. Dipidana dengan pidana penjara paling singkat empat tahun dan maksimum pidana penjara seumur hidup atau pidana mati. Apabila mengakibatkan orang lain mati atau cacat permanen, maka pidana denda maksimum ditambah sepertiga.</w:t>
      </w:r>
      <w:r w:rsidRPr="007576A7">
        <w:rPr>
          <w:rStyle w:val="FootnoteReference"/>
          <w:color w:val="000000"/>
        </w:rPr>
        <w:t xml:space="preserve"> </w:t>
      </w:r>
      <w:r w:rsidRPr="007576A7">
        <w:rPr>
          <w:rStyle w:val="FootnoteReference"/>
          <w:color w:val="000000"/>
        </w:rPr>
        <w:footnoteReference w:id="7"/>
      </w:r>
    </w:p>
    <w:p w:rsidR="006D6C9A" w:rsidRPr="007576A7" w:rsidRDefault="006D6C9A" w:rsidP="00443AD4">
      <w:pPr>
        <w:numPr>
          <w:ilvl w:val="1"/>
          <w:numId w:val="9"/>
        </w:numPr>
        <w:tabs>
          <w:tab w:val="clear" w:pos="1440"/>
          <w:tab w:val="num" w:pos="360"/>
        </w:tabs>
        <w:spacing w:line="480" w:lineRule="auto"/>
        <w:ind w:left="360"/>
        <w:jc w:val="both"/>
        <w:rPr>
          <w:color w:val="000000"/>
        </w:rPr>
      </w:pPr>
      <w:r w:rsidRPr="007576A7">
        <w:rPr>
          <w:color w:val="000000"/>
        </w:rPr>
        <w:t>Golongan III. Dipidana dengan pidana penjara paling singkat tiga tahun dan paling lama lima belas tahun. Dengan paling sedikit enam ratus juta rupiah dan paling banyak lima miliar rupiah. Apabila mengakibatkan orang lain mati atau cacat permanen, maka pidana denda maksimum ditambah sepertiga.</w:t>
      </w:r>
      <w:r w:rsidRPr="007576A7">
        <w:rPr>
          <w:rStyle w:val="FootnoteReference"/>
          <w:color w:val="000000"/>
        </w:rPr>
        <w:t xml:space="preserve"> </w:t>
      </w:r>
      <w:r w:rsidRPr="007576A7">
        <w:rPr>
          <w:rStyle w:val="FootnoteReference"/>
          <w:color w:val="000000"/>
        </w:rPr>
        <w:footnoteReference w:id="8"/>
      </w:r>
    </w:p>
    <w:p w:rsidR="006D6C9A" w:rsidRPr="007576A7" w:rsidRDefault="006D6C9A" w:rsidP="00443AD4">
      <w:pPr>
        <w:numPr>
          <w:ilvl w:val="0"/>
          <w:numId w:val="11"/>
        </w:numPr>
        <w:tabs>
          <w:tab w:val="clear" w:pos="720"/>
          <w:tab w:val="num" w:pos="360"/>
        </w:tabs>
        <w:autoSpaceDE w:val="0"/>
        <w:autoSpaceDN w:val="0"/>
        <w:adjustRightInd w:val="0"/>
        <w:spacing w:line="480" w:lineRule="auto"/>
        <w:ind w:left="360"/>
        <w:jc w:val="both"/>
        <w:rPr>
          <w:b/>
          <w:bCs/>
        </w:rPr>
      </w:pPr>
      <w:r w:rsidRPr="007576A7">
        <w:rPr>
          <w:b/>
          <w:bCs/>
        </w:rPr>
        <w:t xml:space="preserve">Kebijakan </w:t>
      </w:r>
      <w:r w:rsidRPr="007576A7">
        <w:rPr>
          <w:b/>
        </w:rPr>
        <w:t>Formulasi Sanksi Pidana Terhadap Pelaku Tindak Pidana Narkotika</w:t>
      </w:r>
    </w:p>
    <w:p w:rsidR="006D6C9A" w:rsidRPr="007576A7" w:rsidRDefault="006D6C9A" w:rsidP="006D6C9A">
      <w:pPr>
        <w:pStyle w:val="BodyText"/>
        <w:ind w:firstLine="720"/>
        <w:rPr>
          <w:rFonts w:ascii="Times New Roman" w:hAnsi="Times New Roman"/>
          <w:b/>
          <w:szCs w:val="24"/>
        </w:rPr>
      </w:pPr>
      <w:r w:rsidRPr="007576A7">
        <w:rPr>
          <w:rFonts w:ascii="Times New Roman" w:hAnsi="Times New Roman"/>
          <w:szCs w:val="24"/>
        </w:rPr>
        <w:t xml:space="preserve">Kebijakan penanggulangan kejahatan melalui pembuatan undang-undang pidana merupakan bagian integral dari politik sosial sebagai segala usaha rasional untuk mencapai kesejahteraan masyarakat dan sekaligus mencakup perlindungan masyararkat. Berkaitan dengan kenijakan kriminalisasi hukum pidana </w:t>
      </w:r>
      <w:r w:rsidRPr="007576A7">
        <w:rPr>
          <w:rFonts w:ascii="Times New Roman" w:hAnsi="Times New Roman"/>
          <w:i/>
          <w:szCs w:val="24"/>
        </w:rPr>
        <w:t>(penal policy)</w:t>
      </w:r>
      <w:r w:rsidRPr="007576A7">
        <w:rPr>
          <w:rFonts w:ascii="Times New Roman" w:hAnsi="Times New Roman"/>
          <w:szCs w:val="24"/>
        </w:rPr>
        <w:t xml:space="preserve"> ada dua masalah sentral yang harus diperhatikan, khususnya dalam tahap formulasi yaitu:</w:t>
      </w:r>
    </w:p>
    <w:p w:rsidR="006D6C9A" w:rsidRPr="007576A7" w:rsidRDefault="006D6C9A" w:rsidP="00443AD4">
      <w:pPr>
        <w:pStyle w:val="BodyText"/>
        <w:numPr>
          <w:ilvl w:val="0"/>
          <w:numId w:val="16"/>
        </w:numPr>
        <w:tabs>
          <w:tab w:val="clear" w:pos="709"/>
        </w:tabs>
        <w:ind w:left="360"/>
        <w:rPr>
          <w:rFonts w:ascii="Times New Roman" w:hAnsi="Times New Roman"/>
          <w:szCs w:val="24"/>
        </w:rPr>
      </w:pPr>
      <w:r w:rsidRPr="007576A7">
        <w:rPr>
          <w:rFonts w:ascii="Times New Roman" w:hAnsi="Times New Roman"/>
          <w:szCs w:val="24"/>
        </w:rPr>
        <w:t>Masalah penentuan perbuatan apa yang seharusnya dijadikan tindak pidana.</w:t>
      </w:r>
    </w:p>
    <w:p w:rsidR="006D6C9A" w:rsidRPr="007576A7" w:rsidRDefault="006D6C9A" w:rsidP="00443AD4">
      <w:pPr>
        <w:pStyle w:val="BodyText"/>
        <w:numPr>
          <w:ilvl w:val="0"/>
          <w:numId w:val="16"/>
        </w:numPr>
        <w:tabs>
          <w:tab w:val="clear" w:pos="709"/>
        </w:tabs>
        <w:ind w:left="360"/>
        <w:rPr>
          <w:rFonts w:ascii="Times New Roman" w:hAnsi="Times New Roman"/>
          <w:szCs w:val="24"/>
        </w:rPr>
      </w:pPr>
      <w:r w:rsidRPr="007576A7">
        <w:rPr>
          <w:rFonts w:ascii="Times New Roman" w:hAnsi="Times New Roman"/>
          <w:szCs w:val="24"/>
        </w:rPr>
        <w:lastRenderedPageBreak/>
        <w:t>Masalah penentuan sanksi apa yang sebaiknya digunakan atau dikenakan kepada pelanggar.</w:t>
      </w:r>
      <w:r w:rsidRPr="007576A7">
        <w:rPr>
          <w:rStyle w:val="FootnoteReference"/>
          <w:rFonts w:ascii="Times New Roman" w:hAnsi="Times New Roman"/>
          <w:szCs w:val="24"/>
        </w:rPr>
        <w:footnoteReference w:id="9"/>
      </w:r>
    </w:p>
    <w:p w:rsidR="006D6C9A" w:rsidRPr="007576A7" w:rsidRDefault="006D6C9A" w:rsidP="006D6C9A">
      <w:pPr>
        <w:pStyle w:val="BodyText"/>
        <w:ind w:firstLine="720"/>
        <w:rPr>
          <w:rFonts w:ascii="Times New Roman" w:hAnsi="Times New Roman"/>
          <w:color w:val="000000"/>
          <w:szCs w:val="24"/>
        </w:rPr>
      </w:pPr>
      <w:r w:rsidRPr="007576A7">
        <w:rPr>
          <w:rFonts w:ascii="Times New Roman" w:hAnsi="Times New Roman"/>
          <w:color w:val="000000"/>
          <w:szCs w:val="24"/>
        </w:rPr>
        <w:t>Kebijakan atau politik kriminal mempunyai arti:</w:t>
      </w:r>
    </w:p>
    <w:p w:rsidR="006D6C9A" w:rsidRPr="007576A7" w:rsidRDefault="006D6C9A" w:rsidP="00443AD4">
      <w:pPr>
        <w:pStyle w:val="BodyText"/>
        <w:numPr>
          <w:ilvl w:val="0"/>
          <w:numId w:val="19"/>
        </w:numPr>
        <w:tabs>
          <w:tab w:val="clear" w:pos="709"/>
        </w:tabs>
        <w:ind w:left="1080"/>
        <w:rPr>
          <w:rFonts w:ascii="Times New Roman" w:hAnsi="Times New Roman"/>
          <w:color w:val="000000"/>
          <w:szCs w:val="24"/>
        </w:rPr>
      </w:pPr>
      <w:r w:rsidRPr="007576A7">
        <w:rPr>
          <w:rFonts w:ascii="Times New Roman" w:hAnsi="Times New Roman"/>
          <w:color w:val="000000"/>
          <w:szCs w:val="24"/>
        </w:rPr>
        <w:t>Dalam arti sempit adalah keseluruhan asas dan metode yang menjadi dasar dari reaksi terhadap pelanggaran hukum yang berupa pidana;</w:t>
      </w:r>
    </w:p>
    <w:p w:rsidR="006D6C9A" w:rsidRPr="007576A7" w:rsidRDefault="006D6C9A" w:rsidP="00443AD4">
      <w:pPr>
        <w:pStyle w:val="BodyText"/>
        <w:numPr>
          <w:ilvl w:val="0"/>
          <w:numId w:val="19"/>
        </w:numPr>
        <w:tabs>
          <w:tab w:val="clear" w:pos="709"/>
        </w:tabs>
        <w:ind w:left="1080"/>
        <w:rPr>
          <w:rFonts w:ascii="Times New Roman" w:hAnsi="Times New Roman"/>
          <w:color w:val="000000"/>
          <w:szCs w:val="24"/>
        </w:rPr>
      </w:pPr>
      <w:r w:rsidRPr="007576A7">
        <w:rPr>
          <w:rFonts w:ascii="Times New Roman" w:hAnsi="Times New Roman"/>
          <w:color w:val="000000"/>
          <w:szCs w:val="24"/>
        </w:rPr>
        <w:t>Dalam arti luas ialah keseluruhan fungsi dari aparatur penegak hukum, termasuk di dalamnya cara kerja dari pengadilan dan polisi;</w:t>
      </w:r>
    </w:p>
    <w:p w:rsidR="006D6C9A" w:rsidRPr="007576A7" w:rsidRDefault="006D6C9A" w:rsidP="00443AD4">
      <w:pPr>
        <w:pStyle w:val="BodyText"/>
        <w:numPr>
          <w:ilvl w:val="0"/>
          <w:numId w:val="19"/>
        </w:numPr>
        <w:tabs>
          <w:tab w:val="clear" w:pos="709"/>
        </w:tabs>
        <w:ind w:left="1080"/>
        <w:rPr>
          <w:rFonts w:ascii="Times New Roman" w:hAnsi="Times New Roman"/>
          <w:color w:val="000000"/>
          <w:szCs w:val="24"/>
        </w:rPr>
      </w:pPr>
      <w:r w:rsidRPr="007576A7">
        <w:rPr>
          <w:rFonts w:ascii="Times New Roman" w:hAnsi="Times New Roman"/>
          <w:color w:val="000000"/>
          <w:szCs w:val="24"/>
        </w:rPr>
        <w:t>Dalam arti paling luas ialah keseluruhan kebijakan yang dilakukan melalui perundang-undangan dan badan-badan resmi yang bertujuan untuk menegakkan norma-norma sentral dari masyarakat.</w:t>
      </w:r>
      <w:r w:rsidRPr="007576A7">
        <w:rPr>
          <w:rStyle w:val="FootnoteReference"/>
          <w:rFonts w:ascii="Times New Roman" w:hAnsi="Times New Roman"/>
          <w:color w:val="000000"/>
          <w:szCs w:val="24"/>
        </w:rPr>
        <w:footnoteReference w:id="10"/>
      </w:r>
    </w:p>
    <w:p w:rsidR="006D6C9A" w:rsidRPr="007576A7" w:rsidRDefault="006D6C9A" w:rsidP="006D6C9A">
      <w:pPr>
        <w:pStyle w:val="BodyText"/>
        <w:tabs>
          <w:tab w:val="clear" w:pos="709"/>
        </w:tabs>
        <w:ind w:left="1080"/>
        <w:rPr>
          <w:rFonts w:ascii="Times New Roman" w:hAnsi="Times New Roman"/>
          <w:color w:val="000000"/>
          <w:szCs w:val="24"/>
        </w:rPr>
      </w:pPr>
    </w:p>
    <w:p w:rsidR="006D6C9A" w:rsidRPr="007576A7" w:rsidRDefault="006D6C9A" w:rsidP="006D6C9A">
      <w:pPr>
        <w:pStyle w:val="BodyText"/>
        <w:ind w:firstLine="720"/>
        <w:rPr>
          <w:rFonts w:ascii="Times New Roman" w:hAnsi="Times New Roman"/>
          <w:color w:val="000000"/>
          <w:szCs w:val="24"/>
        </w:rPr>
      </w:pPr>
      <w:r w:rsidRPr="007576A7">
        <w:rPr>
          <w:rFonts w:ascii="Times New Roman" w:hAnsi="Times New Roman"/>
          <w:color w:val="000000"/>
          <w:szCs w:val="24"/>
        </w:rPr>
        <w:t xml:space="preserve">Kebijakan hukum yang akan atau telah dilaksanakan secara nasional oleh pemerintah; mencakup pula pengertian tentang bagaimana politik mempengaruhi hukum dengan cara melihat konfigurasi kekuatan yang ada di belakang pembuatan dan penegakan hukum itu. Disini hukum tidak. dapat hanya dipandang sebagai pasal-pasal yang bersifat </w:t>
      </w:r>
      <w:r w:rsidRPr="007576A7">
        <w:rPr>
          <w:rFonts w:ascii="Times New Roman" w:hAnsi="Times New Roman"/>
          <w:i/>
          <w:color w:val="000000"/>
          <w:szCs w:val="24"/>
        </w:rPr>
        <w:t>imperatif</w:t>
      </w:r>
      <w:r w:rsidRPr="007576A7">
        <w:rPr>
          <w:rFonts w:ascii="Times New Roman" w:hAnsi="Times New Roman"/>
          <w:color w:val="000000"/>
          <w:szCs w:val="24"/>
        </w:rPr>
        <w:t xml:space="preserve"> atau keharusan-keharusan, melainkan harus dipandang sebagai subsistem yang dalam kenyataan bukan tidak mungkin sangat ditentukan oleh politik, baik dalam perumusan materi dan pasal-pasalnya maupun dalam implementasi dan penegakannya.</w:t>
      </w:r>
    </w:p>
    <w:p w:rsidR="006D6C9A" w:rsidRPr="007576A7" w:rsidRDefault="006D6C9A" w:rsidP="006D6C9A">
      <w:pPr>
        <w:pStyle w:val="BodyText"/>
        <w:ind w:firstLine="720"/>
        <w:rPr>
          <w:rFonts w:ascii="Times New Roman" w:hAnsi="Times New Roman"/>
          <w:b/>
          <w:color w:val="000000"/>
          <w:szCs w:val="24"/>
        </w:rPr>
      </w:pPr>
      <w:r w:rsidRPr="007576A7">
        <w:rPr>
          <w:rFonts w:ascii="Times New Roman" w:hAnsi="Times New Roman"/>
          <w:color w:val="000000"/>
          <w:szCs w:val="24"/>
        </w:rPr>
        <w:t>Kebijakan hukum pidana itu pada intinya bagaimana hukum pidana dapat dirumuskan dengan baik dan memberikan pedoman kepada pembuat undang-</w:t>
      </w:r>
      <w:r w:rsidRPr="007576A7">
        <w:rPr>
          <w:rFonts w:ascii="Times New Roman" w:hAnsi="Times New Roman"/>
          <w:color w:val="000000"/>
          <w:szCs w:val="24"/>
        </w:rPr>
        <w:lastRenderedPageBreak/>
        <w:t>undang (kebijakan yudikatif) dan pelaksanaan hukum pidana (kebijakan eksekutif).</w:t>
      </w:r>
      <w:r w:rsidRPr="007576A7">
        <w:rPr>
          <w:rStyle w:val="FootnoteReference"/>
          <w:rFonts w:ascii="Times New Roman" w:hAnsi="Times New Roman"/>
          <w:color w:val="000000"/>
          <w:szCs w:val="24"/>
        </w:rPr>
        <w:footnoteReference w:id="11"/>
      </w:r>
      <w:r w:rsidRPr="007576A7">
        <w:rPr>
          <w:rFonts w:ascii="Times New Roman" w:hAnsi="Times New Roman"/>
          <w:color w:val="000000"/>
          <w:szCs w:val="24"/>
        </w:rPr>
        <w:t xml:space="preserve"> Melaksanakan politik hukum pidana berarti mengadakan pemilihan untuk mencapai hasil perundang-undangan pidana yang paling baik dalam arti memenuhi syarat keadilan dan daya guna atau usaha mewujudkan peraturan perundang-undangan pidana yang sesuai dengan keadaan dan situasi pada suatu waktu dan untuk masa-masa yang akan datang.</w:t>
      </w:r>
    </w:p>
    <w:p w:rsidR="006D6C9A" w:rsidRPr="007576A7" w:rsidRDefault="006D6C9A" w:rsidP="006D6C9A">
      <w:pPr>
        <w:pStyle w:val="BodyText"/>
        <w:ind w:firstLine="720"/>
        <w:rPr>
          <w:rFonts w:ascii="Times New Roman" w:hAnsi="Times New Roman"/>
          <w:color w:val="000000"/>
          <w:szCs w:val="24"/>
        </w:rPr>
      </w:pPr>
      <w:r w:rsidRPr="007576A7">
        <w:rPr>
          <w:rFonts w:ascii="Times New Roman" w:hAnsi="Times New Roman"/>
          <w:color w:val="000000"/>
          <w:szCs w:val="24"/>
        </w:rPr>
        <w:t>Ada tiga metode pendekatan dalam kebijakan kriminalisasi yang dapat dilakukan yaitu:</w:t>
      </w:r>
    </w:p>
    <w:p w:rsidR="006D6C9A" w:rsidRPr="007576A7" w:rsidRDefault="006D6C9A" w:rsidP="00443AD4">
      <w:pPr>
        <w:pStyle w:val="BodyText"/>
        <w:numPr>
          <w:ilvl w:val="3"/>
          <w:numId w:val="14"/>
        </w:numPr>
        <w:tabs>
          <w:tab w:val="clear" w:pos="709"/>
        </w:tabs>
        <w:autoSpaceDE w:val="0"/>
        <w:autoSpaceDN w:val="0"/>
        <w:adjustRightInd w:val="0"/>
        <w:ind w:left="1077"/>
        <w:rPr>
          <w:rFonts w:ascii="Times New Roman" w:hAnsi="Times New Roman"/>
          <w:szCs w:val="24"/>
        </w:rPr>
      </w:pPr>
      <w:r w:rsidRPr="007576A7">
        <w:rPr>
          <w:rFonts w:ascii="Times New Roman" w:hAnsi="Times New Roman"/>
          <w:szCs w:val="24"/>
        </w:rPr>
        <w:t xml:space="preserve">Metode evolusioner </w:t>
      </w:r>
      <w:r w:rsidRPr="007576A7">
        <w:rPr>
          <w:rFonts w:ascii="Times New Roman" w:hAnsi="Times New Roman"/>
          <w:i/>
          <w:szCs w:val="24"/>
        </w:rPr>
        <w:t>(evolutionary approach)</w:t>
      </w:r>
      <w:r w:rsidRPr="007576A7">
        <w:rPr>
          <w:rFonts w:ascii="Times New Roman" w:hAnsi="Times New Roman"/>
          <w:szCs w:val="24"/>
        </w:rPr>
        <w:t xml:space="preserve">. </w:t>
      </w:r>
    </w:p>
    <w:p w:rsidR="006D6C9A" w:rsidRPr="007576A7" w:rsidRDefault="006D6C9A" w:rsidP="006D6C9A">
      <w:pPr>
        <w:pStyle w:val="BodyText"/>
        <w:autoSpaceDE w:val="0"/>
        <w:autoSpaceDN w:val="0"/>
        <w:adjustRightInd w:val="0"/>
        <w:ind w:left="1077"/>
        <w:rPr>
          <w:rFonts w:ascii="Times New Roman" w:hAnsi="Times New Roman"/>
          <w:szCs w:val="24"/>
        </w:rPr>
      </w:pPr>
      <w:r w:rsidRPr="007576A7">
        <w:rPr>
          <w:rFonts w:ascii="Times New Roman" w:hAnsi="Times New Roman"/>
          <w:szCs w:val="24"/>
        </w:rPr>
        <w:t>Metode ini memberikan perbaikan, penyempurnaan dan amandemen terhadap peraturan-peraturan yang sudah lama ada dalam KUHP.</w:t>
      </w:r>
    </w:p>
    <w:p w:rsidR="006D6C9A" w:rsidRPr="007576A7" w:rsidRDefault="006D6C9A" w:rsidP="006D6C9A">
      <w:pPr>
        <w:pStyle w:val="BodyText"/>
        <w:autoSpaceDE w:val="0"/>
        <w:autoSpaceDN w:val="0"/>
        <w:adjustRightInd w:val="0"/>
        <w:ind w:left="1077"/>
        <w:rPr>
          <w:rFonts w:ascii="Times New Roman" w:hAnsi="Times New Roman"/>
          <w:szCs w:val="24"/>
        </w:rPr>
      </w:pPr>
    </w:p>
    <w:p w:rsidR="006D6C9A" w:rsidRPr="007576A7" w:rsidRDefault="006D6C9A" w:rsidP="00443AD4">
      <w:pPr>
        <w:pStyle w:val="BodyText"/>
        <w:numPr>
          <w:ilvl w:val="3"/>
          <w:numId w:val="14"/>
        </w:numPr>
        <w:tabs>
          <w:tab w:val="clear" w:pos="709"/>
        </w:tabs>
        <w:autoSpaceDE w:val="0"/>
        <w:autoSpaceDN w:val="0"/>
        <w:adjustRightInd w:val="0"/>
        <w:ind w:left="1077"/>
        <w:rPr>
          <w:rFonts w:ascii="Times New Roman" w:hAnsi="Times New Roman"/>
          <w:szCs w:val="24"/>
        </w:rPr>
      </w:pPr>
      <w:r w:rsidRPr="007576A7">
        <w:rPr>
          <w:rFonts w:ascii="Times New Roman" w:hAnsi="Times New Roman"/>
          <w:szCs w:val="24"/>
        </w:rPr>
        <w:t xml:space="preserve">Metode global </w:t>
      </w:r>
      <w:r w:rsidRPr="007576A7">
        <w:rPr>
          <w:rFonts w:ascii="Times New Roman" w:hAnsi="Times New Roman"/>
          <w:i/>
          <w:szCs w:val="24"/>
        </w:rPr>
        <w:t>(global approach)</w:t>
      </w:r>
      <w:r w:rsidRPr="007576A7">
        <w:rPr>
          <w:rFonts w:ascii="Times New Roman" w:hAnsi="Times New Roman"/>
          <w:szCs w:val="24"/>
        </w:rPr>
        <w:t>.</w:t>
      </w:r>
    </w:p>
    <w:p w:rsidR="006D6C9A" w:rsidRPr="007576A7" w:rsidRDefault="006D6C9A" w:rsidP="006D6C9A">
      <w:pPr>
        <w:pStyle w:val="BodyText"/>
        <w:autoSpaceDE w:val="0"/>
        <w:autoSpaceDN w:val="0"/>
        <w:adjustRightInd w:val="0"/>
        <w:ind w:left="1077"/>
        <w:rPr>
          <w:rFonts w:ascii="Times New Roman" w:hAnsi="Times New Roman"/>
          <w:szCs w:val="24"/>
        </w:rPr>
      </w:pPr>
      <w:r w:rsidRPr="007576A7">
        <w:rPr>
          <w:rFonts w:ascii="Times New Roman" w:hAnsi="Times New Roman"/>
          <w:szCs w:val="24"/>
        </w:rPr>
        <w:t>Metode ini dilakukan dengan membuat peraturan tersendiri di luar KUHP.</w:t>
      </w:r>
    </w:p>
    <w:p w:rsidR="006D6C9A" w:rsidRPr="007576A7" w:rsidRDefault="006D6C9A" w:rsidP="00443AD4">
      <w:pPr>
        <w:pStyle w:val="BodyText"/>
        <w:numPr>
          <w:ilvl w:val="3"/>
          <w:numId w:val="14"/>
        </w:numPr>
        <w:tabs>
          <w:tab w:val="clear" w:pos="709"/>
        </w:tabs>
        <w:autoSpaceDE w:val="0"/>
        <w:autoSpaceDN w:val="0"/>
        <w:adjustRightInd w:val="0"/>
        <w:ind w:left="1077"/>
        <w:rPr>
          <w:rFonts w:ascii="Times New Roman" w:hAnsi="Times New Roman"/>
          <w:szCs w:val="24"/>
        </w:rPr>
      </w:pPr>
      <w:r w:rsidRPr="007576A7">
        <w:rPr>
          <w:rFonts w:ascii="Times New Roman" w:hAnsi="Times New Roman"/>
          <w:szCs w:val="24"/>
        </w:rPr>
        <w:t xml:space="preserve">Metode kompromi </w:t>
      </w:r>
      <w:r w:rsidRPr="007576A7">
        <w:rPr>
          <w:rFonts w:ascii="Times New Roman" w:hAnsi="Times New Roman"/>
          <w:i/>
          <w:szCs w:val="24"/>
        </w:rPr>
        <w:t>(compromise approach)</w:t>
      </w:r>
      <w:r w:rsidRPr="007576A7">
        <w:rPr>
          <w:rFonts w:ascii="Times New Roman" w:hAnsi="Times New Roman"/>
          <w:szCs w:val="24"/>
        </w:rPr>
        <w:t>.</w:t>
      </w:r>
    </w:p>
    <w:p w:rsidR="006D6C9A" w:rsidRPr="007576A7" w:rsidRDefault="006D6C9A" w:rsidP="006D6C9A">
      <w:pPr>
        <w:pStyle w:val="BodyText"/>
        <w:autoSpaceDE w:val="0"/>
        <w:autoSpaceDN w:val="0"/>
        <w:adjustRightInd w:val="0"/>
        <w:ind w:left="1077"/>
        <w:rPr>
          <w:rFonts w:ascii="Times New Roman" w:hAnsi="Times New Roman"/>
          <w:szCs w:val="24"/>
        </w:rPr>
      </w:pPr>
      <w:r w:rsidRPr="007576A7">
        <w:rPr>
          <w:rFonts w:ascii="Times New Roman" w:hAnsi="Times New Roman"/>
          <w:szCs w:val="24"/>
        </w:rPr>
        <w:t>Metode ini dilakukan dengan cara menambah bab tersendiri dalam KUHP mengenai tindak pidana tertentu.</w:t>
      </w:r>
      <w:r w:rsidRPr="007576A7">
        <w:rPr>
          <w:rStyle w:val="FootnoteReference"/>
          <w:rFonts w:ascii="Times New Roman" w:hAnsi="Times New Roman"/>
          <w:szCs w:val="24"/>
        </w:rPr>
        <w:footnoteReference w:id="12"/>
      </w:r>
    </w:p>
    <w:p w:rsidR="006D6C9A" w:rsidRPr="007576A7" w:rsidRDefault="006D6C9A" w:rsidP="006D6C9A">
      <w:pPr>
        <w:pStyle w:val="BodyText"/>
        <w:ind w:firstLine="720"/>
        <w:rPr>
          <w:rFonts w:ascii="Times New Roman" w:hAnsi="Times New Roman"/>
          <w:color w:val="000000"/>
          <w:szCs w:val="24"/>
        </w:rPr>
      </w:pPr>
    </w:p>
    <w:p w:rsidR="006D6C9A" w:rsidRPr="007576A7" w:rsidRDefault="006D6C9A" w:rsidP="006D6C9A">
      <w:pPr>
        <w:autoSpaceDE w:val="0"/>
        <w:autoSpaceDN w:val="0"/>
        <w:adjustRightInd w:val="0"/>
        <w:spacing w:line="480" w:lineRule="auto"/>
        <w:ind w:firstLine="709"/>
        <w:jc w:val="both"/>
        <w:rPr>
          <w:color w:val="000000"/>
        </w:rPr>
      </w:pPr>
      <w:r w:rsidRPr="007576A7">
        <w:rPr>
          <w:color w:val="000000"/>
        </w:rPr>
        <w:t xml:space="preserve">Melaksanakan politik hukum pidana berarti mengadakan pemilihan untuk mencapai hasil peraturan perundang-undangan pidana yang paling baik dalam arti memenuhi syarat keadilan dan daya guna. Melaksanakan politik hukum pidana </w:t>
      </w:r>
      <w:r w:rsidRPr="007576A7">
        <w:rPr>
          <w:color w:val="000000"/>
        </w:rPr>
        <w:lastRenderedPageBreak/>
        <w:t>berarti usaha mewujudkan peraturan perundang-undangan pidana yang sesuai dengan keadaan dan situasi pada suatu waktu dan untuk masa-masa yang akan datang.</w:t>
      </w:r>
    </w:p>
    <w:p w:rsidR="006D6C9A" w:rsidRPr="007576A7" w:rsidRDefault="006D6C9A" w:rsidP="006D6C9A">
      <w:pPr>
        <w:autoSpaceDE w:val="0"/>
        <w:autoSpaceDN w:val="0"/>
        <w:adjustRightInd w:val="0"/>
        <w:spacing w:line="480" w:lineRule="auto"/>
        <w:ind w:firstLine="709"/>
        <w:jc w:val="both"/>
        <w:rPr>
          <w:color w:val="000000"/>
        </w:rPr>
      </w:pPr>
      <w:r w:rsidRPr="007576A7">
        <w:rPr>
          <w:color w:val="000000"/>
        </w:rPr>
        <w:t>Upaya penanggulangan kejahatan perlu ditempuh dengan pendekatan kebijakan dalam arti:</w:t>
      </w:r>
    </w:p>
    <w:p w:rsidR="006D6C9A" w:rsidRPr="007576A7" w:rsidRDefault="006D6C9A" w:rsidP="00443AD4">
      <w:pPr>
        <w:numPr>
          <w:ilvl w:val="1"/>
          <w:numId w:val="13"/>
        </w:numPr>
        <w:autoSpaceDE w:val="0"/>
        <w:autoSpaceDN w:val="0"/>
        <w:adjustRightInd w:val="0"/>
        <w:spacing w:line="480" w:lineRule="auto"/>
        <w:ind w:left="360"/>
        <w:jc w:val="both"/>
        <w:rPr>
          <w:color w:val="000000"/>
        </w:rPr>
      </w:pPr>
      <w:r w:rsidRPr="007576A7">
        <w:rPr>
          <w:color w:val="000000"/>
        </w:rPr>
        <w:t>Ada keterpaduan (integritas) antara politik kriminal dan politik sosial.</w:t>
      </w:r>
    </w:p>
    <w:p w:rsidR="006D6C9A" w:rsidRPr="007576A7" w:rsidRDefault="006D6C9A" w:rsidP="00443AD4">
      <w:pPr>
        <w:numPr>
          <w:ilvl w:val="1"/>
          <w:numId w:val="13"/>
        </w:numPr>
        <w:autoSpaceDE w:val="0"/>
        <w:autoSpaceDN w:val="0"/>
        <w:adjustRightInd w:val="0"/>
        <w:spacing w:line="480" w:lineRule="auto"/>
        <w:ind w:left="360"/>
        <w:jc w:val="both"/>
        <w:rPr>
          <w:color w:val="000000"/>
        </w:rPr>
      </w:pPr>
      <w:r w:rsidRPr="007576A7">
        <w:rPr>
          <w:color w:val="000000"/>
        </w:rPr>
        <w:t xml:space="preserve">Ada keterpaduan (integritas) antara upaya penanggulangan kejahatan dengan </w:t>
      </w:r>
      <w:r w:rsidRPr="007576A7">
        <w:rPr>
          <w:i/>
          <w:color w:val="000000"/>
        </w:rPr>
        <w:t xml:space="preserve"> penal </w:t>
      </w:r>
      <w:r w:rsidRPr="007576A7">
        <w:rPr>
          <w:color w:val="000000"/>
        </w:rPr>
        <w:t xml:space="preserve"> dan</w:t>
      </w:r>
      <w:r w:rsidRPr="007576A7">
        <w:rPr>
          <w:i/>
          <w:color w:val="000000"/>
        </w:rPr>
        <w:t xml:space="preserve"> nonpenal</w:t>
      </w:r>
      <w:r w:rsidRPr="007576A7">
        <w:rPr>
          <w:color w:val="000000"/>
        </w:rPr>
        <w:t>.</w:t>
      </w:r>
      <w:r w:rsidRPr="007576A7">
        <w:rPr>
          <w:rStyle w:val="FootnoteReference"/>
          <w:color w:val="000000"/>
        </w:rPr>
        <w:footnoteReference w:id="13"/>
      </w:r>
    </w:p>
    <w:p w:rsidR="006D6C9A" w:rsidRPr="007576A7" w:rsidRDefault="006D6C9A" w:rsidP="006D6C9A">
      <w:pPr>
        <w:autoSpaceDE w:val="0"/>
        <w:autoSpaceDN w:val="0"/>
        <w:adjustRightInd w:val="0"/>
        <w:spacing w:line="480" w:lineRule="auto"/>
        <w:ind w:firstLine="720"/>
        <w:jc w:val="both"/>
      </w:pPr>
      <w:r w:rsidRPr="007576A7">
        <w:rPr>
          <w:color w:val="000000"/>
        </w:rPr>
        <w:t xml:space="preserve">Kebijakan hukum pidana sebagai bagian dari politik hukum mengandung arti bagaimana mengusahakan atau membuat dan merumuskan suatu perundang-undangan yang baik. Kebijakan hukum pidana atau </w:t>
      </w:r>
      <w:r w:rsidRPr="007576A7">
        <w:rPr>
          <w:i/>
          <w:color w:val="000000"/>
        </w:rPr>
        <w:t>penal policy</w:t>
      </w:r>
      <w:r w:rsidRPr="007576A7">
        <w:t xml:space="preserve"> merupakan tindakan yang berhubungan dengan hal-hal:</w:t>
      </w:r>
    </w:p>
    <w:p w:rsidR="006D6C9A" w:rsidRPr="007576A7" w:rsidRDefault="006D6C9A" w:rsidP="00443AD4">
      <w:pPr>
        <w:numPr>
          <w:ilvl w:val="0"/>
          <w:numId w:val="15"/>
        </w:numPr>
        <w:autoSpaceDE w:val="0"/>
        <w:autoSpaceDN w:val="0"/>
        <w:adjustRightInd w:val="0"/>
        <w:spacing w:line="480" w:lineRule="auto"/>
        <w:ind w:left="1080"/>
        <w:jc w:val="both"/>
      </w:pPr>
      <w:r w:rsidRPr="007576A7">
        <w:t>Bagaimana upaya pemerintah untuk menanggulangi kejahatan dengan hukum pidana.</w:t>
      </w:r>
    </w:p>
    <w:p w:rsidR="006D6C9A" w:rsidRPr="007576A7" w:rsidRDefault="006D6C9A" w:rsidP="00443AD4">
      <w:pPr>
        <w:numPr>
          <w:ilvl w:val="0"/>
          <w:numId w:val="15"/>
        </w:numPr>
        <w:autoSpaceDE w:val="0"/>
        <w:autoSpaceDN w:val="0"/>
        <w:adjustRightInd w:val="0"/>
        <w:spacing w:line="480" w:lineRule="auto"/>
        <w:ind w:left="1080"/>
        <w:jc w:val="both"/>
      </w:pPr>
      <w:r w:rsidRPr="007576A7">
        <w:t>Bagaimana merumuskan hukum pidana agar sesuai dengan kondisi masyarakat.</w:t>
      </w:r>
    </w:p>
    <w:p w:rsidR="006D6C9A" w:rsidRPr="007576A7" w:rsidRDefault="006D6C9A" w:rsidP="00443AD4">
      <w:pPr>
        <w:numPr>
          <w:ilvl w:val="0"/>
          <w:numId w:val="15"/>
        </w:numPr>
        <w:autoSpaceDE w:val="0"/>
        <w:autoSpaceDN w:val="0"/>
        <w:adjustRightInd w:val="0"/>
        <w:spacing w:line="480" w:lineRule="auto"/>
        <w:ind w:left="1080"/>
        <w:jc w:val="both"/>
      </w:pPr>
      <w:r w:rsidRPr="007576A7">
        <w:t>Bagaimana kebijakan pemerintah untuk mengatur masyarakat dengan hukum pidana.</w:t>
      </w:r>
    </w:p>
    <w:p w:rsidR="006D6C9A" w:rsidRPr="007576A7" w:rsidRDefault="006D6C9A" w:rsidP="00443AD4">
      <w:pPr>
        <w:numPr>
          <w:ilvl w:val="0"/>
          <w:numId w:val="15"/>
        </w:numPr>
        <w:autoSpaceDE w:val="0"/>
        <w:autoSpaceDN w:val="0"/>
        <w:adjustRightInd w:val="0"/>
        <w:spacing w:line="480" w:lineRule="auto"/>
        <w:ind w:left="1080"/>
        <w:jc w:val="both"/>
      </w:pPr>
      <w:r w:rsidRPr="007576A7">
        <w:t>Bagaimana menggunakan hukum pidana untuk mengatur masyarakat dalam rangka mencapai tujuan yang lebih besar.</w:t>
      </w:r>
      <w:r w:rsidRPr="007576A7">
        <w:rPr>
          <w:rStyle w:val="FootnoteReference"/>
        </w:rPr>
        <w:footnoteReference w:id="14"/>
      </w:r>
    </w:p>
    <w:p w:rsidR="006D6C9A" w:rsidRPr="007576A7" w:rsidRDefault="006D6C9A" w:rsidP="006D6C9A">
      <w:pPr>
        <w:autoSpaceDE w:val="0"/>
        <w:autoSpaceDN w:val="0"/>
        <w:adjustRightInd w:val="0"/>
        <w:spacing w:line="480" w:lineRule="auto"/>
        <w:ind w:left="1080"/>
        <w:jc w:val="both"/>
      </w:pP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lastRenderedPageBreak/>
        <w:t xml:space="preserve">Menurut pendapat di atas,  pada hakekatnya masalah kebijakan hukum  pidana </w:t>
      </w:r>
      <w:r w:rsidRPr="007576A7">
        <w:rPr>
          <w:i/>
          <w:color w:val="000000"/>
        </w:rPr>
        <w:t>(penal policy)</w:t>
      </w:r>
      <w:r w:rsidRPr="007576A7">
        <w:rPr>
          <w:color w:val="000000"/>
        </w:rPr>
        <w:t xml:space="preserve"> bukanlah semata-mata pekerjaan teknik perundang-undangan yang dapat dilakukan secara yuridis normatif dan bersifat dogmatic. Di samping pendekatan yuridis normatif, kebijakan hukum pidana juga memerlukan pendekatan sosiologis, historis dan komporatif, bahkan memerlukan pula pendekatan komprehensif dari berbagai disiplin sosial lainnya dan pendekatan integral dengan kebijakan sosial dan pembangunan nasional pada umumnya.</w:t>
      </w:r>
      <w:r w:rsidRPr="007576A7">
        <w:rPr>
          <w:rStyle w:val="FootnoteReference"/>
          <w:color w:val="000000"/>
        </w:rPr>
        <w:footnoteReference w:id="15"/>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Usaha untuk membuat peraturan perundang-undangan hukum pidana yang baik tidak dapat dilepaskan dengan tujuan dari penanggulangan kejahatan itu sendiri. Upaya atau kebijakan untuk berbuat pencegahan dan penanggulangan kejahatan termasuk bidang kebijakan kriminal, maka kebijakan atau politik hukum pidana merupakan bagian dari kebijakan atau politik kriminal.</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Menanggulangi masalah tindak pidana, sekiranya hukum pidana yang dipilih sebagai sarana untuk mencapai tujuan, maka kebijakan hukum pidana tidak boleh lepas dari tujuan kebijakan yang lebih luas yaitu politik kriminal.  Kebijakan hukum pidana merupakan sub sistem dari politik kriminal sehingga wajar kalau tujuan kebijakan hukum pidana tidak boleh lepas dari tujuan politik kriminal, sedangkan politik kriminal itu sendiri merupakan sub sistem dari kebijakan yang lebih luas yaitu usaha penegakan hukum atau dikenal dengan kebijakan penegakan hukum. Demikian pula dengan kebijakan penegakan hukum khususnya hukum pidana tidak lepas dari kebijakan sosial yaitu segala usaha yang </w:t>
      </w:r>
      <w:r w:rsidRPr="007576A7">
        <w:rPr>
          <w:color w:val="000000"/>
        </w:rPr>
        <w:lastRenderedPageBreak/>
        <w:t>rasional untuk mencapai kesejahteraan masyarakat sekaligus mencakup perlindungan masyarakat.</w:t>
      </w:r>
    </w:p>
    <w:p w:rsidR="006D6C9A" w:rsidRPr="007576A7" w:rsidRDefault="006D6C9A" w:rsidP="006D6C9A">
      <w:pPr>
        <w:autoSpaceDE w:val="0"/>
        <w:autoSpaceDN w:val="0"/>
        <w:adjustRightInd w:val="0"/>
        <w:spacing w:line="480" w:lineRule="auto"/>
        <w:ind w:firstLine="720"/>
        <w:jc w:val="both"/>
      </w:pPr>
      <w:r w:rsidRPr="007576A7">
        <w:t>Ketentuan perundang-undangan yang mengatur masalah narkotika telah disusun dan diberlakukan, namun demikian kejahatan yang menyangkut narkotika ini belum dapat diredakan. Kasus-kasus terakhir ini telah banyak bandar-bandar dan pengedar narkoba tertangkap dan mendapat sanksi berat sampai hukuman mati yaitu tembak mati, namun pelaku yang lain seperti tidak mengacuhkan bahkan lebih cenderung untuk memperluas daerah operasinya.</w:t>
      </w:r>
      <w:r w:rsidRPr="007576A7">
        <w:rPr>
          <w:rStyle w:val="FootnoteReference"/>
        </w:rPr>
        <w:footnoteReference w:id="16"/>
      </w:r>
    </w:p>
    <w:p w:rsidR="006D6C9A" w:rsidRPr="007576A7" w:rsidRDefault="006D6C9A" w:rsidP="006D6C9A">
      <w:pPr>
        <w:autoSpaceDE w:val="0"/>
        <w:autoSpaceDN w:val="0"/>
        <w:adjustRightInd w:val="0"/>
        <w:spacing w:line="480" w:lineRule="auto"/>
        <w:ind w:firstLine="720"/>
        <w:jc w:val="both"/>
      </w:pPr>
      <w:r w:rsidRPr="007576A7">
        <w:t>Ruang lingkup hukum pidana mencakup tiga ketentuan yaitu tindak pidana, pertanggungjawaban, dan pemidanaan. Ketentuan pidana yang terdapat dalam UU No. 35 Tahun 2009 tentang Narkotika dirumuskan dalam Bab XV Ketentuan Pidana Pasal 111 sampai dengan Pasal 148. Undang-Undang No. 35 Tahun 2009 tentang Narkotika, terdapat empat kategorisasi tindakan melawan hukum yang dilarang oleh undang-undang dan dapat diancam dengan sanksi pidana, yakni:</w:t>
      </w:r>
    </w:p>
    <w:p w:rsidR="006D6C9A" w:rsidRPr="007576A7" w:rsidRDefault="006D6C9A" w:rsidP="00443AD4">
      <w:pPr>
        <w:numPr>
          <w:ilvl w:val="1"/>
          <w:numId w:val="12"/>
        </w:numPr>
        <w:tabs>
          <w:tab w:val="clear" w:pos="1440"/>
          <w:tab w:val="num" w:pos="1080"/>
        </w:tabs>
        <w:autoSpaceDE w:val="0"/>
        <w:autoSpaceDN w:val="0"/>
        <w:adjustRightInd w:val="0"/>
        <w:spacing w:line="480" w:lineRule="auto"/>
        <w:ind w:left="1080"/>
        <w:jc w:val="both"/>
      </w:pPr>
      <w:r w:rsidRPr="007576A7">
        <w:t>Perbuatan-perbuatan berupa memiliki, menyimpan, menguasai atau menyediakan narkotika dan precursor narkotika (Pasal 111 dan 112 untuk narkotika golongan I, Pasal 117 untuk narkotika golongan II dan Pasal 122 untuk narkotika golongan III serta Pasal 129 huruf (a));</w:t>
      </w:r>
    </w:p>
    <w:p w:rsidR="006D6C9A" w:rsidRPr="007576A7" w:rsidRDefault="006D6C9A" w:rsidP="00443AD4">
      <w:pPr>
        <w:numPr>
          <w:ilvl w:val="1"/>
          <w:numId w:val="12"/>
        </w:numPr>
        <w:tabs>
          <w:tab w:val="clear" w:pos="1440"/>
          <w:tab w:val="num" w:pos="1080"/>
        </w:tabs>
        <w:autoSpaceDE w:val="0"/>
        <w:autoSpaceDN w:val="0"/>
        <w:adjustRightInd w:val="0"/>
        <w:spacing w:line="480" w:lineRule="auto"/>
        <w:ind w:left="1080"/>
        <w:jc w:val="both"/>
      </w:pPr>
      <w:r w:rsidRPr="007576A7">
        <w:t xml:space="preserve">Perbuatan-perbuatan berupa memproduksi, mengimpor, mengekspor, atau menyalurkan narkotika dan precursor narkotika (Pasal 113 untuk </w:t>
      </w:r>
      <w:r w:rsidRPr="007576A7">
        <w:lastRenderedPageBreak/>
        <w:t>narkotika golongan I, Pasal 118 untuk narkotika golongan II, dan Pasal 123 untuk narkotika golongan III serta Pasal 129 huruf(b));</w:t>
      </w:r>
    </w:p>
    <w:p w:rsidR="006D6C9A" w:rsidRPr="007576A7" w:rsidRDefault="006D6C9A" w:rsidP="00443AD4">
      <w:pPr>
        <w:numPr>
          <w:ilvl w:val="1"/>
          <w:numId w:val="12"/>
        </w:numPr>
        <w:tabs>
          <w:tab w:val="clear" w:pos="1440"/>
          <w:tab w:val="num" w:pos="1080"/>
        </w:tabs>
        <w:autoSpaceDE w:val="0"/>
        <w:autoSpaceDN w:val="0"/>
        <w:adjustRightInd w:val="0"/>
        <w:spacing w:line="480" w:lineRule="auto"/>
        <w:ind w:left="1080"/>
        <w:jc w:val="both"/>
      </w:pPr>
      <w:r w:rsidRPr="007576A7">
        <w:t>Perbuatan-perbuatan berupa menawarkan untuk dijual, menjual, membeli, menerima, menjadi perantara dalam jual beli, menukar, atau menyerahkan narkotika dan prekursor narkotika (Pasal 114 dan Pasal 116 untuk narkotika golongan I, Pasal 119 dan Pasal 121 untuk narkotika golongan II Pasal 124 dan Pasal 126 untuk narkotika golongan III serta Pasal 129 huruf(c));</w:t>
      </w:r>
    </w:p>
    <w:p w:rsidR="006D6C9A" w:rsidRPr="007576A7" w:rsidRDefault="006D6C9A" w:rsidP="00443AD4">
      <w:pPr>
        <w:numPr>
          <w:ilvl w:val="1"/>
          <w:numId w:val="12"/>
        </w:numPr>
        <w:tabs>
          <w:tab w:val="clear" w:pos="1440"/>
          <w:tab w:val="num" w:pos="1080"/>
        </w:tabs>
        <w:autoSpaceDE w:val="0"/>
        <w:autoSpaceDN w:val="0"/>
        <w:adjustRightInd w:val="0"/>
        <w:spacing w:line="480" w:lineRule="auto"/>
        <w:ind w:left="1080"/>
        <w:jc w:val="both"/>
      </w:pPr>
      <w:r w:rsidRPr="007576A7">
        <w:t>Perbuatan-perbuatan berupa membawa, mengirim, mengangkut atau mentransit narkotika dan precursor narkotika (Pasal 115 untuk narkotika golongan I, Pasal 120 untuk narkotika golongan II dan Pasal 125 untuk narkotika golongan III serta Pasal 129 huruf (d)).</w:t>
      </w:r>
      <w:r w:rsidRPr="007576A7">
        <w:rPr>
          <w:rStyle w:val="FootnoteReference"/>
        </w:rPr>
        <w:footnoteReference w:id="17"/>
      </w:r>
    </w:p>
    <w:p w:rsidR="006D6C9A" w:rsidRPr="007576A7" w:rsidRDefault="006D6C9A" w:rsidP="006D6C9A">
      <w:pPr>
        <w:autoSpaceDE w:val="0"/>
        <w:autoSpaceDN w:val="0"/>
        <w:adjustRightInd w:val="0"/>
        <w:spacing w:line="480" w:lineRule="auto"/>
        <w:jc w:val="both"/>
      </w:pPr>
    </w:p>
    <w:p w:rsidR="006D6C9A" w:rsidRPr="007576A7" w:rsidRDefault="006D6C9A" w:rsidP="006D6C9A">
      <w:pPr>
        <w:spacing w:line="480" w:lineRule="auto"/>
        <w:ind w:firstLine="720"/>
        <w:jc w:val="both"/>
      </w:pPr>
      <w:r w:rsidRPr="007576A7">
        <w:t>Penanggulangan terhadap tindak pidana narkotika akan ditempuh melalui dua aspek yakni :</w:t>
      </w:r>
    </w:p>
    <w:p w:rsidR="006D6C9A" w:rsidRPr="007576A7" w:rsidRDefault="006D6C9A" w:rsidP="00443AD4">
      <w:pPr>
        <w:numPr>
          <w:ilvl w:val="2"/>
          <w:numId w:val="12"/>
        </w:numPr>
        <w:tabs>
          <w:tab w:val="clear" w:pos="2160"/>
          <w:tab w:val="num" w:pos="360"/>
        </w:tabs>
        <w:autoSpaceDE w:val="0"/>
        <w:autoSpaceDN w:val="0"/>
        <w:adjustRightInd w:val="0"/>
        <w:spacing w:line="480" w:lineRule="auto"/>
        <w:ind w:left="360"/>
        <w:rPr>
          <w:color w:val="000000"/>
        </w:rPr>
      </w:pPr>
      <w:r w:rsidRPr="007576A7">
        <w:rPr>
          <w:color w:val="000000"/>
        </w:rPr>
        <w:t xml:space="preserve">Aspek penal (hukum pidana); </w:t>
      </w:r>
    </w:p>
    <w:p w:rsidR="006D6C9A" w:rsidRPr="007576A7" w:rsidRDefault="006D6C9A" w:rsidP="00443AD4">
      <w:pPr>
        <w:numPr>
          <w:ilvl w:val="2"/>
          <w:numId w:val="12"/>
        </w:numPr>
        <w:tabs>
          <w:tab w:val="clear" w:pos="2160"/>
          <w:tab w:val="num" w:pos="360"/>
        </w:tabs>
        <w:autoSpaceDE w:val="0"/>
        <w:autoSpaceDN w:val="0"/>
        <w:adjustRightInd w:val="0"/>
        <w:spacing w:line="480" w:lineRule="auto"/>
        <w:ind w:left="360"/>
        <w:rPr>
          <w:color w:val="000000"/>
        </w:rPr>
      </w:pPr>
      <w:r w:rsidRPr="007576A7">
        <w:rPr>
          <w:color w:val="000000"/>
        </w:rPr>
        <w:t xml:space="preserve">Aspek non penal (pencegahan). </w:t>
      </w:r>
    </w:p>
    <w:p w:rsidR="006D6C9A" w:rsidRPr="007576A7" w:rsidRDefault="006D6C9A" w:rsidP="006D6C9A">
      <w:pPr>
        <w:spacing w:line="480" w:lineRule="auto"/>
        <w:ind w:firstLine="720"/>
        <w:jc w:val="both"/>
      </w:pPr>
      <w:r w:rsidRPr="007576A7">
        <w:rPr>
          <w:bCs/>
        </w:rPr>
        <w:t>Aspek penal</w:t>
      </w:r>
      <w:r w:rsidRPr="007576A7">
        <w:t xml:space="preserve"> diawali dengan analisis terhadap ketentuan perundang-undangan pidana yang berkaitan dengan narkotika dan psikotropika khususnya terhadap kebijakan hukum pidana (</w:t>
      </w:r>
      <w:r w:rsidRPr="007576A7">
        <w:rPr>
          <w:i/>
          <w:iCs/>
        </w:rPr>
        <w:t>penal policy</w:t>
      </w:r>
      <w:r w:rsidRPr="007576A7">
        <w:t>), melalui kajian normatif yang merupakan tahap kebijakan legislatief. Kajian selanjutnya dilakukan dengan mengamati pelaksanaan ketentuan perundang-undangan pidana (</w:t>
      </w:r>
      <w:r w:rsidRPr="007576A7">
        <w:rPr>
          <w:i/>
          <w:iCs/>
        </w:rPr>
        <w:t>in abstrakto</w:t>
      </w:r>
      <w:r w:rsidRPr="007576A7">
        <w:t xml:space="preserve">) </w:t>
      </w:r>
      <w:r w:rsidRPr="007576A7">
        <w:lastRenderedPageBreak/>
        <w:t>narkotika dan psikotropika ke perundang-undangan pidana (</w:t>
      </w:r>
      <w:r w:rsidRPr="007576A7">
        <w:rPr>
          <w:i/>
          <w:iCs/>
        </w:rPr>
        <w:t>in konkrito</w:t>
      </w:r>
      <w:r w:rsidRPr="007576A7">
        <w:t>) melalui mekanisme sistem peradilan pidana terpadu yang merupakan tahap kebijakan aplikatief yang selanjutnya akan diteruskan pada tahak kebijakan eksekutif. Temuan dari analisis hasil penelitian aspek penal terhadap narkotika dan psikotropika, merupakan bahan masukan untuk melakukan perbaikan dalam perencanaan penanggulangan penyalahgunaan narkotika dikemudian hari.</w:t>
      </w:r>
      <w:r w:rsidRPr="007576A7">
        <w:rPr>
          <w:rStyle w:val="FootnoteReference"/>
        </w:rPr>
        <w:footnoteReference w:id="18"/>
      </w:r>
    </w:p>
    <w:p w:rsidR="006D6C9A" w:rsidRPr="007576A7" w:rsidRDefault="006D6C9A" w:rsidP="006D6C9A">
      <w:pPr>
        <w:spacing w:line="480" w:lineRule="auto"/>
        <w:ind w:firstLine="720"/>
        <w:jc w:val="both"/>
      </w:pPr>
      <w:r w:rsidRPr="007576A7">
        <w:t xml:space="preserve">Kebijakan kriminal terhadap narkotika di Indonesia harus dilakukan sesuai dengan konsep-konsep dasar kriminalisasi. Kebijakan kriminal ini harus merupakan bagian dari kebijakan sosial atau kebijakan pembangunan nasional. Penegasan bahwa antara upaya penanggulangan kejahatan dan perencanaan sosial perlu terintegrasi dalam keseluruhan kebijakan sosial sosial dan perencanaan pembangunan. Sudarto menyatakan bahwa apabila hukum pidana hendak dilibatkan dalam usaha mengatasi segi-segi negatif dari perkembangan masyarakat (modernisasi), maka hendaknya dilihat dalam hubungan keseluruhan politik kriminal atau </w:t>
      </w:r>
      <w:r w:rsidRPr="007576A7">
        <w:rPr>
          <w:i/>
        </w:rPr>
        <w:t>social defence planing</w:t>
      </w:r>
      <w:r w:rsidRPr="007576A7">
        <w:t>, dan inipun harus merupakan bagian integral dari perencanaan pembangunan nasional.</w:t>
      </w:r>
      <w:r w:rsidRPr="007576A7">
        <w:rPr>
          <w:rStyle w:val="FootnoteReference"/>
        </w:rPr>
        <w:footnoteReference w:id="19"/>
      </w:r>
    </w:p>
    <w:p w:rsidR="006D6C9A" w:rsidRPr="007576A7" w:rsidRDefault="006D6C9A" w:rsidP="006D6C9A">
      <w:pPr>
        <w:spacing w:line="480" w:lineRule="auto"/>
        <w:ind w:firstLine="720"/>
        <w:jc w:val="both"/>
      </w:pPr>
      <w:bookmarkStart w:id="0" w:name="_Hlk176801807"/>
      <w:r w:rsidRPr="007576A7">
        <w:t>Kebijakan hukum pidana dalam Undang-Undang Nomor 35 Tahun 2009 Tentang Narkotika merupakan kebijakan penal dalam undang-undang itu antara lain dapat diidentifikasikan sebagai berikut :</w:t>
      </w:r>
    </w:p>
    <w:p w:rsidR="006D6C9A" w:rsidRPr="007576A7" w:rsidRDefault="006D6C9A" w:rsidP="00443AD4">
      <w:pPr>
        <w:numPr>
          <w:ilvl w:val="0"/>
          <w:numId w:val="17"/>
        </w:numPr>
        <w:autoSpaceDE w:val="0"/>
        <w:autoSpaceDN w:val="0"/>
        <w:adjustRightInd w:val="0"/>
        <w:spacing w:line="480" w:lineRule="auto"/>
        <w:ind w:left="360"/>
        <w:jc w:val="both"/>
        <w:rPr>
          <w:color w:val="000000"/>
        </w:rPr>
      </w:pPr>
      <w:r w:rsidRPr="007576A7">
        <w:rPr>
          <w:color w:val="000000"/>
        </w:rPr>
        <w:t xml:space="preserve">Kebijakan kriminalisasi </w:t>
      </w:r>
      <w:bookmarkEnd w:id="0"/>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Kebijakan kriminalisasi dari Undang-Undang Narkotika terfokus pada penyalahgunaan dan peredaran narkobanya (mulai dari penanaman, produksi, </w:t>
      </w:r>
      <w:r w:rsidRPr="007576A7">
        <w:rPr>
          <w:color w:val="000000"/>
        </w:rPr>
        <w:lastRenderedPageBreak/>
        <w:t xml:space="preserve">penyaluran, lalu lintas, pengedaran sampai ke pemakaiannya, termasuk pemakaian pribadi), tidak pada kekayaan </w:t>
      </w:r>
      <w:r w:rsidRPr="007576A7">
        <w:rPr>
          <w:i/>
          <w:color w:val="000000"/>
        </w:rPr>
        <w:t>(property/assets)</w:t>
      </w:r>
      <w:r w:rsidRPr="007576A7">
        <w:rPr>
          <w:color w:val="000000"/>
        </w:rPr>
        <w:t xml:space="preserve"> yang diperoleh dari tindak pidana narkobanya itu sendiri. </w:t>
      </w:r>
      <w:r w:rsidRPr="007576A7">
        <w:rPr>
          <w:rStyle w:val="FootnoteReference"/>
          <w:color w:val="000000"/>
        </w:rPr>
        <w:footnoteReference w:id="20"/>
      </w:r>
    </w:p>
    <w:p w:rsidR="006D6C9A" w:rsidRPr="007576A7" w:rsidRDefault="006D6C9A" w:rsidP="00443AD4">
      <w:pPr>
        <w:numPr>
          <w:ilvl w:val="0"/>
          <w:numId w:val="17"/>
        </w:numPr>
        <w:autoSpaceDE w:val="0"/>
        <w:autoSpaceDN w:val="0"/>
        <w:adjustRightInd w:val="0"/>
        <w:spacing w:line="480" w:lineRule="auto"/>
        <w:ind w:left="360"/>
        <w:rPr>
          <w:color w:val="000000"/>
        </w:rPr>
      </w:pPr>
      <w:bookmarkStart w:id="1" w:name="_Hlk176801824"/>
      <w:r w:rsidRPr="007576A7">
        <w:t>Kualifikasi tindak pidana</w:t>
      </w:r>
      <w:bookmarkEnd w:id="1"/>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Undang No. 35 Tahun 2009 Tentang Narkotika sama sekali tidak menyebutkan kualifikasi Tindak Pidana.  Tidak jelas pula alasan perubahan sikap/kebijakan pembuat Undang-Undang Nomor 35 Tahun 2009 Tentang Narkotika yang tidak menyebutkan kualifikasi delik, pada hal dalam Undang-Undang Narkotika yang lama (Undang-Undang Nomor 9 Tahun 1976) disebutkan kualifikasinya secara tegas dalam Pasal 50, yaitu semua delik dinyatakan sebagai kejahatan kecuali 1 (satu) tindak pidana (dalam Pasal 47) dinyatakan sebagai pelanggaran yang hanya diancam dengan pidana kurungan maksimum 1 (satu) tahun. Di dalam Undang-Undang Nomor 22 Tahun 1997, ada juga tindak pidana yang diancam dengan pidana ringan berupa kurungan yakni Pasal 86, Pasal 88, Pasal 94, tetapi tidak dinyatakan/dikualifikasikan sebagai pelanggaran.</w:t>
      </w:r>
    </w:p>
    <w:p w:rsidR="006D6C9A" w:rsidRPr="007576A7" w:rsidRDefault="006D6C9A" w:rsidP="00443AD4">
      <w:pPr>
        <w:numPr>
          <w:ilvl w:val="0"/>
          <w:numId w:val="17"/>
        </w:numPr>
        <w:autoSpaceDE w:val="0"/>
        <w:autoSpaceDN w:val="0"/>
        <w:adjustRightInd w:val="0"/>
        <w:spacing w:line="480" w:lineRule="auto"/>
        <w:ind w:left="360"/>
        <w:rPr>
          <w:color w:val="000000"/>
        </w:rPr>
      </w:pPr>
      <w:bookmarkStart w:id="2" w:name="_Hlk176801836"/>
      <w:r w:rsidRPr="007576A7">
        <w:t>Perumusan sanksi pidana</w:t>
      </w:r>
    </w:p>
    <w:bookmarkEnd w:id="2"/>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Kebanyakan sanksi pidana dalam kedua Undang-Undang Nomor 35 Tahun 2009 Tentang Narkotika di atas dirumuskan secara kumulatif. Bahkan, ada pidana penjara seumur hidup yang dikumulasikan dengan pidana denda. Hal ini dapat menimbulkan masalah karena dengan perumusan kumulatif yang bersifat mengharuskan (imperatif) itu, seseorang yang dijatuhi pidana penjara seumur hidup seolah-olah harus juga dijatuhi pidana denda. </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lastRenderedPageBreak/>
        <w:t xml:space="preserve">Perumusan kumulasi yang paling banyak adalah antara pidana penjara/pidana mati dan denda yang cukup besar (ratusan juta dan ada yang miliaran rupiah). Hal ini pun dikhawatirkan tidak efektif dan dapat menimbulkan masalah, karena ada ketentuan dalam Pasal 148 Undang-Undang No. 35 Tahun 2009 bahwa  apabila denda tidak dibayar, dikenakan pidana penjara paling laman 2 (dua) tahun. Dengan demikian, kemungkinan besar ancaman pidana denda yang sangat besar itu tidak akan efektif, karena kalau tidak dibayar Bagi terdakwa, ancaman pidana penjara pengganti denda itu mungkin tidak mempunyai pengaruh apa-apa, karena apabila denda itu dibayar, ia pun akan tetap terkena pidana penjara (karena diancamkan secara kumulatif). Oleh karena itu, kemungkinan besar ia tidak akan membayar dendanya.  Demikian pula pidana denda yang tinggi itu tidak akan efektif dikenakan kepada korporasi, karena dalam Undang-Undang Narkotika ini tidak ada aturan khusus bagi korporasi yang tidak membayar denda. </w:t>
      </w:r>
    </w:p>
    <w:p w:rsidR="006D6C9A" w:rsidRPr="007576A7" w:rsidRDefault="006D6C9A" w:rsidP="00443AD4">
      <w:pPr>
        <w:numPr>
          <w:ilvl w:val="0"/>
          <w:numId w:val="17"/>
        </w:numPr>
        <w:autoSpaceDE w:val="0"/>
        <w:autoSpaceDN w:val="0"/>
        <w:adjustRightInd w:val="0"/>
        <w:spacing w:line="480" w:lineRule="auto"/>
        <w:ind w:left="360"/>
        <w:jc w:val="both"/>
        <w:rPr>
          <w:color w:val="000000"/>
        </w:rPr>
      </w:pPr>
      <w:r w:rsidRPr="007576A7">
        <w:t>Ancaman pidana minimal</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Undang-Undang Nomor 35 Tahun 2009 Tentang Narkotika ada delik yang diberi ancaman pidana minimal khusus. Kebijakan formulasi demikian merupakan penyimpangan dari sistem KUHP.  Penyimpangan yang demikian ini seharusnya disertai dengan pedoman atau aturan penerapan pidana minimal yang bersifat khusus pula agar tidak menimbulkan masalah apabila ada penyertaan, percobaan, concursus, recidive, dan lain-lain alasan peringanan/pemberatan pidana. Kenyataan dalam praktek hakim mengalami kesulitan menerapkan ancaman pidana minimal ini; sehingga ada hakim yang menjatuhkan pidana dibawah ancaman minimal.</w:t>
      </w:r>
    </w:p>
    <w:p w:rsidR="006D6C9A" w:rsidRPr="007576A7" w:rsidRDefault="006D6C9A" w:rsidP="00443AD4">
      <w:pPr>
        <w:numPr>
          <w:ilvl w:val="0"/>
          <w:numId w:val="17"/>
        </w:numPr>
        <w:autoSpaceDE w:val="0"/>
        <w:autoSpaceDN w:val="0"/>
        <w:adjustRightInd w:val="0"/>
        <w:spacing w:line="480" w:lineRule="auto"/>
        <w:ind w:left="360"/>
        <w:jc w:val="both"/>
        <w:rPr>
          <w:color w:val="000000"/>
        </w:rPr>
      </w:pPr>
      <w:r w:rsidRPr="007576A7">
        <w:lastRenderedPageBreak/>
        <w:t>Percobaan, pembantuan dan permufakatan jahat</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Pasal 132 Undang-Undang Nomor 35 Tahun 2009 Tentang Narkotika bahwa percobaan atau permufakatan jahat dipidana sama dengan delik yang bersangkutan. Perbantuan </w:t>
      </w:r>
      <w:r w:rsidRPr="007576A7">
        <w:rPr>
          <w:i/>
          <w:color w:val="000000"/>
        </w:rPr>
        <w:t>(medeplichtige)</w:t>
      </w:r>
      <w:r w:rsidRPr="007576A7">
        <w:rPr>
          <w:color w:val="000000"/>
        </w:rPr>
        <w:t xml:space="preserve"> dalam melakukan tindak pidana narkotika. Menurut Undang-Undang Nomor 35 Tahun 2009 Tentang Narkotika bahwa pembantu dipidana sama dengan pelaku tindak pidana. Mengenai permufakatan jahat juga terlihat aturan yang menyatakan bahwa pelakunya dipidana dengan pidana penjara yang sama sesuai dengan ketentuan sebagaimana yang dirumuskan dalam Psal 111 s.d. Pasal 126 dan Pasal 129. Menurut ketentuan Pasal 132 ayat (2) dalam hal perbuatan sebagaimana dimaksud dalam Pasal 111 s.d Pasal 126 dan Pasal 129 dilakukan secara terorganisasi, pidana penjara dan pidana denda maksimumnya ditambah 1/3 (sepertiga). </w:t>
      </w:r>
    </w:p>
    <w:p w:rsidR="006D6C9A" w:rsidRPr="007576A7" w:rsidRDefault="006D6C9A" w:rsidP="00443AD4">
      <w:pPr>
        <w:numPr>
          <w:ilvl w:val="0"/>
          <w:numId w:val="17"/>
        </w:numPr>
        <w:autoSpaceDE w:val="0"/>
        <w:autoSpaceDN w:val="0"/>
        <w:adjustRightInd w:val="0"/>
        <w:spacing w:line="480" w:lineRule="auto"/>
        <w:ind w:left="360"/>
        <w:jc w:val="both"/>
        <w:rPr>
          <w:color w:val="000000"/>
        </w:rPr>
      </w:pPr>
      <w:r w:rsidRPr="007576A7">
        <w:t>Pertanggungjawaban pidana korporasi</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Undang-Undang Nomor 35 Tahun 2009 Tentang Narkotika  bahwa korporasi yang melakukan tindak pidana narkotika diatur dalam Pasal 130 ayat (1) dan ayat (2) Dalam undang-undang itu tidak ada ketentuan mengenai kapan atau dalam hal bagaimana korporasi dikatakan telah melakukan tindak pidana, dan kapan (dalam hal bagaimana) korporasi dapat dipertanggungjawabkan. Undang-undang itu hanya mengatur tentang siapa yang dipertanggungjawabkan. Menurut Undang-Undang Nomor 35 Tahun 2009 Tentang Narkotika, dalam hal tindak pidana dilakukan oleh korporasi selain pidana penjara dan denda terhadap pengurusnya, pidana yang dapat dijatuhkan terhadap korporasi berupa pidana denda dengan pemberatan 3 (tiga) kali dari pidana denda sebagaimana dimaksud </w:t>
      </w:r>
      <w:r w:rsidRPr="007576A7">
        <w:rPr>
          <w:color w:val="000000"/>
        </w:rPr>
        <w:lastRenderedPageBreak/>
        <w:t xml:space="preserve">dalam Pasal 111 s.d Pasal 126 dan Pasal 129. Korporasi dapat juga dijatuhi pidana tambahan berupa : </w:t>
      </w:r>
    </w:p>
    <w:p w:rsidR="006D6C9A" w:rsidRPr="007576A7" w:rsidRDefault="006D6C9A" w:rsidP="00443AD4">
      <w:pPr>
        <w:numPr>
          <w:ilvl w:val="3"/>
          <w:numId w:val="13"/>
        </w:numPr>
        <w:autoSpaceDE w:val="0"/>
        <w:autoSpaceDN w:val="0"/>
        <w:adjustRightInd w:val="0"/>
        <w:spacing w:line="480" w:lineRule="auto"/>
        <w:ind w:left="360"/>
        <w:jc w:val="both"/>
        <w:rPr>
          <w:color w:val="000000"/>
        </w:rPr>
      </w:pPr>
      <w:r w:rsidRPr="007576A7">
        <w:rPr>
          <w:color w:val="000000"/>
        </w:rPr>
        <w:t xml:space="preserve">Pencabutan izin usaha; </w:t>
      </w:r>
    </w:p>
    <w:p w:rsidR="006D6C9A" w:rsidRPr="007576A7" w:rsidRDefault="006D6C9A" w:rsidP="00443AD4">
      <w:pPr>
        <w:numPr>
          <w:ilvl w:val="3"/>
          <w:numId w:val="13"/>
        </w:numPr>
        <w:autoSpaceDE w:val="0"/>
        <w:autoSpaceDN w:val="0"/>
        <w:adjustRightInd w:val="0"/>
        <w:spacing w:line="480" w:lineRule="auto"/>
        <w:ind w:left="360"/>
        <w:jc w:val="both"/>
        <w:rPr>
          <w:color w:val="000000"/>
        </w:rPr>
      </w:pPr>
      <w:r w:rsidRPr="007576A7">
        <w:rPr>
          <w:color w:val="000000"/>
        </w:rPr>
        <w:t>Pencabutan status badan hukum.</w:t>
      </w:r>
      <w:r w:rsidRPr="007576A7">
        <w:rPr>
          <w:rStyle w:val="FootnoteReference"/>
          <w:color w:val="000000"/>
        </w:rPr>
        <w:footnoteReference w:id="21"/>
      </w:r>
      <w:r w:rsidRPr="007576A7">
        <w:rPr>
          <w:color w:val="000000"/>
        </w:rPr>
        <w:t xml:space="preserve"> </w:t>
      </w:r>
    </w:p>
    <w:p w:rsidR="006D6C9A" w:rsidRPr="007576A7" w:rsidRDefault="006D6C9A" w:rsidP="006D6C9A">
      <w:pPr>
        <w:autoSpaceDE w:val="0"/>
        <w:autoSpaceDN w:val="0"/>
        <w:adjustRightInd w:val="0"/>
        <w:spacing w:line="480" w:lineRule="auto"/>
        <w:ind w:firstLine="720"/>
        <w:jc w:val="both"/>
        <w:rPr>
          <w:color w:val="000000"/>
        </w:rPr>
      </w:pPr>
      <w:r w:rsidRPr="007576A7">
        <w:rPr>
          <w:color w:val="000000"/>
        </w:rPr>
        <w:t xml:space="preserve">Apabila putusan pidana denda sebagaimana diatur dalam Undang-Undang Nomor 35 Tahun 2009 Tentang Narkotika tidak dapat dibayar oleh pelaku tindak pidana narkotika dan tindak pidana prekursor narkotika, pelaku dijatuhi pidana penjara paling lama 2 (dua) tahun sebagai pengganti pidana denda yang tidak dapat dibayar. </w:t>
      </w:r>
    </w:p>
    <w:p w:rsidR="006D6C9A" w:rsidRPr="007576A7" w:rsidRDefault="006D6C9A" w:rsidP="00443AD4">
      <w:pPr>
        <w:numPr>
          <w:ilvl w:val="0"/>
          <w:numId w:val="11"/>
        </w:numPr>
        <w:tabs>
          <w:tab w:val="clear" w:pos="720"/>
          <w:tab w:val="num" w:pos="360"/>
        </w:tabs>
        <w:autoSpaceDE w:val="0"/>
        <w:autoSpaceDN w:val="0"/>
        <w:adjustRightInd w:val="0"/>
        <w:spacing w:line="480" w:lineRule="auto"/>
        <w:ind w:left="360"/>
        <w:jc w:val="both"/>
        <w:rPr>
          <w:b/>
          <w:lang w:val="id-ID" w:eastAsia="id-ID"/>
        </w:rPr>
      </w:pPr>
      <w:r w:rsidRPr="007576A7">
        <w:rPr>
          <w:b/>
          <w:lang w:val="sv-SE"/>
        </w:rPr>
        <w:t xml:space="preserve">Pertimbangan Hukum Hakim Menjatuhkan Sanksi Terhadap </w:t>
      </w:r>
      <w:r w:rsidRPr="007576A7">
        <w:rPr>
          <w:b/>
        </w:rPr>
        <w:t>Pengguna</w:t>
      </w:r>
      <w:r w:rsidRPr="007576A7">
        <w:rPr>
          <w:b/>
          <w:lang w:val="sv-SE"/>
        </w:rPr>
        <w:t xml:space="preserve"> </w:t>
      </w:r>
      <w:r w:rsidRPr="007576A7">
        <w:rPr>
          <w:b/>
        </w:rPr>
        <w:t xml:space="preserve">Narkotika </w:t>
      </w:r>
      <w:r w:rsidRPr="007576A7">
        <w:rPr>
          <w:b/>
          <w:color w:val="000000"/>
        </w:rPr>
        <w:t xml:space="preserve">Dalam Putusan </w:t>
      </w:r>
      <w:r w:rsidRPr="007576A7">
        <w:rPr>
          <w:b/>
          <w:lang w:val="fi-FI"/>
        </w:rPr>
        <w:t xml:space="preserve">Mahkamah Agung Nomor </w:t>
      </w:r>
      <w:r w:rsidRPr="007576A7">
        <w:rPr>
          <w:b/>
          <w:color w:val="000000"/>
        </w:rPr>
        <w:t>758 K/Pid.Sus/2020</w:t>
      </w:r>
    </w:p>
    <w:p w:rsidR="006D6C9A" w:rsidRPr="007576A7" w:rsidRDefault="006D6C9A" w:rsidP="00443AD4">
      <w:pPr>
        <w:pStyle w:val="BodyTextIndent"/>
        <w:numPr>
          <w:ilvl w:val="0"/>
          <w:numId w:val="20"/>
        </w:numPr>
        <w:tabs>
          <w:tab w:val="clear" w:pos="0"/>
          <w:tab w:val="left" w:pos="851"/>
        </w:tabs>
        <w:ind w:left="852" w:hanging="426"/>
        <w:rPr>
          <w:b/>
          <w:szCs w:val="24"/>
        </w:rPr>
      </w:pPr>
      <w:r w:rsidRPr="007576A7">
        <w:rPr>
          <w:b/>
          <w:szCs w:val="24"/>
        </w:rPr>
        <w:t>Kronologis Kasus</w:t>
      </w:r>
    </w:p>
    <w:p w:rsidR="006D6C9A" w:rsidRPr="007576A7" w:rsidRDefault="006D6C9A" w:rsidP="006D6C9A">
      <w:pPr>
        <w:spacing w:line="480" w:lineRule="auto"/>
        <w:ind w:firstLine="720"/>
        <w:jc w:val="both"/>
        <w:rPr>
          <w:lang w:val="id-ID" w:eastAsia="id-ID"/>
        </w:rPr>
      </w:pPr>
      <w:r w:rsidRPr="007576A7">
        <w:t xml:space="preserve">Terdakwa dalam kasus ini adalah </w:t>
      </w:r>
      <w:r w:rsidRPr="007576A7">
        <w:rPr>
          <w:bCs/>
          <w:lang w:val="id-ID" w:eastAsia="id-ID"/>
        </w:rPr>
        <w:t xml:space="preserve">Rico Rizky Siregar Alias Rico </w:t>
      </w:r>
      <w:r w:rsidRPr="007576A7">
        <w:rPr>
          <w:lang w:val="id-ID" w:eastAsia="id-ID"/>
        </w:rPr>
        <w:t>pada hari Sabtu tanggal 19 Januari 2019 sekitar pukul 16.00Wib atau setidak-tidaknya pada suatu waktu lain dalam bulan Januari tahun 2019, bertempat di Kampung Padang Kec. Bilah Hulu Kab. Labuhanbatu, atau setidak-tidaknya pada suatu tempat dalam daerah hukum Pengadilan Negeri Rantau Prapat, tanpa hak atau melawan hukum menawarkan untuk dijual, menjual, membeli, menerima, menjadi perantara dalam jual beli, menukar, atau menyerahkan Narkotika Golongan I.</w:t>
      </w:r>
    </w:p>
    <w:p w:rsidR="006D6C9A" w:rsidRPr="007576A7" w:rsidRDefault="006D6C9A" w:rsidP="006D6C9A">
      <w:pPr>
        <w:spacing w:line="480" w:lineRule="auto"/>
        <w:ind w:firstLine="720"/>
        <w:jc w:val="both"/>
        <w:rPr>
          <w:lang w:val="id-ID" w:eastAsia="id-ID"/>
        </w:rPr>
      </w:pPr>
      <w:r w:rsidRPr="007576A7">
        <w:rPr>
          <w:lang w:val="id-ID" w:eastAsia="id-ID"/>
        </w:rPr>
        <w:t xml:space="preserve">Perbuatan tersebut dilakukan terdakwa antara lain dengan cara pada  hari Sabtu tanggal 19 Januari 2019 sekitar pukul 15.00 wib, terdakwa Rico Rizky Siregar alias Rico sedang berada di Jln. Pattimura Sumber sari, Ds. Perbaungan, </w:t>
      </w:r>
      <w:r w:rsidRPr="007576A7">
        <w:rPr>
          <w:lang w:val="id-ID" w:eastAsia="id-ID"/>
        </w:rPr>
        <w:lastRenderedPageBreak/>
        <w:t>Kec. Bilah Hulu, Kab. Labuhanbatu lalu seseorang yang terdakwa tidak diketahui namanya datang menghampirin terdakwa, lalu terdakwa pergi ke rumah Jamal (DPO) dengan menaiki angkutan umum dan sebelum terdakwa sampai di rumah Jamal  dan setelah terdakwa sampai di tempat Jamal nongkrong/mangkal dan terdakwa melihat Jamal sedang duduk duduk sendirian dibawah pohon, lalu terdakwa menghampirinnya dan memberikan 1 (satu) bungkus plastick klip berisikan narkotika Jenis sabu dengan tangan kanannya lalu terdakwa menerima dengan tangan kanan terdakwa dan terdakwa pergi meninggalkan Jamal dengan berjalan kaki menuju pulang, di dalam perjalanan terdakwa tetap memegang/menggenggam dengan tangan kanan terdakwa, lalu terdakwa meng SMS seseorang yang memesan narkotika jenis sabu tersebut.</w:t>
      </w:r>
    </w:p>
    <w:p w:rsidR="006D6C9A" w:rsidRPr="007576A7" w:rsidRDefault="006D6C9A" w:rsidP="006D6C9A">
      <w:pPr>
        <w:spacing w:line="480" w:lineRule="auto"/>
        <w:ind w:firstLine="720"/>
        <w:jc w:val="both"/>
        <w:rPr>
          <w:lang w:val="id-ID" w:eastAsia="id-ID"/>
        </w:rPr>
      </w:pPr>
      <w:r w:rsidRPr="007576A7">
        <w:rPr>
          <w:lang w:val="id-ID" w:eastAsia="id-ID"/>
        </w:rPr>
        <w:t>Sesampainya terdakwa di pos jaga malam Sumber Sari terdakwa menunggu sendirian, dan sekitar pukul 16.25 wib terdakwa melihat seseorang pemesan narkotika jenis sabu tersebut datang dan sekira pukul 16.30 Wib di Dsn Sumber Sari, Ds Perbaungan, Kec. Bilah Hulu Kab. Labuhanbatu sebelum terdakwa memberikan 1 (satu) bungkus plastick klip berisi narkotika jenis sabu tersebut terdakwa ditangkap/diamankan  dan pada saat ditangkap terdakwa sempat melemparkan/menjatuhkan 1 (satu) bungkus plastik klip berisikan narkotika jenis sabu ke bawah tanah.</w:t>
      </w:r>
    </w:p>
    <w:p w:rsidR="006D6C9A" w:rsidRPr="007576A7" w:rsidRDefault="006D6C9A" w:rsidP="006D6C9A">
      <w:pPr>
        <w:spacing w:line="480" w:lineRule="auto"/>
        <w:ind w:firstLine="720"/>
        <w:jc w:val="both"/>
        <w:rPr>
          <w:lang w:val="id-ID" w:eastAsia="id-ID"/>
        </w:rPr>
      </w:pPr>
      <w:r w:rsidRPr="007576A7">
        <w:rPr>
          <w:lang w:val="id-ID" w:eastAsia="id-ID"/>
        </w:rPr>
        <w:t xml:space="preserve">Terdakwa melihat saksi SP. Siahaan, saksi Endar Muda Rambe dan saksi Parlindungan Simanjuntak mengambil 1 (satu) bungkus plastik klip berisikan narkotika jenis sabu tersebut dan langsung memperlihatkan kepada terdakwa, dan selanjutnya terdakwa dan barang bukti diamankan dan dibawa ke kantor Polsek </w:t>
      </w:r>
      <w:r w:rsidRPr="007576A7">
        <w:rPr>
          <w:lang w:val="id-ID" w:eastAsia="id-ID"/>
        </w:rPr>
        <w:lastRenderedPageBreak/>
        <w:t>Bilah Hulu dan selanjutnya Terdakwa diserahkan ke Polres Labuhanbatu guna proses hukum lebih lanjut.</w:t>
      </w:r>
    </w:p>
    <w:p w:rsidR="006D6C9A" w:rsidRPr="007576A7" w:rsidRDefault="006D6C9A" w:rsidP="006D6C9A">
      <w:pPr>
        <w:spacing w:line="480" w:lineRule="auto"/>
        <w:ind w:firstLine="720"/>
        <w:jc w:val="both"/>
        <w:rPr>
          <w:lang w:val="id-ID" w:eastAsia="id-ID"/>
        </w:rPr>
      </w:pPr>
      <w:r w:rsidRPr="007576A7">
        <w:rPr>
          <w:lang w:val="id-ID" w:eastAsia="id-ID"/>
        </w:rPr>
        <w:t>Terdakwa tidak memilik ijin dari pihak yang berwenang dalam menawarkan untuk dijual, menjual, membeli, menerima, menjadi perantara dalam jual beli, menukar, atau menyerahkan Narkotika Golongan I jenis sabu-sabu. Berdasarkan berita acara penimbangan barang bukti Nomor : 45/01.10102/2019 tanggal21 Januari 2019 yang ditandatangani oleh Lutfi Zamri Lubis, SE selaku Pimpinan Cabang dan Vera selaku Penaksir. Dengan hasil taksiran timbangan terhadap barang bukti sebagai berikut : 1 (satu) bungkus plastik klip berisi kristal Narkotika jenis sabu dengan berat brutto 0,16 gram dan berat netto 0,06 gram.</w:t>
      </w:r>
    </w:p>
    <w:p w:rsidR="006D6C9A" w:rsidRPr="007576A7" w:rsidRDefault="006D6C9A" w:rsidP="006D6C9A">
      <w:pPr>
        <w:spacing w:line="480" w:lineRule="auto"/>
        <w:ind w:firstLine="720"/>
        <w:jc w:val="both"/>
        <w:rPr>
          <w:bCs/>
          <w:lang w:val="id-ID" w:eastAsia="id-ID"/>
        </w:rPr>
      </w:pPr>
      <w:r w:rsidRPr="007576A7">
        <w:rPr>
          <w:lang w:val="id-ID" w:eastAsia="id-ID"/>
        </w:rPr>
        <w:t>Sesuai dengan berita acara analisa laboratorium barang bukti narkotika pada Labfor Bareskrim Polri Cabang Medan, No.LAB : 1317/NNF/2019 pada hari Rabu tanggal 13 Februari 2019, yang dibuat oleh pemeriksa Zulni Erma, R. Fani Miranda S.T, yang diketahui oleh Dra. Melta Tarigan, M.Si selaku Waka Laboratorium Forensik Cabang Medan, dengan berkesimpulan: Bahwa barang bukti berupa : 1 (Satu) bungkus plastik klip warna bening berisi kristal warna putih dengan berat netto 0,06 gram diduga mengandung narkotika milik terdakwa Rico Rizky Siregar alias Rico adalah benar mengandung Metamfetamina dan terdaftar dalam Golongan I (satu) nomor urut 61 Lampiran Undang-Undang No. 35 Tahun 2009 tentang Narkotika.</w:t>
      </w:r>
    </w:p>
    <w:p w:rsidR="006D6C9A" w:rsidRPr="007576A7" w:rsidRDefault="006D6C9A" w:rsidP="006D6C9A">
      <w:pPr>
        <w:tabs>
          <w:tab w:val="left" w:pos="2340"/>
        </w:tabs>
        <w:spacing w:line="480" w:lineRule="auto"/>
        <w:ind w:firstLine="720"/>
        <w:jc w:val="both"/>
      </w:pPr>
      <w:r w:rsidRPr="007576A7">
        <w:tab/>
      </w:r>
    </w:p>
    <w:p w:rsidR="006D6C9A" w:rsidRPr="007576A7" w:rsidRDefault="006D6C9A" w:rsidP="00443AD4">
      <w:pPr>
        <w:numPr>
          <w:ilvl w:val="0"/>
          <w:numId w:val="20"/>
        </w:numPr>
        <w:autoSpaceDE w:val="0"/>
        <w:autoSpaceDN w:val="0"/>
        <w:adjustRightInd w:val="0"/>
        <w:spacing w:line="480" w:lineRule="auto"/>
        <w:ind w:left="360"/>
        <w:jc w:val="both"/>
        <w:rPr>
          <w:b/>
        </w:rPr>
      </w:pPr>
      <w:r w:rsidRPr="007576A7">
        <w:rPr>
          <w:b/>
        </w:rPr>
        <w:t>Dakwaan Penuntut Umum.</w:t>
      </w:r>
    </w:p>
    <w:p w:rsidR="006D6C9A" w:rsidRPr="007576A7" w:rsidRDefault="006D6C9A" w:rsidP="006D6C9A">
      <w:pPr>
        <w:autoSpaceDE w:val="0"/>
        <w:autoSpaceDN w:val="0"/>
        <w:adjustRightInd w:val="0"/>
        <w:spacing w:line="480" w:lineRule="auto"/>
        <w:ind w:firstLine="709"/>
        <w:jc w:val="both"/>
      </w:pPr>
      <w:r w:rsidRPr="007576A7">
        <w:lastRenderedPageBreak/>
        <w:t>Berdasarkan kronologis kasus di atas, maka Jaksa Penuntut Umum mendakwa terdakwa dengan dakwaan alternatif sebagai berikut :</w:t>
      </w:r>
    </w:p>
    <w:p w:rsidR="006D6C9A" w:rsidRPr="007576A7" w:rsidRDefault="006D6C9A" w:rsidP="00443AD4">
      <w:pPr>
        <w:numPr>
          <w:ilvl w:val="0"/>
          <w:numId w:val="24"/>
        </w:numPr>
        <w:autoSpaceDE w:val="0"/>
        <w:autoSpaceDN w:val="0"/>
        <w:adjustRightInd w:val="0"/>
        <w:spacing w:line="480" w:lineRule="auto"/>
        <w:ind w:left="1134"/>
        <w:jc w:val="both"/>
      </w:pPr>
      <w:r w:rsidRPr="007576A7">
        <w:rPr>
          <w:lang w:val="id-ID"/>
        </w:rPr>
        <w:t xml:space="preserve">Dakwaan primair : </w:t>
      </w:r>
      <w:r w:rsidRPr="007576A7">
        <w:t xml:space="preserve">Perbuatan terdakwa sebagaimana </w:t>
      </w:r>
      <w:r w:rsidRPr="007576A7">
        <w:rPr>
          <w:lang w:val="id-ID" w:eastAsia="id-ID"/>
        </w:rPr>
        <w:t>diatur dan diancam pidana dalam Pasal 114 ayat (1) Undang-Undang No. 35 Tahun 2009 tentang Narkotika</w:t>
      </w:r>
      <w:r w:rsidRPr="007576A7">
        <w:t>.</w:t>
      </w:r>
    </w:p>
    <w:p w:rsidR="006D6C9A" w:rsidRPr="007576A7" w:rsidRDefault="006D6C9A" w:rsidP="00443AD4">
      <w:pPr>
        <w:numPr>
          <w:ilvl w:val="0"/>
          <w:numId w:val="24"/>
        </w:numPr>
        <w:autoSpaceDE w:val="0"/>
        <w:autoSpaceDN w:val="0"/>
        <w:adjustRightInd w:val="0"/>
        <w:spacing w:line="480" w:lineRule="auto"/>
        <w:ind w:left="1134"/>
        <w:jc w:val="both"/>
      </w:pPr>
      <w:r w:rsidRPr="007576A7">
        <w:t xml:space="preserve">Perbuatan </w:t>
      </w:r>
      <w:r w:rsidRPr="007576A7">
        <w:rPr>
          <w:lang w:val="id-ID"/>
        </w:rPr>
        <w:t xml:space="preserve">subsidair : </w:t>
      </w:r>
      <w:r w:rsidRPr="007576A7">
        <w:t>Perbuatan terdakwa sebagaimana</w:t>
      </w:r>
      <w:r w:rsidRPr="007576A7">
        <w:rPr>
          <w:lang w:val="id-ID"/>
        </w:rPr>
        <w:t xml:space="preserve"> </w:t>
      </w:r>
      <w:r w:rsidRPr="007576A7">
        <w:rPr>
          <w:lang w:val="id-ID" w:eastAsia="id-ID"/>
        </w:rPr>
        <w:t>diatur dan diancam pidana dalam Pasal 112ayat (1) Undang-Undang No. 35 Tahun 2009 tentang Narkotika.</w:t>
      </w:r>
    </w:p>
    <w:p w:rsidR="006D6C9A" w:rsidRPr="007576A7" w:rsidRDefault="006D6C9A" w:rsidP="006D6C9A">
      <w:pPr>
        <w:autoSpaceDE w:val="0"/>
        <w:autoSpaceDN w:val="0"/>
        <w:adjustRightInd w:val="0"/>
        <w:spacing w:line="480" w:lineRule="auto"/>
        <w:ind w:left="360"/>
        <w:jc w:val="both"/>
      </w:pPr>
    </w:p>
    <w:p w:rsidR="006D6C9A" w:rsidRPr="007576A7" w:rsidRDefault="006D6C9A" w:rsidP="00443AD4">
      <w:pPr>
        <w:numPr>
          <w:ilvl w:val="0"/>
          <w:numId w:val="20"/>
        </w:numPr>
        <w:autoSpaceDE w:val="0"/>
        <w:autoSpaceDN w:val="0"/>
        <w:adjustRightInd w:val="0"/>
        <w:spacing w:line="480" w:lineRule="auto"/>
        <w:ind w:left="360"/>
        <w:jc w:val="both"/>
        <w:rPr>
          <w:b/>
        </w:rPr>
      </w:pPr>
      <w:r w:rsidRPr="007576A7">
        <w:rPr>
          <w:b/>
        </w:rPr>
        <w:t>Tuntutan Penuntut Umum.</w:t>
      </w:r>
    </w:p>
    <w:p w:rsidR="006D6C9A" w:rsidRPr="007576A7" w:rsidRDefault="006D6C9A" w:rsidP="006D6C9A">
      <w:pPr>
        <w:autoSpaceDE w:val="0"/>
        <w:autoSpaceDN w:val="0"/>
        <w:adjustRightInd w:val="0"/>
        <w:spacing w:line="480" w:lineRule="auto"/>
        <w:ind w:firstLine="709"/>
        <w:jc w:val="both"/>
      </w:pPr>
      <w:r w:rsidRPr="007576A7">
        <w:t>Tuntutan pidana yang diajukan oleh Penuntut Umum yang pada pokoknya sebagai berikut:</w:t>
      </w:r>
    </w:p>
    <w:p w:rsidR="006D6C9A" w:rsidRPr="007576A7" w:rsidRDefault="006D6C9A" w:rsidP="00443AD4">
      <w:pPr>
        <w:numPr>
          <w:ilvl w:val="0"/>
          <w:numId w:val="25"/>
        </w:numPr>
        <w:tabs>
          <w:tab w:val="left" w:pos="993"/>
        </w:tabs>
        <w:autoSpaceDE w:val="0"/>
        <w:autoSpaceDN w:val="0"/>
        <w:adjustRightInd w:val="0"/>
        <w:spacing w:line="480" w:lineRule="auto"/>
        <w:ind w:left="993"/>
        <w:jc w:val="both"/>
        <w:rPr>
          <w:color w:val="000000"/>
          <w:lang w:val="id-ID" w:eastAsia="id-ID"/>
        </w:rPr>
      </w:pPr>
      <w:r w:rsidRPr="007576A7">
        <w:t>Menyatakan</w:t>
      </w:r>
      <w:r w:rsidRPr="007576A7">
        <w:rPr>
          <w:lang w:val="id-ID"/>
        </w:rPr>
        <w:t xml:space="preserve"> t</w:t>
      </w:r>
      <w:r w:rsidRPr="007576A7">
        <w:rPr>
          <w:color w:val="000000"/>
          <w:lang w:val="id-ID" w:eastAsia="id-ID"/>
        </w:rPr>
        <w:t>erdakwa Rico Rizky Siregar Alias Rico tidak terbukti secara sah dan meyakinkan bersalah melakukan tindak pidana “Tanpa hak atau melawan hukum menawarkan untuk dijual, menjual, membeli, menerima,menjadi perantara dalam jual beli, menukar, atau menyerahkan Narkotika Golongan I”</w:t>
      </w:r>
      <w:r w:rsidRPr="007576A7">
        <w:rPr>
          <w:color w:val="1C1C1C"/>
          <w:lang w:val="id-ID" w:eastAsia="id-ID"/>
        </w:rPr>
        <w:t xml:space="preserve">, sebagaimana diatur dan diancam pidana dalam dakwaan primair : </w:t>
      </w:r>
      <w:r w:rsidRPr="007576A7">
        <w:rPr>
          <w:color w:val="000000"/>
          <w:lang w:val="id-ID" w:eastAsia="id-ID"/>
        </w:rPr>
        <w:t>Pasal 114 Ayat (1) UU RI No. 35 tahun 2009 tentang Narkotika;</w:t>
      </w:r>
    </w:p>
    <w:p w:rsidR="006D6C9A" w:rsidRPr="007576A7" w:rsidRDefault="006D6C9A" w:rsidP="00443AD4">
      <w:pPr>
        <w:numPr>
          <w:ilvl w:val="0"/>
          <w:numId w:val="25"/>
        </w:numPr>
        <w:tabs>
          <w:tab w:val="left" w:pos="993"/>
        </w:tabs>
        <w:autoSpaceDE w:val="0"/>
        <w:autoSpaceDN w:val="0"/>
        <w:adjustRightInd w:val="0"/>
        <w:spacing w:line="480" w:lineRule="auto"/>
        <w:ind w:left="993"/>
        <w:jc w:val="both"/>
        <w:rPr>
          <w:color w:val="000000"/>
          <w:lang w:val="id-ID" w:eastAsia="id-ID"/>
        </w:rPr>
      </w:pPr>
      <w:r w:rsidRPr="007576A7">
        <w:rPr>
          <w:color w:val="000000"/>
          <w:lang w:val="id-ID" w:eastAsia="id-ID"/>
        </w:rPr>
        <w:t>Membebaskan terdakwa dari dakwaan Primair tersebut;</w:t>
      </w:r>
    </w:p>
    <w:p w:rsidR="006D6C9A" w:rsidRPr="007576A7" w:rsidRDefault="006D6C9A" w:rsidP="00443AD4">
      <w:pPr>
        <w:numPr>
          <w:ilvl w:val="0"/>
          <w:numId w:val="25"/>
        </w:numPr>
        <w:tabs>
          <w:tab w:val="left" w:pos="993"/>
        </w:tabs>
        <w:autoSpaceDE w:val="0"/>
        <w:autoSpaceDN w:val="0"/>
        <w:adjustRightInd w:val="0"/>
        <w:spacing w:line="480" w:lineRule="auto"/>
        <w:ind w:left="993"/>
        <w:jc w:val="both"/>
        <w:rPr>
          <w:color w:val="000000"/>
          <w:lang w:val="id-ID" w:eastAsia="id-ID"/>
        </w:rPr>
      </w:pPr>
      <w:r w:rsidRPr="007576A7">
        <w:rPr>
          <w:color w:val="000000"/>
          <w:lang w:val="id-ID" w:eastAsia="id-ID"/>
        </w:rPr>
        <w:t xml:space="preserve">Menyatakan terdakwa Rico Rizky Siregar Alias Rico telah terbukti bersalah melakukan tindak pidana “Tanpa hak atau melawan hukum memiliki, menguasai Narkotika Golongan I Bukan Tanaman” </w:t>
      </w:r>
      <w:r w:rsidRPr="007576A7">
        <w:rPr>
          <w:color w:val="000000"/>
          <w:lang w:val="id-ID" w:eastAsia="id-ID"/>
        </w:rPr>
        <w:lastRenderedPageBreak/>
        <w:t>sebagaimana diatur dan diancam pidana dalam Dakwaan Subsidair : Pasal 112 Ayat (1) UU RI No. 35 Tahun 2009 tentang Narkotika;</w:t>
      </w:r>
    </w:p>
    <w:p w:rsidR="006D6C9A" w:rsidRPr="007576A7" w:rsidRDefault="006D6C9A" w:rsidP="00443AD4">
      <w:pPr>
        <w:numPr>
          <w:ilvl w:val="0"/>
          <w:numId w:val="25"/>
        </w:numPr>
        <w:tabs>
          <w:tab w:val="left" w:pos="993"/>
        </w:tabs>
        <w:autoSpaceDE w:val="0"/>
        <w:autoSpaceDN w:val="0"/>
        <w:adjustRightInd w:val="0"/>
        <w:spacing w:line="480" w:lineRule="auto"/>
        <w:ind w:left="993"/>
        <w:jc w:val="both"/>
      </w:pPr>
      <w:r w:rsidRPr="007576A7">
        <w:rPr>
          <w:color w:val="000000"/>
          <w:lang w:val="id-ID" w:eastAsia="id-ID"/>
        </w:rPr>
        <w:t>Menjatuhkan pidana terhadap terdakwa Rico Rizky Siregar Alias Rico dengan pidana penjara selama 8 (delapan) tahun penjara dikurangi selama terdakwa berada dalam tahanan dan denda Rp.800.000.000,00 (delapan ratus juta rupiah) Subsidair 6 (enam) bulan Penjara.</w:t>
      </w:r>
    </w:p>
    <w:p w:rsidR="006D6C9A" w:rsidRPr="007576A7" w:rsidRDefault="006D6C9A" w:rsidP="00443AD4">
      <w:pPr>
        <w:numPr>
          <w:ilvl w:val="0"/>
          <w:numId w:val="25"/>
        </w:numPr>
        <w:tabs>
          <w:tab w:val="left" w:pos="993"/>
        </w:tabs>
        <w:autoSpaceDE w:val="0"/>
        <w:autoSpaceDN w:val="0"/>
        <w:adjustRightInd w:val="0"/>
        <w:spacing w:line="480" w:lineRule="auto"/>
        <w:ind w:left="993"/>
        <w:jc w:val="both"/>
        <w:rPr>
          <w:lang w:val="id-ID" w:eastAsia="id-ID"/>
        </w:rPr>
      </w:pPr>
      <w:r w:rsidRPr="007576A7">
        <w:rPr>
          <w:lang w:val="id-ID" w:eastAsia="id-ID"/>
        </w:rPr>
        <w:t>Menyatakan barang bukti berupa :</w:t>
      </w:r>
    </w:p>
    <w:p w:rsidR="006D6C9A" w:rsidRPr="007576A7" w:rsidRDefault="006D6C9A" w:rsidP="00443AD4">
      <w:pPr>
        <w:numPr>
          <w:ilvl w:val="2"/>
          <w:numId w:val="18"/>
        </w:numPr>
        <w:autoSpaceDE w:val="0"/>
        <w:autoSpaceDN w:val="0"/>
        <w:adjustRightInd w:val="0"/>
        <w:spacing w:line="480" w:lineRule="auto"/>
        <w:ind w:left="1418"/>
        <w:jc w:val="both"/>
        <w:rPr>
          <w:lang w:val="id-ID" w:eastAsia="id-ID"/>
        </w:rPr>
      </w:pPr>
      <w:r w:rsidRPr="007576A7">
        <w:rPr>
          <w:lang w:val="id-ID" w:eastAsia="id-ID"/>
        </w:rPr>
        <w:t>1 (satu) bungkus plastik klip kecil yang berisikan serbuk kristal putih diduga Narkoika jenis sabu seberat 0,08 gram netto;</w:t>
      </w:r>
    </w:p>
    <w:p w:rsidR="006D6C9A" w:rsidRPr="007576A7" w:rsidRDefault="006D6C9A" w:rsidP="00443AD4">
      <w:pPr>
        <w:numPr>
          <w:ilvl w:val="2"/>
          <w:numId w:val="18"/>
        </w:numPr>
        <w:autoSpaceDE w:val="0"/>
        <w:autoSpaceDN w:val="0"/>
        <w:adjustRightInd w:val="0"/>
        <w:spacing w:line="480" w:lineRule="auto"/>
        <w:ind w:left="1418"/>
        <w:jc w:val="both"/>
        <w:rPr>
          <w:lang w:val="id-ID" w:eastAsia="id-ID"/>
        </w:rPr>
      </w:pPr>
      <w:r w:rsidRPr="007576A7">
        <w:rPr>
          <w:lang w:val="id-ID" w:eastAsia="id-ID"/>
        </w:rPr>
        <w:t>1 (satu) buah Hp merk Nokia warna biru;</w:t>
      </w:r>
    </w:p>
    <w:p w:rsidR="006D6C9A" w:rsidRPr="007576A7" w:rsidRDefault="006D6C9A" w:rsidP="006D6C9A">
      <w:pPr>
        <w:autoSpaceDE w:val="0"/>
        <w:autoSpaceDN w:val="0"/>
        <w:adjustRightInd w:val="0"/>
        <w:spacing w:line="480" w:lineRule="auto"/>
        <w:ind w:left="993"/>
        <w:jc w:val="both"/>
        <w:rPr>
          <w:lang w:val="id-ID" w:eastAsia="id-ID"/>
        </w:rPr>
      </w:pPr>
      <w:r w:rsidRPr="007576A7">
        <w:rPr>
          <w:lang w:val="id-ID" w:eastAsia="id-ID"/>
        </w:rPr>
        <w:t>Dirampas untuk dimusnahkan.</w:t>
      </w:r>
    </w:p>
    <w:p w:rsidR="006D6C9A" w:rsidRPr="007576A7" w:rsidRDefault="006D6C9A" w:rsidP="00443AD4">
      <w:pPr>
        <w:numPr>
          <w:ilvl w:val="0"/>
          <w:numId w:val="25"/>
        </w:numPr>
        <w:autoSpaceDE w:val="0"/>
        <w:autoSpaceDN w:val="0"/>
        <w:adjustRightInd w:val="0"/>
        <w:spacing w:line="480" w:lineRule="auto"/>
        <w:ind w:left="993"/>
        <w:jc w:val="both"/>
      </w:pPr>
      <w:r w:rsidRPr="007576A7">
        <w:rPr>
          <w:lang w:val="id-ID" w:eastAsia="id-ID"/>
        </w:rPr>
        <w:t>Menetapkan agar terdakwa dibebani membayar biaya perkara sebesar Rp. 5.000,- (lima ribu rupiah)</w:t>
      </w:r>
      <w:r w:rsidRPr="007576A7">
        <w:rPr>
          <w:lang w:eastAsia="id-ID"/>
        </w:rPr>
        <w:t>.</w:t>
      </w:r>
    </w:p>
    <w:p w:rsidR="006D6C9A" w:rsidRPr="007576A7" w:rsidRDefault="006D6C9A" w:rsidP="006D6C9A">
      <w:pPr>
        <w:autoSpaceDE w:val="0"/>
        <w:autoSpaceDN w:val="0"/>
        <w:adjustRightInd w:val="0"/>
        <w:spacing w:line="480" w:lineRule="auto"/>
        <w:ind w:left="360"/>
        <w:jc w:val="both"/>
      </w:pPr>
    </w:p>
    <w:p w:rsidR="006D6C9A" w:rsidRPr="007576A7" w:rsidRDefault="006D6C9A" w:rsidP="00443AD4">
      <w:pPr>
        <w:numPr>
          <w:ilvl w:val="0"/>
          <w:numId w:val="20"/>
        </w:numPr>
        <w:autoSpaceDE w:val="0"/>
        <w:autoSpaceDN w:val="0"/>
        <w:adjustRightInd w:val="0"/>
        <w:spacing w:line="480" w:lineRule="auto"/>
        <w:ind w:left="360"/>
        <w:jc w:val="both"/>
        <w:rPr>
          <w:b/>
        </w:rPr>
      </w:pPr>
      <w:r w:rsidRPr="007576A7">
        <w:rPr>
          <w:b/>
        </w:rPr>
        <w:t>Amar Putusan.</w:t>
      </w:r>
    </w:p>
    <w:p w:rsidR="006D6C9A" w:rsidRPr="007576A7" w:rsidRDefault="006D6C9A" w:rsidP="006D6C9A">
      <w:pPr>
        <w:spacing w:line="480" w:lineRule="auto"/>
        <w:ind w:firstLine="720"/>
        <w:jc w:val="both"/>
      </w:pPr>
      <w:r w:rsidRPr="007576A7">
        <w:t xml:space="preserve">Pengadilan Negeri </w:t>
      </w:r>
      <w:r w:rsidRPr="007576A7">
        <w:rPr>
          <w:lang w:val="id-ID" w:eastAsia="id-ID"/>
        </w:rPr>
        <w:t>Rantau Prapat</w:t>
      </w:r>
      <w:r w:rsidRPr="007576A7">
        <w:t xml:space="preserve"> memberikan putusan Nomor </w:t>
      </w:r>
      <w:r w:rsidRPr="007576A7">
        <w:rPr>
          <w:lang w:val="id-ID"/>
        </w:rPr>
        <w:t xml:space="preserve"> </w:t>
      </w:r>
      <w:r w:rsidRPr="007576A7">
        <w:rPr>
          <w:bCs/>
          <w:lang w:val="id-ID" w:eastAsia="id-ID"/>
        </w:rPr>
        <w:t>449/Pid.Sus/2019/PN Rap</w:t>
      </w:r>
      <w:r w:rsidRPr="007576A7">
        <w:rPr>
          <w:lang w:val="id-ID" w:eastAsia="id-ID"/>
        </w:rPr>
        <w:t>, pada hari Selasa tanggal 6 Agustus 2019</w:t>
      </w:r>
      <w:r w:rsidRPr="007576A7">
        <w:rPr>
          <w:lang w:val="id-ID"/>
        </w:rPr>
        <w:t xml:space="preserve"> </w:t>
      </w:r>
      <w:r w:rsidRPr="007576A7">
        <w:t>yang amar lengkapnya sebagai berikut :</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t>Menyatakan</w:t>
      </w:r>
      <w:r w:rsidRPr="007576A7">
        <w:rPr>
          <w:lang w:val="id-ID"/>
        </w:rPr>
        <w:t xml:space="preserve"> t</w:t>
      </w:r>
      <w:r w:rsidRPr="007576A7">
        <w:rPr>
          <w:lang w:val="id-ID" w:eastAsia="id-ID"/>
        </w:rPr>
        <w:t>erdakwa Rico Rizky Siregar Alias Rico tersebut diatas tidak terbukti secara sah dan meyakinkan bersalah melakukan tindak pidana sebagaimana dalam dakwaan primair.</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Membebaskan terdakwa dari dakwaan primair.</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lastRenderedPageBreak/>
        <w:t>Menyatakan terdakwa Rico Rizky Siregar Alias Rico tersebut diatas terbukti secara sah dan meyakinkan bersalah melakukan tindak pidana tanpa hak memiliki narkotika golongan I bukan tanaman, sebagaimana dalam dakwaan subsidair.</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Menjatuhkan pidana kepada terdakwa oleh karena itu dengan pidana penjara selama 5 (lima) tahun 4 (empat) bulan dan denda sejumlah Rp. 800.000.000,00 (delapan ratus juta rupiah) dengan ketentuan apabila denda tersebut tidak dibayar, diganti dengan pidana penjara selama 3 (tiga) bulan.</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Menetapkan masa penangkapan dan penahanan yang telah dijalani terdakwa dikurangkan seluruhnya dari pidana yang dijatuhkan.</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Menetapkan terdakwa tetap ditahan.</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Menetapkan barang bukti berupa :</w:t>
      </w:r>
    </w:p>
    <w:p w:rsidR="006D6C9A" w:rsidRPr="007576A7" w:rsidRDefault="006D6C9A" w:rsidP="00443AD4">
      <w:pPr>
        <w:numPr>
          <w:ilvl w:val="0"/>
          <w:numId w:val="27"/>
        </w:numPr>
        <w:autoSpaceDE w:val="0"/>
        <w:autoSpaceDN w:val="0"/>
        <w:adjustRightInd w:val="0"/>
        <w:spacing w:line="480" w:lineRule="auto"/>
        <w:ind w:left="1418"/>
        <w:jc w:val="both"/>
        <w:rPr>
          <w:lang w:val="id-ID" w:eastAsia="id-ID"/>
        </w:rPr>
      </w:pPr>
      <w:r w:rsidRPr="007576A7">
        <w:rPr>
          <w:lang w:val="id-ID" w:eastAsia="id-ID"/>
        </w:rPr>
        <w:t>1 (satu) bungkus plastik klip kecil yang berisikan narkotika jenis sabu seberat 0,06 (nol koma nol enam) gram netto.</w:t>
      </w:r>
    </w:p>
    <w:p w:rsidR="006D6C9A" w:rsidRPr="007576A7" w:rsidRDefault="006D6C9A" w:rsidP="00443AD4">
      <w:pPr>
        <w:numPr>
          <w:ilvl w:val="0"/>
          <w:numId w:val="27"/>
        </w:numPr>
        <w:autoSpaceDE w:val="0"/>
        <w:autoSpaceDN w:val="0"/>
        <w:adjustRightInd w:val="0"/>
        <w:spacing w:line="480" w:lineRule="auto"/>
        <w:ind w:left="1418"/>
        <w:jc w:val="both"/>
        <w:rPr>
          <w:lang w:val="id-ID" w:eastAsia="id-ID"/>
        </w:rPr>
      </w:pPr>
      <w:r w:rsidRPr="007576A7">
        <w:rPr>
          <w:lang w:val="id-ID" w:eastAsia="id-ID"/>
        </w:rPr>
        <w:t>1 (satu) buah HP merk Nokia warna biru.</w:t>
      </w:r>
    </w:p>
    <w:p w:rsidR="006D6C9A" w:rsidRPr="007576A7" w:rsidRDefault="006D6C9A" w:rsidP="006D6C9A">
      <w:pPr>
        <w:autoSpaceDE w:val="0"/>
        <w:autoSpaceDN w:val="0"/>
        <w:adjustRightInd w:val="0"/>
        <w:spacing w:line="480" w:lineRule="auto"/>
        <w:ind w:left="1134"/>
        <w:jc w:val="both"/>
        <w:rPr>
          <w:lang w:val="id-ID" w:eastAsia="id-ID"/>
        </w:rPr>
      </w:pPr>
      <w:r w:rsidRPr="007576A7">
        <w:rPr>
          <w:lang w:val="id-ID" w:eastAsia="id-ID"/>
        </w:rPr>
        <w:t>Dimusnahkan;</w:t>
      </w:r>
    </w:p>
    <w:p w:rsidR="006D6C9A" w:rsidRPr="007576A7" w:rsidRDefault="006D6C9A" w:rsidP="00443AD4">
      <w:pPr>
        <w:numPr>
          <w:ilvl w:val="0"/>
          <w:numId w:val="26"/>
        </w:numPr>
        <w:tabs>
          <w:tab w:val="left" w:pos="1134"/>
        </w:tabs>
        <w:autoSpaceDE w:val="0"/>
        <w:autoSpaceDN w:val="0"/>
        <w:adjustRightInd w:val="0"/>
        <w:spacing w:line="480" w:lineRule="auto"/>
        <w:ind w:left="1134"/>
        <w:jc w:val="both"/>
        <w:rPr>
          <w:lang w:val="id-ID" w:eastAsia="id-ID"/>
        </w:rPr>
      </w:pPr>
      <w:r w:rsidRPr="007576A7">
        <w:rPr>
          <w:lang w:val="id-ID" w:eastAsia="id-ID"/>
        </w:rPr>
        <w:t>Membebankan kepada terdakwa membayar biaya perkara sejumlah Rp. 5.000,00 (lima ribu rupiah).</w:t>
      </w:r>
    </w:p>
    <w:p w:rsidR="006D6C9A" w:rsidRPr="007576A7" w:rsidRDefault="006D6C9A" w:rsidP="006D6C9A">
      <w:pPr>
        <w:tabs>
          <w:tab w:val="left" w:pos="1134"/>
        </w:tabs>
        <w:autoSpaceDE w:val="0"/>
        <w:autoSpaceDN w:val="0"/>
        <w:adjustRightInd w:val="0"/>
        <w:spacing w:line="480" w:lineRule="auto"/>
        <w:ind w:left="1134"/>
        <w:jc w:val="both"/>
        <w:rPr>
          <w:lang w:val="id-ID" w:eastAsia="id-ID"/>
        </w:rPr>
      </w:pP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Terdakwa dan Penuntut Umum telah mengajukan banding terhadap Putusan Pengadilan Negeri Rantau Prapat tanggal 13 Agustus 2019 Nomor 449/Pid.Sus/2019/PN Rap, sesuai dengan Akta Pernyataan Banding masing-</w:t>
      </w:r>
      <w:r w:rsidRPr="007576A7">
        <w:rPr>
          <w:lang w:val="id-ID" w:eastAsia="id-ID"/>
        </w:rPr>
        <w:lastRenderedPageBreak/>
        <w:t>masing tanggal 19 Agustus 2019 Nomor 219/Akta.Pid/2019/PN Rap dan Pengadilan Tinggi Medan dalam tingkat banding memberikan putusan Nomor 1130/Pid.Sus/2019/PT MDN tanggal 14 Oktober 2019 yang amar lengkapnya sebagai berikut :</w:t>
      </w:r>
    </w:p>
    <w:p w:rsidR="006D6C9A" w:rsidRPr="007576A7" w:rsidRDefault="006D6C9A" w:rsidP="00443AD4">
      <w:pPr>
        <w:numPr>
          <w:ilvl w:val="4"/>
          <w:numId w:val="8"/>
        </w:numPr>
        <w:tabs>
          <w:tab w:val="clear" w:pos="3600"/>
          <w:tab w:val="num" w:pos="360"/>
        </w:tabs>
        <w:autoSpaceDE w:val="0"/>
        <w:autoSpaceDN w:val="0"/>
        <w:adjustRightInd w:val="0"/>
        <w:spacing w:line="480" w:lineRule="auto"/>
        <w:ind w:left="360"/>
        <w:jc w:val="both"/>
        <w:rPr>
          <w:lang w:val="id-ID" w:eastAsia="id-ID"/>
        </w:rPr>
      </w:pPr>
      <w:r w:rsidRPr="007576A7">
        <w:rPr>
          <w:lang w:val="id-ID" w:eastAsia="id-ID"/>
        </w:rPr>
        <w:t>Menerima Permintaan Banding dari Penuntut Umum dan Terdakwa.</w:t>
      </w:r>
    </w:p>
    <w:p w:rsidR="006D6C9A" w:rsidRPr="007576A7" w:rsidRDefault="006D6C9A" w:rsidP="00443AD4">
      <w:pPr>
        <w:numPr>
          <w:ilvl w:val="4"/>
          <w:numId w:val="8"/>
        </w:numPr>
        <w:tabs>
          <w:tab w:val="clear" w:pos="3600"/>
          <w:tab w:val="num" w:pos="360"/>
        </w:tabs>
        <w:autoSpaceDE w:val="0"/>
        <w:autoSpaceDN w:val="0"/>
        <w:adjustRightInd w:val="0"/>
        <w:spacing w:line="480" w:lineRule="auto"/>
        <w:ind w:left="360"/>
        <w:jc w:val="both"/>
        <w:rPr>
          <w:lang w:val="id-ID" w:eastAsia="id-ID"/>
        </w:rPr>
      </w:pPr>
      <w:r w:rsidRPr="007576A7">
        <w:rPr>
          <w:lang w:val="id-ID" w:eastAsia="id-ID"/>
        </w:rPr>
        <w:t>Mengubah putusan Pengadilan Negeri Rantau Prapat Nomor 449/Pid.Sus/2019/PN Rap tanggal 13 Agustus 2019, yang dimohonkan banding, sekedar mengenai lamanya pidana yang dijatuhkan sehingga selengkapnya menjadi sebagai berikut :</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Menyatakan terdakwa Rico Rizky Siregar Alias Rico tersebut diatas tidak terbukti secara sah dan meyakinkan bersalah melakukan tindak pidana sebagaimana dalam dakwaan primair.</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Membebaskan terdakwa dari dakwaan primair.</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Menyatakan terdakwa Rico Rizky Siregar Alias Rico tersebut diatas terbukti secara sah dan meyakinkan bersalah melakukan tindak pidana tanpa hak memiliki narkotika golongan I Bukan tanaman sebagaimana dalam dakwaan subsidair.</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Menjatuhkan pidana kepada terdakwa oleh karena itu dengan pidana penjara selama 4 (empat) tahun dan denda sejumlah Rp. 800.000.000,00 (delapan ratus juta rupiah) dengan ketentuan apabila denda tersebut tidak dibayar, diganti dengan pidana penjara selama 3 (tiga) bulan.</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lastRenderedPageBreak/>
        <w:t>Menetapkan masa penangkapan dan penahanan yang telah dijalani terdakwa dikurangkan seluruhnya dari pidana yang dijatuhkan.</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Menetapkan terdakwa tetap ditahan.</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Menetapkan barang bukti berupa :</w:t>
      </w:r>
    </w:p>
    <w:p w:rsidR="006D6C9A" w:rsidRPr="007576A7" w:rsidRDefault="006D6C9A" w:rsidP="00443AD4">
      <w:pPr>
        <w:numPr>
          <w:ilvl w:val="4"/>
          <w:numId w:val="10"/>
        </w:numPr>
        <w:autoSpaceDE w:val="0"/>
        <w:autoSpaceDN w:val="0"/>
        <w:adjustRightInd w:val="0"/>
        <w:spacing w:line="480" w:lineRule="auto"/>
        <w:ind w:left="1560"/>
        <w:jc w:val="both"/>
        <w:rPr>
          <w:lang w:val="id-ID" w:eastAsia="id-ID"/>
        </w:rPr>
      </w:pPr>
      <w:r w:rsidRPr="007576A7">
        <w:rPr>
          <w:lang w:val="id-ID" w:eastAsia="id-ID"/>
        </w:rPr>
        <w:t>1 (satu) bungkus plastik klip kecil yang berisikan Narkotika jenis sabu seberat 0,06 (nol koma nol enam) gram netto.</w:t>
      </w:r>
    </w:p>
    <w:p w:rsidR="006D6C9A" w:rsidRPr="007576A7" w:rsidRDefault="006D6C9A" w:rsidP="00443AD4">
      <w:pPr>
        <w:numPr>
          <w:ilvl w:val="4"/>
          <w:numId w:val="10"/>
        </w:numPr>
        <w:autoSpaceDE w:val="0"/>
        <w:autoSpaceDN w:val="0"/>
        <w:adjustRightInd w:val="0"/>
        <w:spacing w:line="480" w:lineRule="auto"/>
        <w:ind w:left="1560"/>
        <w:jc w:val="both"/>
        <w:rPr>
          <w:lang w:val="id-ID" w:eastAsia="id-ID"/>
        </w:rPr>
      </w:pPr>
      <w:r w:rsidRPr="007576A7">
        <w:rPr>
          <w:lang w:val="id-ID" w:eastAsia="id-ID"/>
        </w:rPr>
        <w:t xml:space="preserve">1 (satu) buah </w:t>
      </w:r>
      <w:r w:rsidRPr="007576A7">
        <w:rPr>
          <w:i/>
          <w:iCs/>
          <w:lang w:val="id-ID" w:eastAsia="id-ID"/>
        </w:rPr>
        <w:t xml:space="preserve">handphone </w:t>
      </w:r>
      <w:r w:rsidRPr="007576A7">
        <w:rPr>
          <w:lang w:val="id-ID" w:eastAsia="id-ID"/>
        </w:rPr>
        <w:t>merk Nokia warna biru.</w:t>
      </w:r>
    </w:p>
    <w:p w:rsidR="006D6C9A" w:rsidRPr="007576A7" w:rsidRDefault="006D6C9A" w:rsidP="006D6C9A">
      <w:pPr>
        <w:autoSpaceDE w:val="0"/>
        <w:autoSpaceDN w:val="0"/>
        <w:adjustRightInd w:val="0"/>
        <w:spacing w:line="480" w:lineRule="auto"/>
        <w:ind w:left="1134"/>
        <w:jc w:val="both"/>
        <w:rPr>
          <w:lang w:val="id-ID" w:eastAsia="id-ID"/>
        </w:rPr>
      </w:pPr>
      <w:r w:rsidRPr="007576A7">
        <w:rPr>
          <w:lang w:val="id-ID" w:eastAsia="id-ID"/>
        </w:rPr>
        <w:t>Dimusnahkan;</w:t>
      </w:r>
    </w:p>
    <w:p w:rsidR="006D6C9A" w:rsidRPr="007576A7" w:rsidRDefault="006D6C9A" w:rsidP="00443AD4">
      <w:pPr>
        <w:numPr>
          <w:ilvl w:val="3"/>
          <w:numId w:val="10"/>
        </w:numPr>
        <w:autoSpaceDE w:val="0"/>
        <w:autoSpaceDN w:val="0"/>
        <w:adjustRightInd w:val="0"/>
        <w:spacing w:line="480" w:lineRule="auto"/>
        <w:ind w:left="1134"/>
        <w:jc w:val="both"/>
        <w:rPr>
          <w:lang w:val="id-ID" w:eastAsia="id-ID"/>
        </w:rPr>
      </w:pPr>
      <w:r w:rsidRPr="007576A7">
        <w:rPr>
          <w:lang w:val="id-ID" w:eastAsia="id-ID"/>
        </w:rPr>
        <w:t>Menghukum terdakwa untuk membayar biaya perkara pada pengadilan tingkat banding sejumlah Rp. 2.500,00 (dua ribu lima ratus rupiah).</w:t>
      </w:r>
    </w:p>
    <w:p w:rsidR="006D6C9A" w:rsidRPr="007576A7" w:rsidRDefault="006D6C9A" w:rsidP="006D6C9A">
      <w:pPr>
        <w:autoSpaceDE w:val="0"/>
        <w:autoSpaceDN w:val="0"/>
        <w:adjustRightInd w:val="0"/>
        <w:spacing w:line="480" w:lineRule="auto"/>
        <w:ind w:left="1134"/>
        <w:jc w:val="both"/>
        <w:rPr>
          <w:lang w:val="id-ID" w:eastAsia="id-ID"/>
        </w:rPr>
      </w:pPr>
    </w:p>
    <w:p w:rsidR="006D6C9A" w:rsidRPr="007576A7" w:rsidRDefault="006D6C9A" w:rsidP="006D6C9A">
      <w:pPr>
        <w:autoSpaceDE w:val="0"/>
        <w:autoSpaceDN w:val="0"/>
        <w:adjustRightInd w:val="0"/>
        <w:spacing w:line="480" w:lineRule="auto"/>
        <w:ind w:firstLine="720"/>
        <w:jc w:val="both"/>
        <w:rPr>
          <w:lang w:val="id-ID"/>
        </w:rPr>
      </w:pPr>
      <w:r w:rsidRPr="007576A7">
        <w:rPr>
          <w:lang w:val="id-ID"/>
        </w:rPr>
        <w:t>Mahkamah Agung dalam tingkat kasasi mengadili dan memberikan putusan :</w:t>
      </w:r>
    </w:p>
    <w:p w:rsidR="006D6C9A" w:rsidRPr="007576A7" w:rsidRDefault="006D6C9A" w:rsidP="00443AD4">
      <w:pPr>
        <w:numPr>
          <w:ilvl w:val="7"/>
          <w:numId w:val="8"/>
        </w:numPr>
        <w:tabs>
          <w:tab w:val="clear" w:pos="5760"/>
          <w:tab w:val="left" w:pos="1134"/>
        </w:tabs>
        <w:autoSpaceDE w:val="0"/>
        <w:autoSpaceDN w:val="0"/>
        <w:adjustRightInd w:val="0"/>
        <w:spacing w:line="480" w:lineRule="auto"/>
        <w:ind w:left="1134"/>
        <w:jc w:val="both"/>
        <w:rPr>
          <w:lang w:val="id-ID" w:eastAsia="id-ID"/>
        </w:rPr>
      </w:pPr>
      <w:r w:rsidRPr="007576A7">
        <w:rPr>
          <w:lang w:val="id-ID" w:eastAsia="id-ID"/>
        </w:rPr>
        <w:t xml:space="preserve">Menolak permohonan kasasi dari </w:t>
      </w:r>
      <w:r w:rsidRPr="007576A7">
        <w:rPr>
          <w:bCs/>
          <w:lang w:val="id-ID" w:eastAsia="id-ID"/>
        </w:rPr>
        <w:t xml:space="preserve">Pemohon Kasasi/Penuntut Umum pada Kejaksaan Negeri Labuhanbatu </w:t>
      </w:r>
      <w:r w:rsidRPr="007576A7">
        <w:rPr>
          <w:lang w:val="id-ID" w:eastAsia="id-ID"/>
        </w:rPr>
        <w:t>tersebut.</w:t>
      </w:r>
    </w:p>
    <w:p w:rsidR="006D6C9A" w:rsidRPr="007576A7" w:rsidRDefault="006D6C9A" w:rsidP="00443AD4">
      <w:pPr>
        <w:numPr>
          <w:ilvl w:val="7"/>
          <w:numId w:val="8"/>
        </w:numPr>
        <w:tabs>
          <w:tab w:val="clear" w:pos="5760"/>
          <w:tab w:val="left" w:pos="1134"/>
        </w:tabs>
        <w:autoSpaceDE w:val="0"/>
        <w:autoSpaceDN w:val="0"/>
        <w:adjustRightInd w:val="0"/>
        <w:spacing w:line="480" w:lineRule="auto"/>
        <w:ind w:left="1134"/>
        <w:jc w:val="both"/>
        <w:rPr>
          <w:lang w:val="id-ID" w:eastAsia="id-ID"/>
        </w:rPr>
      </w:pPr>
      <w:r w:rsidRPr="007576A7">
        <w:rPr>
          <w:lang w:val="id-ID" w:eastAsia="id-ID"/>
        </w:rPr>
        <w:t xml:space="preserve">Memperbaiki Putusan Pengadilan Tinggi Medan Nomor 1130/Pid.Sus/2019/PT MDN tanggal 14 Oktober 2019 yang mengubah Putusan Pengadilan Negeri Rantau Prapat Nomor 449/Pid.Sus/2019/ PN.Rap tanggal 13 Agustus 2019 tersebut mengenai pidana yang dijatuhkan kepada terdakwa menjadi pidana penjara selama 1 (satu) tahun dan 6 (enam) bulan dan pidana denda sebesar Rp. 800.000.000,00 (delapan ratus juta rupiah) dengan </w:t>
      </w:r>
      <w:r w:rsidRPr="007576A7">
        <w:rPr>
          <w:lang w:val="id-ID" w:eastAsia="id-ID"/>
        </w:rPr>
        <w:lastRenderedPageBreak/>
        <w:t>ketentuan apabila denda tidak dibayar maka diganti dengan pidana penjara selama 2 (dua) bulan.</w:t>
      </w:r>
    </w:p>
    <w:p w:rsidR="006D6C9A" w:rsidRPr="007576A7" w:rsidRDefault="006D6C9A" w:rsidP="00443AD4">
      <w:pPr>
        <w:numPr>
          <w:ilvl w:val="7"/>
          <w:numId w:val="8"/>
        </w:numPr>
        <w:tabs>
          <w:tab w:val="clear" w:pos="5760"/>
          <w:tab w:val="left" w:pos="1134"/>
        </w:tabs>
        <w:autoSpaceDE w:val="0"/>
        <w:autoSpaceDN w:val="0"/>
        <w:adjustRightInd w:val="0"/>
        <w:spacing w:line="480" w:lineRule="auto"/>
        <w:ind w:left="1134"/>
        <w:jc w:val="both"/>
        <w:rPr>
          <w:lang w:val="id-ID" w:eastAsia="id-ID"/>
        </w:rPr>
      </w:pPr>
      <w:r w:rsidRPr="007576A7">
        <w:rPr>
          <w:lang w:val="id-ID" w:eastAsia="id-ID"/>
        </w:rPr>
        <w:t>Membebankan kepada terdakwa untuk membayar biaya perkara pada tingkat kasasi sebesar Rp.2.500,00 (dua ribu lima ratus rupiah).</w:t>
      </w:r>
    </w:p>
    <w:p w:rsidR="006D6C9A" w:rsidRPr="007576A7" w:rsidRDefault="006D6C9A" w:rsidP="006D6C9A">
      <w:pPr>
        <w:tabs>
          <w:tab w:val="left" w:pos="1134"/>
        </w:tabs>
        <w:autoSpaceDE w:val="0"/>
        <w:autoSpaceDN w:val="0"/>
        <w:adjustRightInd w:val="0"/>
        <w:spacing w:line="480" w:lineRule="auto"/>
        <w:ind w:left="1134"/>
        <w:jc w:val="both"/>
        <w:rPr>
          <w:lang w:val="id-ID" w:eastAsia="id-ID"/>
        </w:rPr>
      </w:pPr>
    </w:p>
    <w:p w:rsidR="006D6C9A" w:rsidRPr="007576A7" w:rsidRDefault="006D6C9A" w:rsidP="00443AD4">
      <w:pPr>
        <w:numPr>
          <w:ilvl w:val="0"/>
          <w:numId w:val="20"/>
        </w:numPr>
        <w:autoSpaceDE w:val="0"/>
        <w:autoSpaceDN w:val="0"/>
        <w:adjustRightInd w:val="0"/>
        <w:spacing w:line="480" w:lineRule="auto"/>
        <w:ind w:left="360"/>
        <w:jc w:val="both"/>
        <w:rPr>
          <w:b/>
        </w:rPr>
      </w:pPr>
      <w:r w:rsidRPr="007576A7">
        <w:rPr>
          <w:b/>
        </w:rPr>
        <w:t xml:space="preserve">Analisis </w:t>
      </w:r>
      <w:r w:rsidRPr="007576A7">
        <w:rPr>
          <w:b/>
          <w:bCs/>
        </w:rPr>
        <w:t xml:space="preserve">Putusan </w:t>
      </w:r>
      <w:r w:rsidRPr="007576A7">
        <w:rPr>
          <w:b/>
          <w:bCs/>
          <w:lang w:val="id-ID"/>
        </w:rPr>
        <w:t xml:space="preserve">Mahkamah Agung </w:t>
      </w:r>
      <w:r w:rsidRPr="007576A7">
        <w:rPr>
          <w:b/>
        </w:rPr>
        <w:t xml:space="preserve">Nomor </w:t>
      </w:r>
      <w:r w:rsidRPr="007576A7">
        <w:rPr>
          <w:b/>
          <w:color w:val="000000"/>
        </w:rPr>
        <w:t>758 K/PID.SUS/2020</w:t>
      </w:r>
    </w:p>
    <w:p w:rsidR="006D6C9A" w:rsidRPr="007576A7" w:rsidRDefault="006D6C9A" w:rsidP="006D6C9A">
      <w:pPr>
        <w:tabs>
          <w:tab w:val="left" w:leader="dot" w:pos="7088"/>
          <w:tab w:val="center" w:pos="7797"/>
        </w:tabs>
        <w:autoSpaceDE w:val="0"/>
        <w:autoSpaceDN w:val="0"/>
        <w:adjustRightInd w:val="0"/>
        <w:spacing w:line="480" w:lineRule="auto"/>
        <w:ind w:left="360"/>
        <w:jc w:val="both"/>
        <w:rPr>
          <w:b/>
        </w:rPr>
      </w:pPr>
    </w:p>
    <w:p w:rsidR="006D6C9A" w:rsidRPr="007576A7" w:rsidRDefault="006D6C9A" w:rsidP="006D6C9A">
      <w:pPr>
        <w:autoSpaceDE w:val="0"/>
        <w:autoSpaceDN w:val="0"/>
        <w:adjustRightInd w:val="0"/>
        <w:spacing w:line="480" w:lineRule="auto"/>
        <w:ind w:firstLine="720"/>
        <w:jc w:val="both"/>
      </w:pPr>
      <w:r w:rsidRPr="007576A7">
        <w:t xml:space="preserve">Berdasarkan </w:t>
      </w:r>
      <w:r w:rsidRPr="007576A7">
        <w:rPr>
          <w:color w:val="000000"/>
        </w:rPr>
        <w:t>putusan</w:t>
      </w:r>
      <w:r w:rsidRPr="007576A7">
        <w:rPr>
          <w:b/>
          <w:color w:val="000000"/>
        </w:rPr>
        <w:t xml:space="preserve"> </w:t>
      </w:r>
      <w:r w:rsidRPr="007576A7">
        <w:rPr>
          <w:bCs/>
          <w:lang w:val="id-ID"/>
        </w:rPr>
        <w:t xml:space="preserve">Mahkamah Agung </w:t>
      </w:r>
      <w:r w:rsidRPr="007576A7">
        <w:t xml:space="preserve">Nomor </w:t>
      </w:r>
      <w:r w:rsidRPr="007576A7">
        <w:rPr>
          <w:color w:val="000000"/>
        </w:rPr>
        <w:t>758 K/PID.SUS/2020</w:t>
      </w:r>
      <w:r w:rsidRPr="007576A7">
        <w:rPr>
          <w:bCs/>
          <w:lang w:val="id-ID" w:eastAsia="id-ID"/>
        </w:rPr>
        <w:t xml:space="preserve">, </w:t>
      </w:r>
      <w:r w:rsidRPr="007576A7">
        <w:t xml:space="preserve"> bahwa surat dakwaan yang diuraikan Penuntut Umum dalam perkara tersebut telah sesuai dengan ketentuan Pasal 143 ayat (2) KUHAP dan hukum pidana materiil yang didakwakan pada dakwaan </w:t>
      </w:r>
      <w:r w:rsidRPr="007576A7">
        <w:rPr>
          <w:lang w:val="id-ID"/>
        </w:rPr>
        <w:t>subsidair</w:t>
      </w:r>
      <w:r w:rsidRPr="007576A7">
        <w:t xml:space="preserve"> yakni terdakwa melanggar Pasal  Pasal 112 ayat (</w:t>
      </w:r>
      <w:r w:rsidRPr="007576A7">
        <w:rPr>
          <w:lang w:val="id-ID"/>
        </w:rPr>
        <w:t>1</w:t>
      </w:r>
      <w:r w:rsidRPr="007576A7">
        <w:t>) Undang-Undang Nomor 35 Tahun 2009 tentang Narkotika, adalah</w:t>
      </w:r>
      <w:r w:rsidRPr="007576A7">
        <w:rPr>
          <w:lang w:val="id-ID"/>
        </w:rPr>
        <w:t xml:space="preserve"> </w:t>
      </w:r>
      <w:r w:rsidRPr="007576A7">
        <w:t>:</w:t>
      </w:r>
    </w:p>
    <w:p w:rsidR="006D6C9A" w:rsidRPr="007576A7" w:rsidRDefault="006D6C9A" w:rsidP="006D6C9A">
      <w:pPr>
        <w:autoSpaceDE w:val="0"/>
        <w:autoSpaceDN w:val="0"/>
        <w:adjustRightInd w:val="0"/>
        <w:spacing w:line="480" w:lineRule="auto"/>
        <w:ind w:firstLine="720"/>
        <w:jc w:val="both"/>
      </w:pPr>
    </w:p>
    <w:p w:rsidR="006D6C9A" w:rsidRPr="007576A7" w:rsidRDefault="006D6C9A" w:rsidP="00443AD4">
      <w:pPr>
        <w:numPr>
          <w:ilvl w:val="3"/>
          <w:numId w:val="20"/>
        </w:numPr>
        <w:tabs>
          <w:tab w:val="num" w:pos="360"/>
        </w:tabs>
        <w:autoSpaceDE w:val="0"/>
        <w:autoSpaceDN w:val="0"/>
        <w:adjustRightInd w:val="0"/>
        <w:spacing w:line="480" w:lineRule="auto"/>
        <w:ind w:left="360"/>
        <w:jc w:val="both"/>
      </w:pPr>
      <w:r w:rsidRPr="007576A7">
        <w:t>Unsur setiap orang.</w:t>
      </w:r>
    </w:p>
    <w:p w:rsidR="006D6C9A" w:rsidRPr="007576A7" w:rsidRDefault="006D6C9A" w:rsidP="006D6C9A">
      <w:pPr>
        <w:autoSpaceDE w:val="0"/>
        <w:autoSpaceDN w:val="0"/>
        <w:adjustRightInd w:val="0"/>
        <w:spacing w:line="480" w:lineRule="auto"/>
        <w:ind w:firstLine="720"/>
        <w:jc w:val="both"/>
      </w:pPr>
      <w:r w:rsidRPr="007576A7">
        <w:t xml:space="preserve">Unsur setiap orang adalah subjek hukum sebagai pengemban/pendukung hak dan kewajiban, meliputi subyek hukum orang/pribadi </w:t>
      </w:r>
      <w:r w:rsidRPr="007576A7">
        <w:rPr>
          <w:i/>
          <w:iCs/>
        </w:rPr>
        <w:t xml:space="preserve">(natuurlijke persoon) </w:t>
      </w:r>
      <w:r w:rsidRPr="007576A7">
        <w:t xml:space="preserve">maupun badan hukum </w:t>
      </w:r>
      <w:r w:rsidRPr="007576A7">
        <w:rPr>
          <w:i/>
          <w:iCs/>
        </w:rPr>
        <w:t xml:space="preserve">(recht persoon) </w:t>
      </w:r>
      <w:r w:rsidRPr="007576A7">
        <w:t xml:space="preserve">yang dapat dimintakan pertanggungjawaban pidana atas perbuatan yang dilakukannya. Berdasarkan fakta-fakta hasil persidangan dari keterangan saksi-saksi dan keterangan para terdakwa telah menunjuk kepada subyek hukum orang/pribadi yaitu yang setelah dicocokkan identitasnya di persidangan, ternyata para terdakwa membenarkan dan telah sesuai pula dengan identitas para terdakwa dalam surat dakwaan Penuntut </w:t>
      </w:r>
      <w:r w:rsidRPr="007576A7">
        <w:lastRenderedPageBreak/>
        <w:t xml:space="preserve">Umum. Dalam perkara ini yang disangka atau didugai sebagai pelaku tindak pidana adalah terdakwa </w:t>
      </w:r>
      <w:r w:rsidRPr="007576A7">
        <w:rPr>
          <w:lang w:val="id-ID" w:eastAsia="id-ID"/>
        </w:rPr>
        <w:t xml:space="preserve">Rico Rizky Siregar Alias Rico </w:t>
      </w:r>
      <w:r w:rsidRPr="007576A7">
        <w:t xml:space="preserve">lengkapnya telah dinyatakan oleh Majelis Hakim dan ternyata sama dengan identitas </w:t>
      </w:r>
      <w:r w:rsidRPr="007576A7">
        <w:rPr>
          <w:lang w:val="id-ID"/>
        </w:rPr>
        <w:t>t</w:t>
      </w:r>
      <w:r w:rsidRPr="007576A7">
        <w:t>erdakwa yang termuat dalam surat dakwaan dan terdakwa telah membenarkan, sehingga unsur setiap orang telah terpenuhi menurut hukum.</w:t>
      </w:r>
    </w:p>
    <w:p w:rsidR="006D6C9A" w:rsidRPr="007576A7" w:rsidRDefault="006D6C9A" w:rsidP="00443AD4">
      <w:pPr>
        <w:numPr>
          <w:ilvl w:val="3"/>
          <w:numId w:val="20"/>
        </w:numPr>
        <w:tabs>
          <w:tab w:val="num" w:pos="360"/>
        </w:tabs>
        <w:autoSpaceDE w:val="0"/>
        <w:autoSpaceDN w:val="0"/>
        <w:adjustRightInd w:val="0"/>
        <w:spacing w:line="480" w:lineRule="auto"/>
        <w:ind w:left="360"/>
        <w:jc w:val="both"/>
      </w:pPr>
      <w:r w:rsidRPr="007576A7">
        <w:t>Unsur tanpa hak atau melawan hukum</w:t>
      </w:r>
      <w:r w:rsidRPr="007576A7">
        <w:rPr>
          <w:bCs/>
        </w:rPr>
        <w:t>.</w:t>
      </w:r>
    </w:p>
    <w:p w:rsidR="006D6C9A" w:rsidRPr="007576A7" w:rsidRDefault="006D6C9A" w:rsidP="006D6C9A">
      <w:pPr>
        <w:autoSpaceDE w:val="0"/>
        <w:autoSpaceDN w:val="0"/>
        <w:adjustRightInd w:val="0"/>
        <w:spacing w:line="480" w:lineRule="auto"/>
        <w:ind w:firstLine="720"/>
        <w:jc w:val="both"/>
      </w:pPr>
      <w:r w:rsidRPr="007576A7">
        <w:t xml:space="preserve">Tanpa hak dalam </w:t>
      </w:r>
      <w:r w:rsidRPr="007576A7">
        <w:rPr>
          <w:lang w:val="id-ID"/>
        </w:rPr>
        <w:t>UU Narkotika</w:t>
      </w:r>
      <w:r w:rsidRPr="007576A7">
        <w:t xml:space="preserve"> adalah perbuatan yang dilakukan oleh seseorang tanpa izin dan atau persetujuan dari pihak yang berwenang untuk itu, yaitu Menteri atas rekomendasi dari Badan Pengawas Obat dan Makanan atau pejabat lain yang berwenang berdasarkan </w:t>
      </w:r>
      <w:r w:rsidRPr="007576A7">
        <w:rPr>
          <w:lang w:val="id-ID"/>
        </w:rPr>
        <w:t>UU Narkotika</w:t>
      </w:r>
      <w:r w:rsidRPr="007576A7">
        <w:t xml:space="preserve"> dan peraturan perundang-undangan lain yang bersangkutan.</w:t>
      </w:r>
    </w:p>
    <w:p w:rsidR="006D6C9A" w:rsidRPr="007576A7" w:rsidRDefault="006D6C9A" w:rsidP="006D6C9A">
      <w:pPr>
        <w:autoSpaceDE w:val="0"/>
        <w:autoSpaceDN w:val="0"/>
        <w:adjustRightInd w:val="0"/>
        <w:spacing w:line="480" w:lineRule="auto"/>
        <w:ind w:firstLine="720"/>
        <w:jc w:val="both"/>
      </w:pPr>
      <w:r w:rsidRPr="007576A7">
        <w:t xml:space="preserve">Melawan hukum adalah perbuatan yang dilakukan oleh seseorang atas izin dari pihak yang berwenang untuk itu, yaitu Menteri atas rekomendasi dari Badan Pengawas Obat dan Makanan atau pejabat lain yang berwenang berdasarkan </w:t>
      </w:r>
      <w:r w:rsidRPr="007576A7">
        <w:rPr>
          <w:lang w:val="id-ID"/>
        </w:rPr>
        <w:t>UU Narkotika</w:t>
      </w:r>
      <w:r w:rsidRPr="007576A7">
        <w:t xml:space="preserve"> namun terjadi penyalahgunaan izin atau diluar peruntukan dari izin yang diberikan.</w:t>
      </w:r>
    </w:p>
    <w:p w:rsidR="006D6C9A" w:rsidRPr="007576A7" w:rsidRDefault="006D6C9A" w:rsidP="006D6C9A">
      <w:pPr>
        <w:autoSpaceDE w:val="0"/>
        <w:autoSpaceDN w:val="0"/>
        <w:adjustRightInd w:val="0"/>
        <w:spacing w:line="480" w:lineRule="auto"/>
        <w:ind w:firstLine="720"/>
        <w:jc w:val="both"/>
      </w:pPr>
      <w:r w:rsidRPr="007576A7">
        <w:t xml:space="preserve">Pasal 7 </w:t>
      </w:r>
      <w:r w:rsidRPr="007576A7">
        <w:rPr>
          <w:lang w:val="id-ID"/>
        </w:rPr>
        <w:t>UU Narkotika</w:t>
      </w:r>
      <w:r w:rsidRPr="007576A7">
        <w:t xml:space="preserve"> telah ditentukan bahwa narkotika hanya dapat digunakan untuk kepentingan pelayanan kesehatan dan atau pengembangan ilmu pengetahuan dan teknologi, sedangkan izin menggunakan Narkotika dan pengadaannya harus dilakukan oleh Menteri Kesehatan Republik Indonesia atau pejabat lainnya, sehingga apakah terdakwa ada izin atau tidaknya dalam perbuatannya, hal tersebut akan menjadi pembahasan lebih mendalam dalam unsur pokok yang didakwakan kepada terdakwa.</w:t>
      </w:r>
    </w:p>
    <w:p w:rsidR="006D6C9A" w:rsidRPr="007576A7" w:rsidRDefault="006D6C9A" w:rsidP="006D6C9A">
      <w:pPr>
        <w:autoSpaceDE w:val="0"/>
        <w:autoSpaceDN w:val="0"/>
        <w:adjustRightInd w:val="0"/>
        <w:spacing w:line="480" w:lineRule="auto"/>
        <w:ind w:firstLine="720"/>
        <w:jc w:val="both"/>
        <w:rPr>
          <w:lang w:val="id-ID" w:eastAsia="id-ID"/>
        </w:rPr>
      </w:pPr>
      <w:r w:rsidRPr="007576A7">
        <w:lastRenderedPageBreak/>
        <w:t xml:space="preserve">Berdasarkan fakta-fakta hukum jelas bahwa terdakwa tidak ada izin atau surat yang menerangkan bahwa terdakwa berhak untuk untuk menjual, membeli, menerima, menjadi perantara dalam jual beli, menukar atau menyerahkan Narkotika Golongan I dan </w:t>
      </w:r>
      <w:r w:rsidRPr="007576A7">
        <w:rPr>
          <w:lang w:val="id-ID" w:eastAsia="id-ID"/>
        </w:rPr>
        <w:t xml:space="preserve">dihubungkan dengan fakta-fakta yang terungkap dipersidangan pada hari Sabtu tanggal 19 Januari 2019 sekira pukul 16.30 Wib. bertempat di Dusun Sumber Sari Desa Perbaungan Kecamatan Bilah Hulu Kabupaten Labuhanbatu, terdakwa telah ditangkap oleh saksi Endar Muda Rambe bersama rekannya saksi Parlindungan Simanjuntak (Anggota Kepolisian Polsek. Bilah Hulu Resor Labuhanbatu) karena narkotika jenis sabu. </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 xml:space="preserve">Terdakwa dalam awal penangkapan setelah sebelumnya saksi Endar Muda Rambe bersama rekannya saksi Parlindungan Simanjuntak sekira pukul 16.00 Wib. mendapat informasi dari masyarakat yang mengatakan ada seorang laki-laki memiliki narkotika jenis sabu di Dusun Sumber Sari Desa Perbaungan Kecamatan Bilah Hulu Kabupaten Labuhanbatu, selanjutnya atas informasi tersebut lalu saksi Endar Muda Rambe bersama rekannya saksi Parlindungan Simanjuntak langsung menuju kelokasi yang dimaksud dengan melakukan penyelidikan kemudian saksi Endar Muda Rambe bersama rekannya saksi Parlindungan Simanjuntak melihat ada seorang laki laki sedang duduk sendirian di pos jaga malam Sumber Sari dengan gerak-gerik mencurigakan sesuai dengan informasi yang diterima kemudian saksi Endar Muda Rambe bersama rekannya saksi Parlindungan Simanjuntak mendekati laki laki itu yaitu terdakwa tersebut dan saat dilakukan penangkapan terhadap terdakwa sempat melemparkan sesuatu dari genggaman </w:t>
      </w:r>
      <w:r w:rsidRPr="007576A7">
        <w:rPr>
          <w:lang w:val="id-ID" w:eastAsia="id-ID"/>
        </w:rPr>
        <w:lastRenderedPageBreak/>
        <w:t>tangan sebelah kanannya ketanah dan setelah ditemukan ternyata 1 (satu) bungkus plastik klip yang berisikan narkotika jenis sabu.</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Narkotika yang ditemukan dari terdakwa tersebut adalah positif mengandung metamfetamina dan termasuk Narkotika Golongan I Nomor Urut 61 Lampiran I UU Narkotika sebagaimana Berita Acara Analisis Laboratorium Barang Bukti Narkotika Cabang Medan dan Terdakwa juga tidak mempunyai izin dari pihak yang berwenang untuk memiliki narkotika jenis sabu tersebut sehingga berdasarkan pertimbangan tersebut diatas maka terhadap unsur tanpa hak atau melawan hukum telah terpenuhi atas perbuatan terdakwa.</w:t>
      </w:r>
    </w:p>
    <w:p w:rsidR="006D6C9A" w:rsidRPr="007576A7" w:rsidRDefault="006D6C9A" w:rsidP="00443AD4">
      <w:pPr>
        <w:numPr>
          <w:ilvl w:val="3"/>
          <w:numId w:val="20"/>
        </w:numPr>
        <w:tabs>
          <w:tab w:val="num" w:pos="360"/>
        </w:tabs>
        <w:autoSpaceDE w:val="0"/>
        <w:autoSpaceDN w:val="0"/>
        <w:adjustRightInd w:val="0"/>
        <w:spacing w:line="480" w:lineRule="auto"/>
        <w:ind w:left="360"/>
        <w:jc w:val="both"/>
      </w:pPr>
      <w:r w:rsidRPr="007576A7">
        <w:t>Unsur</w:t>
      </w:r>
      <w:r w:rsidRPr="007576A7">
        <w:rPr>
          <w:lang w:val="id-ID" w:eastAsia="id-ID"/>
        </w:rPr>
        <w:t xml:space="preserve"> memiliki, menyimpan, menguasai atau menyediakan narkotika golongan i bukan tanaman</w:t>
      </w:r>
      <w:r w:rsidRPr="007576A7">
        <w:t>.</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Pengertian unsur diatas adalah alternatif sifatnya, artinya bahwa perbuatan terdakwa tidak harus memenuhi semua elemen dari unsur tersebut, tetapi apabila salah satu elemen unsur tersebut terpenuhi oleh perbuatan terdakwa maka telah cukup untuk dinyatakan bahwa perbuatan terdakwa memenuhi unsur ketiga tersebut.</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Memiliki adalah berarti kepunyaan (mempunyai hak), menyimpan maksudnya adalah menaruh di tempat yang aman supaya jangan rusak, hilang, dan sebagainya, menguasai adalah berkuasa atas sesuatu, sedangkan menyediakan maksudnya adalah mempersiapkan segala sesuatu. Pengertian tanaman adalah sesuatu yang ditanam yang dapat hidup tumbuh dan berkembang sedangkan sabu-sabu bukanlah sesuatu yang ditanam yang dapat hidup tumbuh dan berkembang sehingga sabu-sabu tersebut termasuk kedalam golongan bukan tanaman.</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lastRenderedPageBreak/>
        <w:t>Berdasarkan pengertian tersebut diatas dan dihubungkan dengan fakta-fakta yang terungkap dipersidangan pada hari Sabtu tanggal 19 Januari 2019 sekira pukul 16.30 Wib. bertempat di Dusun Sumber Sari Desa Perbaungan Kecamatan Bilah Hulu Kabupaten Labuhanbatu, terdakwa telah ditangkap oleh saksi Endar Muda Rambe bersama rekannya saksi Parlindungan Simanjuntak (anggota Kepolisian Polsek. Bilah Hulu Resor Labuhanbatu) karena narkotika jenis sabu. Dimana awal penangkapan terdakwa tersebut setelah sebelumnya saksi Endar Muda Rambe bersama rekannya saksi Parlindungan Simanjuntak sekira pukul 16.00 Wib. mendapat informasi dari masyarakat yang mengatakan ada seorang laki-laki memiliki narkotika jenis sabu di Dusun Sumber Sari Desa Perbaungan Kecamatan Bilah Hulu Kabupaten Labuhanbatu.</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Berdasarkan atas informasi tersebut lalu saksi Endar Muda Rambe bersama rekannya saksi Parlindungan Simanjuntak langsung menuju kelokasi yang dimaksud dengan melakukan penyelidikan kemudian saksi Endar Muda Rambe bersama rekannya saksi Parlindungan Simanjuntak melihat ada seorang laki laki sedang duduk sendirian di pos jaga malam Sumber Sari dengan gerak-gerik mencurigakan sesuai dengan informasi yang diterima kemudian saksi Endar Muda Rambe bersama rekannya saksi Parlindungan Simanjuntak mendekati laki laki itu yaitu terdakwa tersebut dan saat dilakukan penangkapan terhadap terdakwa sempat melemparkan sesuatu dari genggaman tangan sebelah kanannya ke tanah dan setelah ditemukan ternyata 1 (satu) bungkus plastik klip yang berisikan narkotika jenis sabu kemudian setelah itu terdakwa beserta barang bukti dibawa ke Polres. Labuhanbatu guna proses lebih lanjut.</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lastRenderedPageBreak/>
        <w:t xml:space="preserve"> Narkotika jenis sabu yang ditemukan oleh saksi Endar Muda Rambe bersama rekannya saksi Parlindungan Simanjuntak (anggota Kepolisian Polsek. Bilah Hulu Resor Labuhanbatu) tersebut adalah milik terdakwa yang diperolehnya dari Jamal (belum tertangkap) dengan cara membeli seharga Rp. 80.000,- (delapan puluh ribu rupiah), dimana sebelumnya pada hari Sabtu tanggal 19 Januari 2019 sekitar pukul 15.00 Wib. saat terdakwa sedang berada di Jalan Pattimura Sumber Sari Desa Perbaungan Kecamatan Bilah Hulu Kabupaten Labuhanbatu lalu datang seseorang yang terdakwa tidak ketahui namanya menghampiri terdakwa lalu memesan narkotika jenis sabu kepada terdakwa seharga Rp. 100.000,- (seratus ribu rupiah).</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Terdakwa pergi kerumah Jamal (belum tertangkap) untuk membeli narkotika jenis sabu tersebut dan setelah bertemu dengan Jamal lalu Terdakwa membeli narkotika jenis sabu kepada Jamal seharga Rp. 80.000,- (delapan puluh ribu rupiah) selanjutnya Jamal memberikan 1 (satu) bungkus plastik klip berisikan narkotika jenis sabu kepada terdakwa kemudian terdakwa pergi meninggalkan Jamal untuk menemui laki-laki yang memesan narkotika jenis sabu kepada terdakwa tersebut.</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 xml:space="preserve">Sesampainya terdakwa di pos jaga malam Sumber Sari lalu terdakwa duduk sendirian sambil menunggu laki-laki yang memesan narkotika jenis sabu tersebut kepada Terdakwa dan sekira pukul 16.30 Wib. tiba-tiba datang saksi Endar Muda Rambe bersama rekannya saksi Parlindungan Simanjuntak (anggota Kepolisian Polsek. Bilah Hulu Resor Labuhanbatu) lalu terdakwa langsung menjatuhkan 1 (satu) bungkus plastik klip berisikan narkotika jenis sabu ketanah </w:t>
      </w:r>
      <w:r w:rsidRPr="007576A7">
        <w:rPr>
          <w:lang w:val="id-ID" w:eastAsia="id-ID"/>
        </w:rPr>
        <w:lastRenderedPageBreak/>
        <w:t>namun ketahuan oleh saksi Endar Muda Rambe bersama rekannya saksi Parlindungan Simanjuntak (anggota Kepolisian Polsek. Bilah Hulu Resor Labuhanbatu) lalu ditemukan barang bukti berupa 1 (satu) bungkus plastik klip berisikan narkotika jenis sabu tersebut selanjutnya setelah itu terdakwa berserta barang bukti dibawa ke Polres. Labuhanbatu.</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Narkotika yang ditemukan dari terdakwa tersebut adalah positif mengandung metamfetamina dan termasuk Narkotika Golongan I Nomor Urut 61 Lampiran I UU Narkotika sebagaimana Berita Acara Analisis Laboratorium Barang Bukti Narkotika Cabang Medan dan terdakwa juga tidak mempunyai izin dari pihak yang berwenang untuk memiliki narkotika jenis sabu tersebut.</w:t>
      </w:r>
    </w:p>
    <w:p w:rsidR="006D6C9A" w:rsidRPr="007576A7" w:rsidRDefault="006D6C9A" w:rsidP="006D6C9A">
      <w:pPr>
        <w:autoSpaceDE w:val="0"/>
        <w:autoSpaceDN w:val="0"/>
        <w:adjustRightInd w:val="0"/>
        <w:spacing w:line="480" w:lineRule="auto"/>
        <w:ind w:firstLine="720"/>
        <w:jc w:val="both"/>
        <w:rPr>
          <w:lang w:val="id-ID"/>
        </w:rPr>
      </w:pPr>
      <w:r w:rsidRPr="007576A7">
        <w:rPr>
          <w:lang w:val="id-ID" w:eastAsia="id-ID"/>
        </w:rPr>
        <w:t>Berdasarkan fakta hukum tersebut diatas, Majelis Hakim berpendapat terdakwa saat ditangkap oleh saksi Endar Muda Rambe bersama rekannya saksi Parlindungan Simanjuntak (anggota Kepolisian Polsek Bilah Hulu Resor Labuhanbatu) ditemukan barang bukti berupa 1 (satu) bungkus plastik klip berisikan narkotika jenis sabu, yang mana barang bukti tersebut berada dalam kekuasaan terdakwa karena miliknya yang diperoleh dari Jamal (belum tertangkap) dan narkotika tersebut bukan berbentuk tanaman yaitu sesuatu yang ditanam yang dapat hidup tumbuh dan berkembang melainkan narkotika jenis sabu sehingga termasuk kedalam pengertian bukan tanaman sehingga unsur memiliki, menyimpan, menguasai atau menyediakan narkotika golongan I bukan tanaman ini telah terpenuhi oleh perbuatan terdakwa.</w:t>
      </w:r>
    </w:p>
    <w:p w:rsidR="006D6C9A" w:rsidRPr="007576A7" w:rsidRDefault="006D6C9A" w:rsidP="006D6C9A">
      <w:pPr>
        <w:autoSpaceDE w:val="0"/>
        <w:autoSpaceDN w:val="0"/>
        <w:adjustRightInd w:val="0"/>
        <w:spacing w:line="480" w:lineRule="auto"/>
        <w:ind w:firstLine="720"/>
        <w:jc w:val="both"/>
      </w:pPr>
      <w:r w:rsidRPr="007576A7">
        <w:t>Seluruh unsur dari Pasal 11</w:t>
      </w:r>
      <w:r w:rsidRPr="007576A7">
        <w:rPr>
          <w:lang w:val="id-ID"/>
        </w:rPr>
        <w:t>2</w:t>
      </w:r>
      <w:r w:rsidRPr="007576A7">
        <w:t xml:space="preserve"> ayat (</w:t>
      </w:r>
      <w:r w:rsidRPr="007576A7">
        <w:rPr>
          <w:lang w:val="id-ID"/>
        </w:rPr>
        <w:t>1</w:t>
      </w:r>
      <w:r w:rsidRPr="007576A7">
        <w:t xml:space="preserve">) </w:t>
      </w:r>
      <w:r w:rsidRPr="007576A7">
        <w:rPr>
          <w:lang w:val="id-ID"/>
        </w:rPr>
        <w:t>UU</w:t>
      </w:r>
      <w:r w:rsidRPr="007576A7">
        <w:t xml:space="preserve"> Narkotika sebagaimana dakwaan </w:t>
      </w:r>
      <w:r w:rsidRPr="007576A7">
        <w:rPr>
          <w:lang w:val="id-ID"/>
        </w:rPr>
        <w:t>subsidair dari</w:t>
      </w:r>
      <w:r w:rsidRPr="007576A7">
        <w:t xml:space="preserve"> Penuntut Umum telah terpenuhi dan Majelis Hakim memperoleh </w:t>
      </w:r>
      <w:r w:rsidRPr="007576A7">
        <w:lastRenderedPageBreak/>
        <w:t xml:space="preserve">keyakinan para terdakwa bersalah melakukan tindak pidana, maka terdakwa haruslah dinyatakan telah terbukti secara sah dan meyakinkan bersalah </w:t>
      </w:r>
      <w:r w:rsidRPr="007576A7">
        <w:rPr>
          <w:lang w:val="id-ID" w:eastAsia="id-ID"/>
        </w:rPr>
        <w:t>memiliki narkotika jenis sabu dengan barang bukti berupa 1 (satu) bungkus plastik klip berisi narkotika jenis sabu dengan berat netto 0,06 (nol koma nol enam) gram dan terdakwa mengakui bahwa barang tersebut adalah miliknya.</w:t>
      </w:r>
    </w:p>
    <w:p w:rsidR="006D6C9A" w:rsidRPr="007576A7" w:rsidRDefault="006D6C9A" w:rsidP="006D6C9A">
      <w:pPr>
        <w:autoSpaceDE w:val="0"/>
        <w:autoSpaceDN w:val="0"/>
        <w:adjustRightInd w:val="0"/>
        <w:spacing w:line="480" w:lineRule="auto"/>
        <w:ind w:firstLine="720"/>
        <w:jc w:val="both"/>
      </w:pPr>
      <w:r w:rsidRPr="007576A7">
        <w:rPr>
          <w:lang w:val="id-ID"/>
        </w:rPr>
        <w:t>D</w:t>
      </w:r>
      <w:r w:rsidRPr="007576A7">
        <w:t xml:space="preserve">akwaan yang diajukan merupakan dakwaan alternatif dimana Hakim dapat memilih salah satu dari ketiga dakwaan yang diajukan. Indikasi adanya dakwaan alternatif adalah adanya </w:t>
      </w:r>
      <w:r w:rsidRPr="007576A7">
        <w:rPr>
          <w:lang w:val="id-ID"/>
        </w:rPr>
        <w:t>2 (dua)</w:t>
      </w:r>
      <w:r w:rsidRPr="007576A7">
        <w:t xml:space="preserve"> dakwaan yang diajukan oleh Jaksa Penuntut Umum (JPU) dalam surat dakwaannya yang mana Hakim dapat memilih salah satu dari dakwaan tersebut.</w:t>
      </w:r>
      <w:r w:rsidRPr="007576A7">
        <w:rPr>
          <w:b/>
        </w:rPr>
        <w:t xml:space="preserve">  </w:t>
      </w:r>
      <w:r w:rsidRPr="007576A7">
        <w:t>Pemilihan salah satu dakwaan pada dakwaan alternatif tidak dapat dilakukan asal-asalan. Meski memiliki wewenang dalam persidangan, Hakim tidak dapat memutuskan dakwaan yang dipilih sesuka hatinya. Pemilihan dakwaan yang akan menjadi penguat pertimbangan hukum dalam persidangan harus disesuaikan dengan fakta serta bukti-bukti yang diperoleh dalam proses persidangan. Tujuan Penuntut Umum menggunakan surat dakwaan alternatif ini adalah untuk menghindari pelaku tindak pidana terlepas dari pertanggungjawaban hukum, serta kedua, untuk memberi pilihan kepada hakim untuk menerapkan hukum yang paling tepat dikenakan terhadap pelaku.</w:t>
      </w:r>
      <w:r w:rsidRPr="007576A7">
        <w:rPr>
          <w:rStyle w:val="FootnoteReference"/>
        </w:rPr>
        <w:t xml:space="preserve"> </w:t>
      </w:r>
    </w:p>
    <w:p w:rsidR="006D6C9A" w:rsidRPr="007576A7" w:rsidRDefault="006D6C9A" w:rsidP="006D6C9A">
      <w:pPr>
        <w:autoSpaceDE w:val="0"/>
        <w:autoSpaceDN w:val="0"/>
        <w:adjustRightInd w:val="0"/>
        <w:spacing w:line="480" w:lineRule="auto"/>
        <w:ind w:firstLine="720"/>
        <w:jc w:val="both"/>
      </w:pPr>
      <w:r w:rsidRPr="007576A7">
        <w:t xml:space="preserve">Selama berlangsungnya persidangan terhadap para terdakwa tidak ditemukan alasan pemaaf dan pembenar atas perbuatan para terdakwa yang dapat menghapuskan pidana atas diri para terdakwa, karenanya para terdakwa dinyatakan mampu mempertanggungjawabkan perbuatannya. Dengan demikian </w:t>
      </w:r>
      <w:r w:rsidRPr="007576A7">
        <w:lastRenderedPageBreak/>
        <w:t>para terdakwa harus dijatuhi pidana yang setimpal dengan kesalahannya seperti ditentukan dalam amar putusan ini.</w:t>
      </w:r>
    </w:p>
    <w:p w:rsidR="006D6C9A" w:rsidRPr="007576A7" w:rsidRDefault="006D6C9A" w:rsidP="006D6C9A">
      <w:pPr>
        <w:autoSpaceDE w:val="0"/>
        <w:autoSpaceDN w:val="0"/>
        <w:adjustRightInd w:val="0"/>
        <w:spacing w:line="480" w:lineRule="auto"/>
        <w:ind w:firstLine="720"/>
        <w:jc w:val="both"/>
      </w:pPr>
      <w:r w:rsidRPr="007576A7">
        <w:t xml:space="preserve">Penerapan hukum tindak pidana dalam </w:t>
      </w:r>
      <w:r w:rsidRPr="007576A7">
        <w:rPr>
          <w:lang w:val="id-ID"/>
        </w:rPr>
        <w:t xml:space="preserve">Mahkamah Agung Nomor </w:t>
      </w:r>
      <w:r w:rsidRPr="007576A7">
        <w:rPr>
          <w:lang w:val="id-ID" w:eastAsia="id-ID"/>
        </w:rPr>
        <w:t>758 K/Pid.Sus/2020</w:t>
      </w:r>
      <w:r w:rsidRPr="007576A7">
        <w:t xml:space="preserve"> telah sesuai dengan tindak pidana yang dilakukan oleh terdakwa</w:t>
      </w:r>
      <w:r w:rsidRPr="007576A7">
        <w:rPr>
          <w:lang w:val="id-ID"/>
        </w:rPr>
        <w:t xml:space="preserve"> serta u</w:t>
      </w:r>
      <w:r w:rsidRPr="007576A7">
        <w:t>nsur-unsurnya pun telah sesuai dengan rumusan delik.  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p>
    <w:p w:rsidR="006D6C9A" w:rsidRPr="007576A7" w:rsidRDefault="006D6C9A" w:rsidP="006D6C9A">
      <w:pPr>
        <w:autoSpaceDE w:val="0"/>
        <w:autoSpaceDN w:val="0"/>
        <w:adjustRightInd w:val="0"/>
        <w:spacing w:line="480" w:lineRule="auto"/>
        <w:ind w:firstLine="720"/>
        <w:jc w:val="both"/>
      </w:pPr>
      <w:r w:rsidRPr="007576A7">
        <w:t xml:space="preserve">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Untuk alat bukti yang di hadirkan di dalam persidangan harus saling berkaitan antara alat bukti satu dengan alat bukti yang lainnya. Gunanya agar hakim dapat membuktikan bahwa </w:t>
      </w:r>
      <w:r w:rsidRPr="007576A7">
        <w:lastRenderedPageBreak/>
        <w:t>terdakwalah yang melakukan tindak pidana tersebut. Namun apabila alat bukti yang di hadirkan di dalam persidangan berbeda tidak berkaitan dengan alat bukti satu dengan alat bukti yang lainnya hal itu dapat menimbulkan ketidakyakinan pada hakim.</w:t>
      </w:r>
      <w:r w:rsidRPr="007576A7">
        <w:rPr>
          <w:rStyle w:val="FootnoteReference"/>
        </w:rPr>
        <w:footnoteReference w:customMarkFollows="1" w:id="22"/>
        <w:t>107</w:t>
      </w:r>
    </w:p>
    <w:p w:rsidR="006D6C9A" w:rsidRPr="007576A7" w:rsidRDefault="006D6C9A" w:rsidP="006D6C9A">
      <w:pPr>
        <w:autoSpaceDE w:val="0"/>
        <w:autoSpaceDN w:val="0"/>
        <w:adjustRightInd w:val="0"/>
        <w:spacing w:line="480" w:lineRule="auto"/>
        <w:ind w:firstLine="720"/>
        <w:jc w:val="both"/>
      </w:pPr>
      <w:r w:rsidRPr="007576A7">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6D6C9A" w:rsidRPr="007576A7" w:rsidRDefault="006D6C9A" w:rsidP="006D6C9A">
      <w:pPr>
        <w:autoSpaceDE w:val="0"/>
        <w:autoSpaceDN w:val="0"/>
        <w:adjustRightInd w:val="0"/>
        <w:spacing w:line="480" w:lineRule="auto"/>
        <w:ind w:firstLine="720"/>
        <w:jc w:val="both"/>
      </w:pPr>
      <w:r w:rsidRPr="007576A7">
        <w:t xml:space="preserve">Menurut pasal 1 angka 11 Undang-undang Nomor 8 Tahun 1981 mengenai Kitab Undang-undang Hukum Acara Pidana (KUHAP) menyatakan bahwa putusan pengadilan adalah pernyataan hakim yang diucapkan dalam sidang pengadilan terbuka, yang dapat berupa pemindahan atau bebas atau lepas dari segala tuntutan dalam hal serta cara yang diatur undang-undang ini. </w:t>
      </w:r>
    </w:p>
    <w:p w:rsidR="006D6C9A" w:rsidRPr="007576A7" w:rsidRDefault="006D6C9A" w:rsidP="006D6C9A">
      <w:pPr>
        <w:autoSpaceDE w:val="0"/>
        <w:autoSpaceDN w:val="0"/>
        <w:adjustRightInd w:val="0"/>
        <w:spacing w:line="480" w:lineRule="auto"/>
        <w:ind w:firstLine="720"/>
        <w:jc w:val="both"/>
      </w:pPr>
      <w:r w:rsidRPr="007576A7">
        <w:t>Seorang terdakwa dapat dijatuhi pidana apabila di dalam persidangan telah terbukti secara sah dan menyakinkan melakukan tindak pidana. oleh karena itu, dalam persidangan hakim harus menyebutkan perbuatan terdakwa yang mana sesuai fakta terungkap dipersidangan dan memenuhi rumusan pasal tertentu dari suatu peraturan perundang-undangan.</w:t>
      </w:r>
    </w:p>
    <w:p w:rsidR="006D6C9A" w:rsidRPr="007576A7" w:rsidRDefault="006D6C9A" w:rsidP="006D6C9A">
      <w:pPr>
        <w:autoSpaceDE w:val="0"/>
        <w:autoSpaceDN w:val="0"/>
        <w:adjustRightInd w:val="0"/>
        <w:spacing w:line="480" w:lineRule="auto"/>
        <w:ind w:firstLine="720"/>
        <w:jc w:val="both"/>
      </w:pPr>
      <w:r w:rsidRPr="007576A7">
        <w:t xml:space="preserve">Hakim dalam upaya membuat putusan mempunyai pertimbangan yuridis yang terdiri dari dakwaan penuntut umum, keterangan terdakwa, keterangan saksi, </w:t>
      </w:r>
      <w:r w:rsidRPr="007576A7">
        <w:lastRenderedPageBreak/>
        <w:t>barang- 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r w:rsidRPr="007576A7">
        <w:rPr>
          <w:rStyle w:val="FootnoteReference"/>
        </w:rPr>
        <w:footnoteReference w:customMarkFollows="1" w:id="23"/>
        <w:t>108</w:t>
      </w:r>
    </w:p>
    <w:p w:rsidR="006D6C9A" w:rsidRPr="007576A7" w:rsidRDefault="006D6C9A" w:rsidP="006D6C9A">
      <w:pPr>
        <w:autoSpaceDE w:val="0"/>
        <w:autoSpaceDN w:val="0"/>
        <w:adjustRightInd w:val="0"/>
        <w:spacing w:line="480" w:lineRule="auto"/>
        <w:ind w:firstLine="720"/>
        <w:jc w:val="both"/>
        <w:rPr>
          <w:rFonts w:eastAsia="Calibri"/>
          <w:lang w:eastAsia="id-ID"/>
        </w:rPr>
      </w:pPr>
      <w:r w:rsidRPr="007576A7">
        <w:rPr>
          <w:rFonts w:eastAsia="Calibri"/>
          <w:lang w:eastAsia="id-ID"/>
        </w:rPr>
        <w:t xml:space="preserve">Penjatuhan hukum oleh hakim tentu didasarkan atas pertimbangan: </w:t>
      </w:r>
    </w:p>
    <w:p w:rsidR="006D6C9A" w:rsidRPr="007576A7" w:rsidRDefault="006D6C9A" w:rsidP="00443AD4">
      <w:pPr>
        <w:numPr>
          <w:ilvl w:val="4"/>
          <w:numId w:val="20"/>
        </w:numPr>
        <w:tabs>
          <w:tab w:val="num" w:pos="426"/>
        </w:tabs>
        <w:autoSpaceDE w:val="0"/>
        <w:autoSpaceDN w:val="0"/>
        <w:adjustRightInd w:val="0"/>
        <w:spacing w:line="480" w:lineRule="auto"/>
        <w:ind w:left="426" w:hanging="426"/>
        <w:jc w:val="both"/>
        <w:rPr>
          <w:rFonts w:eastAsia="Calibri"/>
          <w:lang w:eastAsia="id-ID"/>
        </w:rPr>
      </w:pPr>
      <w:r w:rsidRPr="007576A7">
        <w:rPr>
          <w:rFonts w:eastAsia="Calibri"/>
          <w:lang w:eastAsia="id-ID"/>
        </w:rPr>
        <w:t>Pertimbangan yuridis</w:t>
      </w:r>
    </w:p>
    <w:p w:rsidR="006D6C9A" w:rsidRPr="007576A7" w:rsidRDefault="006D6C9A" w:rsidP="00443AD4">
      <w:pPr>
        <w:numPr>
          <w:ilvl w:val="4"/>
          <w:numId w:val="20"/>
        </w:numPr>
        <w:tabs>
          <w:tab w:val="num" w:pos="426"/>
        </w:tabs>
        <w:autoSpaceDE w:val="0"/>
        <w:autoSpaceDN w:val="0"/>
        <w:adjustRightInd w:val="0"/>
        <w:spacing w:line="480" w:lineRule="auto"/>
        <w:ind w:left="426" w:hanging="426"/>
        <w:jc w:val="both"/>
        <w:rPr>
          <w:rFonts w:eastAsia="Calibri"/>
          <w:lang w:eastAsia="id-ID"/>
        </w:rPr>
      </w:pPr>
      <w:r w:rsidRPr="007576A7">
        <w:rPr>
          <w:rFonts w:eastAsia="Calibri"/>
          <w:lang w:eastAsia="id-ID"/>
        </w:rPr>
        <w:t>Pertimbangan non yuridis.</w:t>
      </w:r>
      <w:r w:rsidRPr="007576A7">
        <w:rPr>
          <w:rStyle w:val="FootnoteReference"/>
          <w:rFonts w:eastAsia="Calibri"/>
          <w:b/>
        </w:rPr>
        <w:t xml:space="preserve"> </w:t>
      </w:r>
      <w:r w:rsidRPr="007576A7">
        <w:rPr>
          <w:rStyle w:val="FootnoteReference"/>
          <w:rFonts w:eastAsia="Calibri"/>
          <w:lang w:eastAsia="id-ID"/>
        </w:rPr>
        <w:footnoteReference w:customMarkFollows="1" w:id="24"/>
        <w:t>109</w:t>
      </w:r>
    </w:p>
    <w:p w:rsidR="006D6C9A" w:rsidRPr="007576A7" w:rsidRDefault="006D6C9A" w:rsidP="006D6C9A">
      <w:pPr>
        <w:autoSpaceDE w:val="0"/>
        <w:autoSpaceDN w:val="0"/>
        <w:adjustRightInd w:val="0"/>
        <w:spacing w:line="480" w:lineRule="auto"/>
        <w:ind w:firstLine="720"/>
        <w:jc w:val="both"/>
        <w:rPr>
          <w:rFonts w:eastAsia="Calibri"/>
        </w:rPr>
      </w:pPr>
      <w:r w:rsidRPr="007576A7">
        <w:rPr>
          <w:rFonts w:eastAsia="Calibri"/>
        </w:rPr>
        <w:t>Pertimbangan yang bersifat yuridis adalah pertimbangan hakim yang didasarkan pada fakta fakta yuridis yang terungkap didalam persidangan dan oleh undang-undang telah ditetapkan sebagai hal yang harus dimuat di dalam putusan. Hal-hal yang dimaksud tersebut, di antaranya:</w:t>
      </w:r>
    </w:p>
    <w:p w:rsidR="006D6C9A" w:rsidRPr="007576A7" w:rsidRDefault="006D6C9A" w:rsidP="00443AD4">
      <w:pPr>
        <w:numPr>
          <w:ilvl w:val="6"/>
          <w:numId w:val="20"/>
        </w:numPr>
        <w:tabs>
          <w:tab w:val="num" w:pos="426"/>
        </w:tabs>
        <w:autoSpaceDE w:val="0"/>
        <w:autoSpaceDN w:val="0"/>
        <w:adjustRightInd w:val="0"/>
        <w:spacing w:line="480" w:lineRule="auto"/>
        <w:ind w:left="426" w:hanging="426"/>
        <w:jc w:val="both"/>
        <w:rPr>
          <w:rFonts w:eastAsia="Calibri"/>
          <w:lang w:eastAsia="id-ID"/>
        </w:rPr>
      </w:pPr>
      <w:r w:rsidRPr="007576A7">
        <w:rPr>
          <w:rFonts w:eastAsia="Calibri"/>
        </w:rPr>
        <w:t>Dakwaan jaksa penuntut umum</w:t>
      </w:r>
    </w:p>
    <w:p w:rsidR="006D6C9A" w:rsidRPr="007576A7" w:rsidRDefault="006D6C9A" w:rsidP="006D6C9A">
      <w:pPr>
        <w:autoSpaceDE w:val="0"/>
        <w:autoSpaceDN w:val="0"/>
        <w:adjustRightInd w:val="0"/>
        <w:spacing w:line="480" w:lineRule="auto"/>
        <w:ind w:firstLine="777"/>
        <w:jc w:val="both"/>
      </w:pPr>
      <w:r w:rsidRPr="007576A7">
        <w:t>Dakwaan adalah surat atau akta yang memuat rumusan tindak pidana yang didakwakan kepada terdakwa yang disimpulkan dan ditarik dari hasil pemerikasaan penyidikan, dan merupakan dasar serta landasan bagi hakim dalam pemeriksaan dimuka pengadilan.</w:t>
      </w:r>
      <w:r w:rsidRPr="007576A7">
        <w:rPr>
          <w:rStyle w:val="FootnoteReference"/>
        </w:rPr>
        <w:footnoteReference w:customMarkFollows="1" w:id="25"/>
        <w:t>111</w:t>
      </w:r>
      <w:r w:rsidRPr="007576A7">
        <w:t xml:space="preserve"> Dakwaan merupakan dasar hukum acara pidana karena berdasarkan itulah pemeriksaan di persidangan dilakukan (Pasal 143 ayat (1) KUHAP). Dalam menyusun sebuah surat dakwaan, hal-hal yang harus diperhatikan adalah syarat-syarat formil dan materilnya. Dakwaan berisi </w:t>
      </w:r>
      <w:r w:rsidRPr="007576A7">
        <w:lastRenderedPageBreak/>
        <w:t xml:space="preserve">identitas terdakwa juga memuat uraian tindak pidana serta waktu dilakukannya tindak pidana dan memuat pasal yang dilanggar (Pasal 143 ayat (2) KUHAP). </w:t>
      </w:r>
    </w:p>
    <w:p w:rsidR="006D6C9A" w:rsidRPr="007576A7" w:rsidRDefault="006D6C9A" w:rsidP="006D6C9A">
      <w:pPr>
        <w:autoSpaceDE w:val="0"/>
        <w:autoSpaceDN w:val="0"/>
        <w:adjustRightInd w:val="0"/>
        <w:spacing w:line="480" w:lineRule="auto"/>
        <w:ind w:left="3" w:firstLine="774"/>
        <w:jc w:val="both"/>
      </w:pPr>
      <w:r w:rsidRPr="007576A7">
        <w:t xml:space="preserve">Perumusan dakwaan didasarkan dari hasil pemeriksaan pendahuluan yang dapat disusun dengan bentuk dakwaan tunggal, kumulatif, alternatif maupun subsidairitas. Dakwaan disusun secara tunggal apabila seseorang atau lebih mungkin melakukan satu perbuatan saja, misalnya hanya sebagai pemakai. Namun, kalau lebih dari satu perbuatan misalnya ketika tertangkap memakai narkotika ditemukan pula senjata api dalam hal ini dakwaan disusun secara kumulatif. </w:t>
      </w:r>
    </w:p>
    <w:p w:rsidR="006D6C9A" w:rsidRPr="007576A7" w:rsidRDefault="006D6C9A" w:rsidP="006D6C9A">
      <w:pPr>
        <w:autoSpaceDE w:val="0"/>
        <w:autoSpaceDN w:val="0"/>
        <w:adjustRightInd w:val="0"/>
        <w:spacing w:line="480" w:lineRule="auto"/>
        <w:ind w:left="3" w:firstLine="774"/>
        <w:jc w:val="both"/>
      </w:pPr>
      <w:r w:rsidRPr="007576A7">
        <w:t xml:space="preserve">Dakwaan alternatif disusun apabila penuntut umum ragu untuk menentukan peraturan hukum pidana yang akan diterapkan atas suatu perbuatan yang menurut pertimbangannya telah terbukti, surat dakwaan yang tindak pidananya masing-masing dirumuskan secara saling mengecualikan dan memberikan pilihan kepada pengadilan untuk menentukan dakwaan mana yang paling tepat untuk dipertanggungjawabkan oleh terdakwa sehubungan dengan tindak pidana. Biasanya dalam surat dakwaan ada kata “atau”. </w:t>
      </w:r>
    </w:p>
    <w:p w:rsidR="006D6C9A" w:rsidRPr="007576A7" w:rsidRDefault="006D6C9A" w:rsidP="006D6C9A">
      <w:pPr>
        <w:autoSpaceDE w:val="0"/>
        <w:autoSpaceDN w:val="0"/>
        <w:adjustRightInd w:val="0"/>
        <w:spacing w:line="480" w:lineRule="auto"/>
        <w:ind w:left="3" w:firstLine="774"/>
        <w:jc w:val="both"/>
        <w:rPr>
          <w:rFonts w:eastAsia="Calibri"/>
          <w:lang w:eastAsia="id-ID"/>
        </w:rPr>
      </w:pPr>
      <w:r w:rsidRPr="007576A7">
        <w:t>Surat dakwaan subsideritas ialah surat dakwaan yang terdiri atas atau beberapa pasal dakwaan atau berjenjang-jenjang berurutan mulai dari ancaman hukuman terberat sampai kepada tindak pidana yang paling ringan. Subsidair disini dimaksudkan sebagai susunan dakwaan pengganti (</w:t>
      </w:r>
      <w:r w:rsidRPr="007576A7">
        <w:rPr>
          <w:i/>
          <w:iCs/>
        </w:rPr>
        <w:t>Whit the alternative of</w:t>
      </w:r>
      <w:r w:rsidRPr="007576A7">
        <w:t xml:space="preserve">) dengan maksud dakwaan subsidair menggantikan yang primair itu tidak terbukti dipersidangan pengadilan. Jadi, jika dalam suatu dakwaan terdapat hanya 2 (dua) </w:t>
      </w:r>
      <w:r w:rsidRPr="007576A7">
        <w:lastRenderedPageBreak/>
        <w:t>saja pasal yang didakwakan, maka yang pertama disebut primair dan kedua disebut subsidair.</w:t>
      </w:r>
      <w:r w:rsidRPr="007576A7">
        <w:rPr>
          <w:rStyle w:val="FootnoteReference"/>
          <w:rFonts w:eastAsia="Calibri"/>
          <w:lang w:eastAsia="id-ID"/>
        </w:rPr>
        <w:footnoteReference w:customMarkFollows="1" w:id="26"/>
        <w:t>113</w:t>
      </w:r>
    </w:p>
    <w:p w:rsidR="006D6C9A" w:rsidRPr="007576A7" w:rsidRDefault="006D6C9A" w:rsidP="00443AD4">
      <w:pPr>
        <w:numPr>
          <w:ilvl w:val="6"/>
          <w:numId w:val="20"/>
        </w:numPr>
        <w:autoSpaceDE w:val="0"/>
        <w:autoSpaceDN w:val="0"/>
        <w:adjustRightInd w:val="0"/>
        <w:spacing w:line="480" w:lineRule="auto"/>
        <w:ind w:left="360"/>
        <w:jc w:val="both"/>
        <w:rPr>
          <w:rFonts w:eastAsia="Calibri"/>
          <w:lang w:eastAsia="id-ID"/>
        </w:rPr>
      </w:pPr>
      <w:r w:rsidRPr="007576A7">
        <w:t>Tuntutan pidana</w:t>
      </w:r>
    </w:p>
    <w:p w:rsidR="006D6C9A" w:rsidRPr="007576A7" w:rsidRDefault="006D6C9A" w:rsidP="006D6C9A">
      <w:pPr>
        <w:autoSpaceDE w:val="0"/>
        <w:autoSpaceDN w:val="0"/>
        <w:adjustRightInd w:val="0"/>
        <w:spacing w:line="480" w:lineRule="auto"/>
        <w:ind w:firstLine="720"/>
        <w:jc w:val="both"/>
      </w:pPr>
      <w:r w:rsidRPr="007576A7">
        <w:t>Tuntutan pidana biasanya menyebutkan jenis-jenis dan beratnya pidana atau jenis-jenis tindakan yang dituntut oleh jaksa penuntut umum untuk dijatuhkan oleh pengadilan kepada terdakwa, dengan menjelaskan karena telah terbukti melakukan tindak pidana yang mana, jaksa penuntut umum telah mengajukan tuntutan pidana tersebut di atas.</w:t>
      </w:r>
      <w:r w:rsidRPr="007576A7">
        <w:rPr>
          <w:rStyle w:val="FootnoteReference"/>
        </w:rPr>
        <w:footnoteReference w:customMarkFollows="1" w:id="27"/>
        <w:t>114</w:t>
      </w:r>
      <w:r w:rsidRPr="007576A7">
        <w:t xml:space="preserve"> </w:t>
      </w:r>
    </w:p>
    <w:p w:rsidR="006D6C9A" w:rsidRPr="007576A7" w:rsidRDefault="006D6C9A" w:rsidP="006D6C9A">
      <w:pPr>
        <w:autoSpaceDE w:val="0"/>
        <w:autoSpaceDN w:val="0"/>
        <w:adjustRightInd w:val="0"/>
        <w:spacing w:line="480" w:lineRule="auto"/>
        <w:ind w:firstLine="720"/>
        <w:jc w:val="both"/>
      </w:pPr>
      <w:r w:rsidRPr="007576A7">
        <w:t>Penyusunan surat tuntutan oleh jaksa penuntut umum disesuaikan dengan dakwaan jaksa penuntut umum dengan melihat proses pembuktian dalam persidangan, yang disesuaikan pula dengan bentuk dakwaan yang digunakan oleh jaksa penuntut umum.</w:t>
      </w:r>
    </w:p>
    <w:p w:rsidR="006D6C9A" w:rsidRPr="007576A7" w:rsidRDefault="006D6C9A" w:rsidP="00443AD4">
      <w:pPr>
        <w:numPr>
          <w:ilvl w:val="6"/>
          <w:numId w:val="20"/>
        </w:numPr>
        <w:autoSpaceDE w:val="0"/>
        <w:autoSpaceDN w:val="0"/>
        <w:adjustRightInd w:val="0"/>
        <w:spacing w:line="480" w:lineRule="auto"/>
        <w:ind w:left="360"/>
        <w:jc w:val="both"/>
        <w:rPr>
          <w:rFonts w:eastAsia="Calibri"/>
          <w:lang w:eastAsia="id-ID"/>
        </w:rPr>
      </w:pPr>
      <w:r w:rsidRPr="007576A7">
        <w:rPr>
          <w:rFonts w:eastAsia="Calibri"/>
        </w:rPr>
        <w:t>Keterangan saksi</w:t>
      </w:r>
    </w:p>
    <w:p w:rsidR="006D6C9A" w:rsidRPr="007576A7" w:rsidRDefault="006D6C9A" w:rsidP="006D6C9A">
      <w:pPr>
        <w:autoSpaceDE w:val="0"/>
        <w:autoSpaceDN w:val="0"/>
        <w:adjustRightInd w:val="0"/>
        <w:spacing w:line="480" w:lineRule="auto"/>
        <w:ind w:firstLine="720"/>
        <w:jc w:val="both"/>
      </w:pPr>
      <w:r w:rsidRPr="007576A7">
        <w:t>Keterangan saksi adalah salah satu alat bukti dalam perkara pidana yang merupakan keterangan dari saksi mengenai suatu peristiwa pidana yang ia dengar sendiri, ia lihat sendiri, dan ia alami sendiri dengan menyebut alasan dari pengetahuannya itu.</w:t>
      </w:r>
      <w:r w:rsidRPr="007576A7">
        <w:rPr>
          <w:rStyle w:val="FootnoteReference"/>
        </w:rPr>
        <w:footnoteReference w:customMarkFollows="1" w:id="28"/>
        <w:t>115</w:t>
      </w:r>
      <w:r w:rsidRPr="007576A7">
        <w:t xml:space="preserve"> Keterangan saksi merupakan alat bukti seperti yang diatur dalam Pasal 184 ayat (1) KUHAP huruf a. </w:t>
      </w:r>
    </w:p>
    <w:p w:rsidR="006D6C9A" w:rsidRPr="007576A7" w:rsidRDefault="006D6C9A" w:rsidP="006D6C9A">
      <w:pPr>
        <w:autoSpaceDE w:val="0"/>
        <w:autoSpaceDN w:val="0"/>
        <w:adjustRightInd w:val="0"/>
        <w:spacing w:line="480" w:lineRule="auto"/>
        <w:ind w:firstLine="720"/>
        <w:jc w:val="both"/>
        <w:rPr>
          <w:rFonts w:eastAsia="Calibri"/>
          <w:lang w:eastAsia="id-ID"/>
        </w:rPr>
      </w:pPr>
      <w:r w:rsidRPr="007576A7">
        <w:t xml:space="preserve">Sepanjang keterangan itu mengenai suatu peristiwa pidana yang ia dengar sendiri ia lihat sendiri dan alami sendiri, dan harus disampaikan dalam sidang pengadilan dengan mengangkat sumpah. Keterangan saksi yang disampaikan di </w:t>
      </w:r>
      <w:r w:rsidRPr="007576A7">
        <w:lastRenderedPageBreak/>
        <w:t xml:space="preserve">muka sidang pengadilan yang merupakan hasil pemikiran saja atau hasil rekaan yang diperoleh dari kesaksian orang lain tidak dapat dinilai sebagai alat bukti yang sah. Kesaksian semacam ini dalam hukum acara pidana disebut dengan istilah </w:t>
      </w:r>
      <w:r w:rsidRPr="007576A7">
        <w:rPr>
          <w:i/>
          <w:iCs/>
        </w:rPr>
        <w:t>de auditu testimonium.</w:t>
      </w:r>
      <w:r w:rsidRPr="007576A7">
        <w:rPr>
          <w:rStyle w:val="FootnoteReference"/>
          <w:rFonts w:eastAsia="Calibri"/>
          <w:lang w:eastAsia="id-ID"/>
        </w:rPr>
        <w:footnoteReference w:customMarkFollows="1" w:id="29"/>
        <w:t>116</w:t>
      </w:r>
    </w:p>
    <w:p w:rsidR="006D6C9A" w:rsidRPr="007576A7" w:rsidRDefault="006D6C9A" w:rsidP="00443AD4">
      <w:pPr>
        <w:numPr>
          <w:ilvl w:val="3"/>
          <w:numId w:val="20"/>
        </w:numPr>
        <w:autoSpaceDE w:val="0"/>
        <w:autoSpaceDN w:val="0"/>
        <w:adjustRightInd w:val="0"/>
        <w:spacing w:line="480" w:lineRule="auto"/>
        <w:ind w:left="360"/>
        <w:jc w:val="both"/>
        <w:rPr>
          <w:rFonts w:eastAsia="Calibri"/>
          <w:lang w:eastAsia="id-ID"/>
        </w:rPr>
      </w:pPr>
      <w:r w:rsidRPr="007576A7">
        <w:rPr>
          <w:rFonts w:eastAsia="Calibri"/>
          <w:lang w:eastAsia="id-ID"/>
        </w:rPr>
        <w:t>Keterangan terdakwa</w:t>
      </w:r>
    </w:p>
    <w:p w:rsidR="006D6C9A" w:rsidRPr="007576A7" w:rsidRDefault="006D6C9A" w:rsidP="006D6C9A">
      <w:pPr>
        <w:autoSpaceDE w:val="0"/>
        <w:autoSpaceDN w:val="0"/>
        <w:adjustRightInd w:val="0"/>
        <w:spacing w:line="480" w:lineRule="auto"/>
        <w:ind w:firstLine="720"/>
        <w:jc w:val="both"/>
      </w:pPr>
      <w:r w:rsidRPr="007576A7">
        <w:t>Berdasarkan Pasal 184 ayat (1) KUHAP huruf e. keterangan terdakwa digolongkan sebagai alat bukti. Keterangan terdakwa adalah apa yang dinyatakan terdakwa di sidang tentang perbuatan yang dia lakukan atau yang dia ketahui sendiri atau yang dia alami sendiri, ini diatur dalam Pasal 189 KUHAP.</w:t>
      </w:r>
      <w:r w:rsidRPr="007576A7">
        <w:rPr>
          <w:rStyle w:val="FootnoteReference"/>
        </w:rPr>
        <w:footnoteReference w:customMarkFollows="1" w:id="30"/>
        <w:t>117</w:t>
      </w:r>
      <w:r w:rsidRPr="007576A7">
        <w:t xml:space="preserve"> </w:t>
      </w:r>
    </w:p>
    <w:p w:rsidR="006D6C9A" w:rsidRPr="007576A7" w:rsidRDefault="006D6C9A" w:rsidP="006D6C9A">
      <w:pPr>
        <w:autoSpaceDE w:val="0"/>
        <w:autoSpaceDN w:val="0"/>
        <w:adjustRightInd w:val="0"/>
        <w:spacing w:line="480" w:lineRule="auto"/>
        <w:ind w:firstLine="720"/>
        <w:jc w:val="both"/>
      </w:pPr>
      <w:r w:rsidRPr="007576A7">
        <w:t>Prakteknya keterangan terdakwa sering dinyatakan dalam bentuk pengakuan dan penolakan, baik sebagian maupun keseluruhan terhadap dakwaan penuntut umum dan keterangan yang disampaikan oleh para saksi. Keterangan terdakwa juga merupakan jawaban atas pertanyaan baik yang diajukan oleh penuntut umum, hakim maupun penasehat hukum. Keterangan terdakwa dapat meliputi keterangan yang berupa penolakan dan keterangan yang berupa pengakuan atas semua yang didakwakan kepadanya. Dengan demikian, keterangan terdakwa yang dinyatakan dalam bentuk penolakan atau penyangkalan sebagaimana sering dijumpai dalam praktek persidangan, boleh juga dinilai sebagai alat bukti.</w:t>
      </w:r>
    </w:p>
    <w:p w:rsidR="006D6C9A" w:rsidRPr="007576A7" w:rsidRDefault="006D6C9A" w:rsidP="00443AD4">
      <w:pPr>
        <w:numPr>
          <w:ilvl w:val="3"/>
          <w:numId w:val="20"/>
        </w:numPr>
        <w:autoSpaceDE w:val="0"/>
        <w:autoSpaceDN w:val="0"/>
        <w:adjustRightInd w:val="0"/>
        <w:spacing w:line="480" w:lineRule="auto"/>
        <w:ind w:left="360"/>
        <w:jc w:val="both"/>
        <w:rPr>
          <w:rFonts w:eastAsia="Calibri"/>
          <w:lang w:eastAsia="id-ID"/>
        </w:rPr>
      </w:pPr>
      <w:r w:rsidRPr="007576A7">
        <w:rPr>
          <w:rFonts w:eastAsia="Calibri"/>
        </w:rPr>
        <w:t>Barang bukti</w:t>
      </w:r>
    </w:p>
    <w:p w:rsidR="006D6C9A" w:rsidRPr="007576A7" w:rsidRDefault="006D6C9A" w:rsidP="006D6C9A">
      <w:pPr>
        <w:autoSpaceDE w:val="0"/>
        <w:autoSpaceDN w:val="0"/>
        <w:adjustRightInd w:val="0"/>
        <w:spacing w:line="480" w:lineRule="auto"/>
        <w:ind w:firstLine="709"/>
        <w:jc w:val="both"/>
        <w:rPr>
          <w:rFonts w:eastAsia="Calibri"/>
          <w:lang w:eastAsia="id-ID"/>
        </w:rPr>
      </w:pPr>
      <w:r w:rsidRPr="007576A7">
        <w:lastRenderedPageBreak/>
        <w:t>Barang bukti adalah barang yang dipergunakan oleh terdakwa untuk melakukan suatu tindak pidana atau barang sebagai hasil dari suatu tindak pidana.</w:t>
      </w:r>
      <w:r w:rsidRPr="007576A7">
        <w:rPr>
          <w:rStyle w:val="FootnoteReference"/>
        </w:rPr>
        <w:footnoteReference w:customMarkFollows="1" w:id="31"/>
        <w:t>118</w:t>
      </w:r>
      <w:r w:rsidRPr="007576A7">
        <w:t xml:space="preserve"> Barang-barang ini disita oleh penyidik untuk dijadikan sebagai bukti dalam sidang pengadilan. Barang yang digunakan sebagai bukti yang diajukan dalam sidang pengadilan bertujuan untuk menguatkan keterangan saksi, keterangan ahli, dan keterangan terdakwa untuk membuktikan kesalahan terdakwa.</w:t>
      </w:r>
      <w:r w:rsidRPr="007576A7">
        <w:rPr>
          <w:rStyle w:val="FootnoteReference"/>
          <w:rFonts w:eastAsia="Calibri"/>
          <w:lang w:eastAsia="id-ID"/>
        </w:rPr>
        <w:footnoteReference w:customMarkFollows="1" w:id="32"/>
        <w:t>119</w:t>
      </w:r>
    </w:p>
    <w:p w:rsidR="006D6C9A" w:rsidRPr="007576A7" w:rsidRDefault="006D6C9A" w:rsidP="006D6C9A">
      <w:pPr>
        <w:autoSpaceDE w:val="0"/>
        <w:autoSpaceDN w:val="0"/>
        <w:adjustRightInd w:val="0"/>
        <w:spacing w:line="480" w:lineRule="auto"/>
        <w:ind w:firstLine="709"/>
        <w:jc w:val="both"/>
      </w:pPr>
      <w:r w:rsidRPr="007576A7">
        <w:rPr>
          <w:rFonts w:eastAsia="Calibri"/>
        </w:rPr>
        <w:t xml:space="preserve">Meskipun belum ada ketentuan yang menyebutkan di antara yang termuat dalam putusan itu merupakan pertimbangan yang bersifat yuridis di  sidang pengadilan, dapatlah disebutkan dan digolongkan sebagai pertimbangan yang bersifat yuridis. </w:t>
      </w:r>
      <w:r w:rsidRPr="007576A7">
        <w:t>Di samping pertimbangan yang bersifat yuridis hakim dalam menjatuhkan putusan membuat pertimbangan yang bersifat non yuridis. Pertimbangan yuridis saja tidaklah cukup untuk menentukan nilai keadilan dalam pemidanaan, tanpa ditopang dengan pertimbangan non yuridis yang bersifat sosiologis, psikologis, kriminologis dan filosofis.</w:t>
      </w:r>
    </w:p>
    <w:p w:rsidR="006D6C9A" w:rsidRPr="007576A7" w:rsidRDefault="006D6C9A" w:rsidP="006D6C9A">
      <w:pPr>
        <w:pStyle w:val="BodyTextIndent"/>
        <w:ind w:firstLine="709"/>
        <w:rPr>
          <w:szCs w:val="24"/>
        </w:rPr>
      </w:pPr>
      <w:r w:rsidRPr="007576A7">
        <w:rPr>
          <w:szCs w:val="24"/>
        </w:rPr>
        <w:t>Dasar</w:t>
      </w:r>
      <w:r w:rsidRPr="007576A7">
        <w:rPr>
          <w:rFonts w:eastAsia="Calibri"/>
          <w:szCs w:val="24"/>
        </w:rPr>
        <w:t xml:space="preserve"> pertimbangan hakim dalam menghukum pelaku tindak pidana penganiayaan, antara lain: fakta-fakta dipersidangkan, keterangan terdakwa dipersidangan, keterangan saksi dalam persidangan, barang bukti, akibat perbuatan terdakwa dan kondisi terdakwa. </w:t>
      </w:r>
      <w:r w:rsidRPr="007576A7">
        <w:rPr>
          <w:szCs w:val="24"/>
        </w:rPr>
        <w:t>Hal-hal yang dijadikan alasan pertimbangan oleh hakim dalam memperberat dan memperingan sanksi pidana penjara yang akan dijatuhkan kepada terdakwa, alasan-alasan tersebut adalah :</w:t>
      </w:r>
      <w:r w:rsidRPr="007576A7">
        <w:rPr>
          <w:rStyle w:val="FootnoteReference"/>
          <w:szCs w:val="24"/>
        </w:rPr>
        <w:footnoteReference w:customMarkFollows="1" w:id="33"/>
        <w:t>121</w:t>
      </w:r>
    </w:p>
    <w:p w:rsidR="006D6C9A" w:rsidRPr="007576A7" w:rsidRDefault="006D6C9A" w:rsidP="00443AD4">
      <w:pPr>
        <w:numPr>
          <w:ilvl w:val="0"/>
          <w:numId w:val="22"/>
        </w:numPr>
        <w:tabs>
          <w:tab w:val="clear" w:pos="720"/>
          <w:tab w:val="num" w:pos="360"/>
        </w:tabs>
        <w:autoSpaceDE w:val="0"/>
        <w:autoSpaceDN w:val="0"/>
        <w:adjustRightInd w:val="0"/>
        <w:spacing w:line="480" w:lineRule="auto"/>
        <w:ind w:left="360"/>
        <w:jc w:val="both"/>
      </w:pPr>
      <w:r w:rsidRPr="007576A7">
        <w:t xml:space="preserve">Alasan yang meringankan : </w:t>
      </w:r>
    </w:p>
    <w:p w:rsidR="006D6C9A" w:rsidRPr="007576A7" w:rsidRDefault="006D6C9A" w:rsidP="00443AD4">
      <w:pPr>
        <w:numPr>
          <w:ilvl w:val="1"/>
          <w:numId w:val="22"/>
        </w:numPr>
        <w:tabs>
          <w:tab w:val="clear" w:pos="1440"/>
          <w:tab w:val="num" w:pos="720"/>
        </w:tabs>
        <w:autoSpaceDE w:val="0"/>
        <w:autoSpaceDN w:val="0"/>
        <w:adjustRightInd w:val="0"/>
        <w:spacing w:line="480" w:lineRule="auto"/>
        <w:ind w:left="720"/>
        <w:jc w:val="both"/>
      </w:pPr>
      <w:r w:rsidRPr="007576A7">
        <w:lastRenderedPageBreak/>
        <w:t xml:space="preserve">Belum pernah dihukum atau residivis. </w:t>
      </w:r>
    </w:p>
    <w:p w:rsidR="006D6C9A" w:rsidRPr="007576A7" w:rsidRDefault="006D6C9A" w:rsidP="006D6C9A">
      <w:pPr>
        <w:autoSpaceDE w:val="0"/>
        <w:autoSpaceDN w:val="0"/>
        <w:adjustRightInd w:val="0"/>
        <w:spacing w:line="480" w:lineRule="auto"/>
        <w:ind w:left="750"/>
        <w:jc w:val="both"/>
      </w:pPr>
      <w:r w:rsidRPr="007576A7">
        <w:t xml:space="preserve">Dengan maksud bahwa terdakwa sebelum melakukan tindak pidana, terdakwa tidak pernah dihukum karena melakukan tindak pidana yang sebelumnya. Hal ini menjadi catatan pertimbangan sendiri bagi hakim untuk menjatuhkan putusan terhadap terdakwa sebagai dasar yang meringankan sanksi pidana. </w:t>
      </w:r>
    </w:p>
    <w:p w:rsidR="006D6C9A" w:rsidRPr="007576A7" w:rsidRDefault="006D6C9A" w:rsidP="00443AD4">
      <w:pPr>
        <w:numPr>
          <w:ilvl w:val="1"/>
          <w:numId w:val="22"/>
        </w:numPr>
        <w:tabs>
          <w:tab w:val="clear" w:pos="1440"/>
          <w:tab w:val="num" w:pos="709"/>
        </w:tabs>
        <w:autoSpaceDE w:val="0"/>
        <w:autoSpaceDN w:val="0"/>
        <w:adjustRightInd w:val="0"/>
        <w:spacing w:line="480" w:lineRule="auto"/>
        <w:ind w:left="709"/>
        <w:jc w:val="both"/>
      </w:pPr>
      <w:r w:rsidRPr="007576A7">
        <w:t xml:space="preserve">Sopan dalam persidangan. </w:t>
      </w:r>
    </w:p>
    <w:p w:rsidR="006D6C9A" w:rsidRPr="007576A7" w:rsidRDefault="006D6C9A" w:rsidP="006D6C9A">
      <w:pPr>
        <w:autoSpaceDE w:val="0"/>
        <w:autoSpaceDN w:val="0"/>
        <w:adjustRightInd w:val="0"/>
        <w:spacing w:line="480" w:lineRule="auto"/>
        <w:ind w:left="750"/>
        <w:jc w:val="both"/>
      </w:pPr>
      <w:r w:rsidRPr="007576A7">
        <w:t>Saat persidangan berlangsung, semua orang yang ada di dalam ruang persidangan termasuk terdakwa harus berlaku sopan dan patuh dalam bersikap, bertutur kata yang baik, serta menaati semua peraturan yang ditetapkan saat persidangan berlangsung. Itu semua merupakan nilai tersendiri bagi hakim sebagai pertimbangan putusan untuk meringankan penjatuhan sanksi pidana.</w:t>
      </w:r>
    </w:p>
    <w:p w:rsidR="006D6C9A" w:rsidRPr="007576A7" w:rsidRDefault="006D6C9A" w:rsidP="00443AD4">
      <w:pPr>
        <w:numPr>
          <w:ilvl w:val="1"/>
          <w:numId w:val="22"/>
        </w:numPr>
        <w:tabs>
          <w:tab w:val="clear" w:pos="1440"/>
        </w:tabs>
        <w:autoSpaceDE w:val="0"/>
        <w:autoSpaceDN w:val="0"/>
        <w:adjustRightInd w:val="0"/>
        <w:spacing w:line="480" w:lineRule="auto"/>
        <w:ind w:left="709"/>
        <w:jc w:val="both"/>
      </w:pPr>
      <w:r w:rsidRPr="007576A7">
        <w:t xml:space="preserve">Adanya sikap terus terang dalam persidangan. </w:t>
      </w:r>
    </w:p>
    <w:p w:rsidR="006D6C9A" w:rsidRPr="007576A7" w:rsidRDefault="006D6C9A" w:rsidP="006D6C9A">
      <w:pPr>
        <w:autoSpaceDE w:val="0"/>
        <w:autoSpaceDN w:val="0"/>
        <w:adjustRightInd w:val="0"/>
        <w:spacing w:line="480" w:lineRule="auto"/>
        <w:ind w:left="750"/>
        <w:jc w:val="both"/>
      </w:pPr>
      <w:r w:rsidRPr="007576A7">
        <w:t>Selama pertanyaan yang diajukan di dalam persidangan terdakwa menjawab secara terus terang dan tidak berbelit, maka hal tersebut dapat dijadikan hakim sebagai alasan untuk meringankan sanksi pidana yang akan dijatuhkan. Karena jawaban yang terus terang tersebut akan mempermudah hakim dalam memeriksa dan mengadili perkara yang dihadapkannya.</w:t>
      </w:r>
    </w:p>
    <w:p w:rsidR="006D6C9A" w:rsidRPr="007576A7" w:rsidRDefault="006D6C9A" w:rsidP="00443AD4">
      <w:pPr>
        <w:numPr>
          <w:ilvl w:val="1"/>
          <w:numId w:val="22"/>
        </w:numPr>
        <w:tabs>
          <w:tab w:val="clear" w:pos="1440"/>
        </w:tabs>
        <w:autoSpaceDE w:val="0"/>
        <w:autoSpaceDN w:val="0"/>
        <w:adjustRightInd w:val="0"/>
        <w:spacing w:line="480" w:lineRule="auto"/>
        <w:ind w:left="709"/>
        <w:jc w:val="both"/>
      </w:pPr>
      <w:r w:rsidRPr="007576A7">
        <w:t xml:space="preserve">Adanya penyesalan untuk tidak mengulanginya. </w:t>
      </w:r>
    </w:p>
    <w:p w:rsidR="006D6C9A" w:rsidRPr="007576A7" w:rsidRDefault="006D6C9A" w:rsidP="006D6C9A">
      <w:pPr>
        <w:autoSpaceDE w:val="0"/>
        <w:autoSpaceDN w:val="0"/>
        <w:adjustRightInd w:val="0"/>
        <w:spacing w:line="480" w:lineRule="auto"/>
        <w:ind w:left="750"/>
        <w:jc w:val="both"/>
      </w:pPr>
      <w:r w:rsidRPr="007576A7">
        <w:t xml:space="preserve">Setelah terdakwa mengakui perbuatannya dan menyesali perbuatannya yang sudah dilakukannya, serta terdakwa telah berjanji tidak akan </w:t>
      </w:r>
      <w:r w:rsidRPr="007576A7">
        <w:lastRenderedPageBreak/>
        <w:t>mengulangi kesalahannya lagi, maka hal ini dapat dijadikan suatu pertimbangan bagi hakim untuk meringankan sanksi pidana yang akan dijatuhkan kepada terdakwa.</w:t>
      </w:r>
    </w:p>
    <w:p w:rsidR="006D6C9A" w:rsidRPr="007576A7" w:rsidRDefault="006D6C9A" w:rsidP="00443AD4">
      <w:pPr>
        <w:numPr>
          <w:ilvl w:val="0"/>
          <w:numId w:val="22"/>
        </w:numPr>
        <w:tabs>
          <w:tab w:val="clear" w:pos="720"/>
          <w:tab w:val="num" w:pos="360"/>
        </w:tabs>
        <w:autoSpaceDE w:val="0"/>
        <w:autoSpaceDN w:val="0"/>
        <w:adjustRightInd w:val="0"/>
        <w:spacing w:line="480" w:lineRule="auto"/>
        <w:ind w:left="360"/>
        <w:jc w:val="both"/>
      </w:pPr>
      <w:r w:rsidRPr="007576A7">
        <w:t>Alasan yang memberatkan :</w:t>
      </w:r>
    </w:p>
    <w:p w:rsidR="006D6C9A" w:rsidRPr="007576A7" w:rsidRDefault="006D6C9A" w:rsidP="00443AD4">
      <w:pPr>
        <w:numPr>
          <w:ilvl w:val="7"/>
          <w:numId w:val="21"/>
        </w:numPr>
        <w:tabs>
          <w:tab w:val="clear" w:pos="5400"/>
          <w:tab w:val="num" w:pos="720"/>
        </w:tabs>
        <w:autoSpaceDE w:val="0"/>
        <w:autoSpaceDN w:val="0"/>
        <w:adjustRightInd w:val="0"/>
        <w:spacing w:line="480" w:lineRule="auto"/>
        <w:ind w:left="720"/>
        <w:jc w:val="both"/>
      </w:pPr>
      <w:r w:rsidRPr="007576A7">
        <w:t xml:space="preserve">Perbuatan tersebut meresahkan masyarakat. </w:t>
      </w:r>
    </w:p>
    <w:p w:rsidR="006D6C9A" w:rsidRPr="007576A7" w:rsidRDefault="006D6C9A" w:rsidP="006D6C9A">
      <w:pPr>
        <w:autoSpaceDE w:val="0"/>
        <w:autoSpaceDN w:val="0"/>
        <w:adjustRightInd w:val="0"/>
        <w:spacing w:line="480" w:lineRule="auto"/>
        <w:ind w:left="720"/>
        <w:jc w:val="both"/>
      </w:pPr>
      <w:r w:rsidRPr="007576A7">
        <w:t>Semua tindak pidana akan menimbulkan keresahan bagi masyarakat termasuk tindak pidana kekerasan yang mengakibatkan kematian. Terjadinya tindak pidana kekerasan yang mengakibatkan kematian di suatu tempat akan menimbulkan keresahan pada masyarakat, khususnya pada masyarakat disekitar terjadinya tindak pidana tersebut. Keresahan tersebut timbul karena masyarakat khawatir akan menjadi korban tindak pidana kekerasan yang mengakibatkan kematian berikutnya. Keresahan yang dialami masyarakat harus dijadikan pertimbangan bagi hakim dalam mengambil putusan terdakwa. Hal tersebut dijadikan pemberatan untuk mencegah terjadinya pengulangan kejadian yang sama dan memberi rasa aman kepada masyarakat.</w:t>
      </w:r>
    </w:p>
    <w:p w:rsidR="006D6C9A" w:rsidRPr="007576A7" w:rsidRDefault="006D6C9A" w:rsidP="00443AD4">
      <w:pPr>
        <w:numPr>
          <w:ilvl w:val="7"/>
          <w:numId w:val="21"/>
        </w:numPr>
        <w:tabs>
          <w:tab w:val="clear" w:pos="5400"/>
          <w:tab w:val="num" w:pos="720"/>
        </w:tabs>
        <w:autoSpaceDE w:val="0"/>
        <w:autoSpaceDN w:val="0"/>
        <w:adjustRightInd w:val="0"/>
        <w:spacing w:line="480" w:lineRule="auto"/>
        <w:ind w:left="720"/>
        <w:jc w:val="both"/>
      </w:pPr>
      <w:r w:rsidRPr="007576A7">
        <w:t xml:space="preserve">Terdakwa tidak sopan di dalam persidangan. </w:t>
      </w:r>
    </w:p>
    <w:p w:rsidR="006D6C9A" w:rsidRPr="007576A7" w:rsidRDefault="006D6C9A" w:rsidP="006D6C9A">
      <w:pPr>
        <w:autoSpaceDE w:val="0"/>
        <w:autoSpaceDN w:val="0"/>
        <w:adjustRightInd w:val="0"/>
        <w:spacing w:line="480" w:lineRule="auto"/>
        <w:ind w:left="720"/>
        <w:jc w:val="both"/>
      </w:pPr>
      <w:r w:rsidRPr="007576A7">
        <w:t>Sesuai dengan Pasal 176 KUHP, apabila terdakwa berlaku tidak sopan di dalam persidangan maka pemeriksaan pada waktu itu dilanjutkan tanpa hadirnya terdakwa. Hakim juga akan dapat memperberat putusan yang akan dikeluarkan kepada terdakwa.</w:t>
      </w:r>
    </w:p>
    <w:p w:rsidR="006D6C9A" w:rsidRPr="007576A7" w:rsidRDefault="006D6C9A" w:rsidP="00443AD4">
      <w:pPr>
        <w:numPr>
          <w:ilvl w:val="7"/>
          <w:numId w:val="21"/>
        </w:numPr>
        <w:tabs>
          <w:tab w:val="clear" w:pos="5400"/>
          <w:tab w:val="num" w:pos="720"/>
        </w:tabs>
        <w:autoSpaceDE w:val="0"/>
        <w:autoSpaceDN w:val="0"/>
        <w:adjustRightInd w:val="0"/>
        <w:spacing w:line="480" w:lineRule="auto"/>
        <w:ind w:left="720"/>
        <w:jc w:val="both"/>
      </w:pPr>
      <w:r w:rsidRPr="007576A7">
        <w:t xml:space="preserve">Terdakwa tidak mengakui perbuatan pidana (mungkir). </w:t>
      </w:r>
    </w:p>
    <w:p w:rsidR="006D6C9A" w:rsidRPr="007576A7" w:rsidRDefault="006D6C9A" w:rsidP="006D6C9A">
      <w:pPr>
        <w:autoSpaceDE w:val="0"/>
        <w:autoSpaceDN w:val="0"/>
        <w:adjustRightInd w:val="0"/>
        <w:spacing w:line="480" w:lineRule="auto"/>
        <w:ind w:left="750"/>
        <w:jc w:val="both"/>
      </w:pPr>
      <w:r w:rsidRPr="007576A7">
        <w:lastRenderedPageBreak/>
        <w:t>Sesuai dengan ketentuan Undang-Undang No. 48 Tahun 2009 tentang Kekuasaan Kehakiman pada Pasal 17 ayat (2) saat persidangan berlangsung, terdakwa yang telah terbukti bersalah tidak mengakui perbuatannya.</w:t>
      </w:r>
    </w:p>
    <w:p w:rsidR="006D6C9A" w:rsidRPr="007576A7" w:rsidRDefault="006D6C9A" w:rsidP="006D6C9A">
      <w:pPr>
        <w:pStyle w:val="BodyTextIndent"/>
        <w:ind w:firstLine="709"/>
        <w:rPr>
          <w:rFonts w:eastAsia="Calibri"/>
          <w:szCs w:val="24"/>
        </w:rPr>
      </w:pPr>
      <w:r w:rsidRPr="007576A7">
        <w:rPr>
          <w:szCs w:val="24"/>
          <w:lang w:val="id-ID"/>
        </w:rPr>
        <w:t xml:space="preserve">Majelis hakim </w:t>
      </w:r>
      <w:r w:rsidRPr="007576A7">
        <w:rPr>
          <w:szCs w:val="24"/>
        </w:rPr>
        <w:t>dalam memberikan putusan selain berdasarkan fakta hukum juga telah mempertimbangkan hal-hal yang meringankan maupun yang memberatkan  yaitu:</w:t>
      </w:r>
    </w:p>
    <w:p w:rsidR="006D6C9A" w:rsidRPr="007576A7" w:rsidRDefault="006D6C9A" w:rsidP="00443AD4">
      <w:pPr>
        <w:numPr>
          <w:ilvl w:val="1"/>
          <w:numId w:val="23"/>
        </w:numPr>
        <w:tabs>
          <w:tab w:val="clear" w:pos="1440"/>
          <w:tab w:val="num" w:pos="360"/>
        </w:tabs>
        <w:autoSpaceDE w:val="0"/>
        <w:autoSpaceDN w:val="0"/>
        <w:adjustRightInd w:val="0"/>
        <w:spacing w:line="480" w:lineRule="auto"/>
        <w:ind w:left="360"/>
        <w:jc w:val="both"/>
        <w:rPr>
          <w:lang w:val="id-ID" w:eastAsia="id-ID"/>
        </w:rPr>
      </w:pPr>
      <w:r w:rsidRPr="007576A7">
        <w:t xml:space="preserve">Hal yang memberatkan adalah </w:t>
      </w:r>
      <w:r w:rsidRPr="007576A7">
        <w:rPr>
          <w:lang w:val="id-ID"/>
        </w:rPr>
        <w:t>:</w:t>
      </w:r>
    </w:p>
    <w:p w:rsidR="006D6C9A" w:rsidRPr="007576A7" w:rsidRDefault="006D6C9A" w:rsidP="00443AD4">
      <w:pPr>
        <w:numPr>
          <w:ilvl w:val="1"/>
          <w:numId w:val="22"/>
        </w:numPr>
        <w:tabs>
          <w:tab w:val="clear" w:pos="1440"/>
          <w:tab w:val="num" w:pos="720"/>
        </w:tabs>
        <w:autoSpaceDE w:val="0"/>
        <w:autoSpaceDN w:val="0"/>
        <w:adjustRightInd w:val="0"/>
        <w:spacing w:line="480" w:lineRule="auto"/>
        <w:ind w:left="720"/>
        <w:jc w:val="both"/>
        <w:rPr>
          <w:lang w:val="id-ID" w:eastAsia="id-ID"/>
        </w:rPr>
      </w:pPr>
      <w:r w:rsidRPr="007576A7">
        <w:rPr>
          <w:lang w:val="id-ID" w:eastAsia="id-ID"/>
        </w:rPr>
        <w:t>Perbuatan terdakwa bertentangan dengan program Pemerintah dalam pemberantasan narkotika.</w:t>
      </w:r>
    </w:p>
    <w:p w:rsidR="006D6C9A" w:rsidRPr="007576A7" w:rsidRDefault="006D6C9A" w:rsidP="00443AD4">
      <w:pPr>
        <w:numPr>
          <w:ilvl w:val="1"/>
          <w:numId w:val="22"/>
        </w:numPr>
        <w:tabs>
          <w:tab w:val="clear" w:pos="1440"/>
          <w:tab w:val="num" w:pos="720"/>
        </w:tabs>
        <w:autoSpaceDE w:val="0"/>
        <w:autoSpaceDN w:val="0"/>
        <w:adjustRightInd w:val="0"/>
        <w:spacing w:line="480" w:lineRule="auto"/>
        <w:ind w:left="720"/>
        <w:jc w:val="both"/>
        <w:rPr>
          <w:lang w:val="id-ID" w:eastAsia="id-ID"/>
        </w:rPr>
      </w:pPr>
      <w:r w:rsidRPr="007576A7">
        <w:rPr>
          <w:lang w:val="id-ID" w:eastAsia="id-ID"/>
        </w:rPr>
        <w:t>Perbuatan terdakwa meresahkan masyarakat karena peredaran narkotika di Kabupaten Labuhanbatu semakin meningkat</w:t>
      </w:r>
      <w:r w:rsidRPr="007576A7">
        <w:t>.</w:t>
      </w:r>
    </w:p>
    <w:p w:rsidR="006D6C9A" w:rsidRPr="007576A7" w:rsidRDefault="006D6C9A" w:rsidP="00443AD4">
      <w:pPr>
        <w:numPr>
          <w:ilvl w:val="1"/>
          <w:numId w:val="23"/>
        </w:numPr>
        <w:tabs>
          <w:tab w:val="clear" w:pos="1440"/>
          <w:tab w:val="num" w:pos="360"/>
        </w:tabs>
        <w:autoSpaceDE w:val="0"/>
        <w:autoSpaceDN w:val="0"/>
        <w:adjustRightInd w:val="0"/>
        <w:spacing w:line="480" w:lineRule="auto"/>
        <w:ind w:left="360"/>
        <w:jc w:val="both"/>
      </w:pPr>
      <w:r w:rsidRPr="007576A7">
        <w:t>Hal yang meringankan adalah terdakwa belum pernah dihukum.</w:t>
      </w:r>
    </w:p>
    <w:p w:rsidR="006D6C9A" w:rsidRPr="007576A7" w:rsidRDefault="006D6C9A" w:rsidP="00443AD4">
      <w:pPr>
        <w:numPr>
          <w:ilvl w:val="1"/>
          <w:numId w:val="20"/>
        </w:numPr>
        <w:tabs>
          <w:tab w:val="num" w:pos="720"/>
        </w:tabs>
        <w:autoSpaceDE w:val="0"/>
        <w:autoSpaceDN w:val="0"/>
        <w:adjustRightInd w:val="0"/>
        <w:spacing w:line="480" w:lineRule="auto"/>
        <w:ind w:left="720"/>
        <w:jc w:val="both"/>
        <w:rPr>
          <w:lang w:val="id-ID" w:eastAsia="id-ID"/>
        </w:rPr>
      </w:pPr>
      <w:r w:rsidRPr="007576A7">
        <w:t>Terdakwa</w:t>
      </w:r>
      <w:r w:rsidRPr="007576A7">
        <w:rPr>
          <w:lang w:val="id-ID"/>
        </w:rPr>
        <w:t xml:space="preserve"> </w:t>
      </w:r>
      <w:r w:rsidRPr="007576A7">
        <w:rPr>
          <w:lang w:val="id-ID" w:eastAsia="id-ID"/>
        </w:rPr>
        <w:t>mengakui terus terang perbuatannya sehingga memperlancar proses jalannya persidangan.</w:t>
      </w:r>
    </w:p>
    <w:p w:rsidR="006D6C9A" w:rsidRPr="007576A7" w:rsidRDefault="006D6C9A" w:rsidP="00443AD4">
      <w:pPr>
        <w:numPr>
          <w:ilvl w:val="1"/>
          <w:numId w:val="20"/>
        </w:numPr>
        <w:tabs>
          <w:tab w:val="num" w:pos="720"/>
        </w:tabs>
        <w:autoSpaceDE w:val="0"/>
        <w:autoSpaceDN w:val="0"/>
        <w:adjustRightInd w:val="0"/>
        <w:spacing w:line="480" w:lineRule="auto"/>
        <w:ind w:left="720"/>
        <w:jc w:val="both"/>
        <w:rPr>
          <w:lang w:val="id-ID" w:eastAsia="id-ID"/>
        </w:rPr>
      </w:pPr>
      <w:r w:rsidRPr="007576A7">
        <w:rPr>
          <w:lang w:val="id-ID" w:eastAsia="id-ID"/>
        </w:rPr>
        <w:t>Terdakwa belum pernah dihukum.</w:t>
      </w:r>
    </w:p>
    <w:p w:rsidR="006D6C9A" w:rsidRPr="007576A7" w:rsidRDefault="006D6C9A" w:rsidP="00443AD4">
      <w:pPr>
        <w:numPr>
          <w:ilvl w:val="1"/>
          <w:numId w:val="20"/>
        </w:numPr>
        <w:tabs>
          <w:tab w:val="num" w:pos="720"/>
        </w:tabs>
        <w:autoSpaceDE w:val="0"/>
        <w:autoSpaceDN w:val="0"/>
        <w:adjustRightInd w:val="0"/>
        <w:spacing w:line="480" w:lineRule="auto"/>
        <w:ind w:left="720"/>
        <w:jc w:val="both"/>
        <w:rPr>
          <w:lang w:val="id-ID" w:eastAsia="id-ID"/>
        </w:rPr>
      </w:pPr>
      <w:r w:rsidRPr="007576A7">
        <w:rPr>
          <w:lang w:val="id-ID" w:eastAsia="id-ID"/>
        </w:rPr>
        <w:t>Terdakwa merupakan tulang punggung keluarganya.</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eastAsia="id-ID"/>
        </w:rPr>
        <w:t xml:space="preserve">Menurut penulis bahwa pertimbangan hukum hakim dalam menjatuhkan putusan telah sesuai dengan ketentuan yang berlaku dan telah didasarkan pada semua fakta-fakta serta bukti-bukti yang terungkap dalam persidangan </w:t>
      </w:r>
      <w:r w:rsidRPr="007576A7">
        <w:rPr>
          <w:lang w:val="id-ID" w:eastAsia="id-ID"/>
        </w:rPr>
        <w:t xml:space="preserve">dan </w:t>
      </w:r>
      <w:r w:rsidRPr="007576A7">
        <w:rPr>
          <w:lang w:eastAsia="id-ID"/>
        </w:rPr>
        <w:t xml:space="preserve">penulis sependapat dengan putusan hakim yang menjatuhkan pidana lebih ringan </w:t>
      </w:r>
      <w:r w:rsidRPr="007576A7">
        <w:rPr>
          <w:lang w:val="id-ID" w:eastAsia="id-ID"/>
        </w:rPr>
        <w:t xml:space="preserve">yaitu pidana penjara selama 1 (satu) tahun dan 6 (enam) bulan dan pidana denda sebesar Rp.800.000.000,00 (delapan ratus juta rupiah) dengan ketentuan apabila denda </w:t>
      </w:r>
      <w:r w:rsidRPr="007576A7">
        <w:rPr>
          <w:lang w:val="id-ID" w:eastAsia="id-ID"/>
        </w:rPr>
        <w:lastRenderedPageBreak/>
        <w:t xml:space="preserve">tidak dibayar maka diganti dengan pidana penjara selama 2 (dua) bulan. Hukuman  ini lebih ringan </w:t>
      </w:r>
      <w:r w:rsidRPr="007576A7">
        <w:rPr>
          <w:lang w:eastAsia="id-ID"/>
        </w:rPr>
        <w:t>dari tuntutan Jaksa Penuntut Umum</w:t>
      </w:r>
      <w:r w:rsidRPr="007576A7">
        <w:rPr>
          <w:lang w:val="id-ID" w:eastAsia="id-ID"/>
        </w:rPr>
        <w:t xml:space="preserve"> yang menuntut pidana penjara selama 8 (delapan) tahun penjara dikurangi selama terdakwa berada dalam tahanan dan Denda Rp.800.000.000,00 (delapan ratus juta rupiah) subsidair 6 (enam) bulan penjara.</w:t>
      </w:r>
    </w:p>
    <w:p w:rsidR="006D6C9A" w:rsidRPr="007576A7" w:rsidRDefault="006D6C9A" w:rsidP="006D6C9A">
      <w:pPr>
        <w:autoSpaceDE w:val="0"/>
        <w:autoSpaceDN w:val="0"/>
        <w:adjustRightInd w:val="0"/>
        <w:spacing w:line="480" w:lineRule="auto"/>
        <w:ind w:firstLine="720"/>
        <w:jc w:val="both"/>
        <w:rPr>
          <w:lang w:val="id-ID" w:eastAsia="id-ID"/>
        </w:rPr>
      </w:pPr>
      <w:r w:rsidRPr="007576A7">
        <w:rPr>
          <w:lang w:val="id-ID" w:eastAsia="id-ID"/>
        </w:rPr>
        <w:t xml:space="preserve">Alasan penulis setuju dengan putusan majelis hakim disebabkan jumlah narkotika jenis sabu yang ditemukan pada saat penangkapan terdakwa tidak banyak yaitu seberat 0,06 (nol koma nol enam) gram. Jumlah sabu pada perkara </w:t>
      </w:r>
      <w:r w:rsidRPr="007576A7">
        <w:rPr>
          <w:iCs/>
          <w:lang w:val="id-ID" w:eastAsia="id-ID"/>
        </w:rPr>
        <w:t>ini</w:t>
      </w:r>
      <w:r w:rsidRPr="007576A7">
        <w:rPr>
          <w:i/>
          <w:iCs/>
          <w:lang w:val="id-ID" w:eastAsia="id-ID"/>
        </w:rPr>
        <w:t xml:space="preserve"> </w:t>
      </w:r>
      <w:r w:rsidRPr="007576A7">
        <w:rPr>
          <w:lang w:val="id-ID" w:eastAsia="id-ID"/>
        </w:rPr>
        <w:t xml:space="preserve">masih sejalan dengan ketentuan SEMA Nomor 4 Tahun 2010 </w:t>
      </w:r>
      <w:r w:rsidRPr="007576A7">
        <w:rPr>
          <w:i/>
          <w:iCs/>
          <w:lang w:val="id-ID" w:eastAsia="id-ID"/>
        </w:rPr>
        <w:t xml:space="preserve">juncto </w:t>
      </w:r>
      <w:r w:rsidRPr="007576A7">
        <w:rPr>
          <w:lang w:val="id-ID" w:eastAsia="id-ID"/>
        </w:rPr>
        <w:t xml:space="preserve">SEMA Nomor 3 Tahun 2011 mengenai kepemilikan narkotika bagi pengguna yang sedang menjalani rehabilitasi medis untuk jenis sabu sebanyak 1 (satu) gram, untuk jenis ganja sebanyak 5 (lima) gram dan untuk jenis ekstasi sebanyak 8 (delapan) butir pil, sedangkan dalam perkara </w:t>
      </w:r>
      <w:r w:rsidRPr="007576A7">
        <w:rPr>
          <w:i/>
          <w:iCs/>
          <w:lang w:val="id-ID" w:eastAsia="id-ID"/>
        </w:rPr>
        <w:t xml:space="preserve">a quo </w:t>
      </w:r>
      <w:r w:rsidRPr="007576A7">
        <w:rPr>
          <w:lang w:val="id-ID" w:eastAsia="id-ID"/>
        </w:rPr>
        <w:t>sabu dengan berat 0,06 (nol koma nol enam) gram dan tidak melebihi batas SEMA tersebut sehingga berdasarkan SEMA Nomor 3 Tahun 2015 maka pidananya perlu diringankan.</w:t>
      </w:r>
    </w:p>
    <w:p w:rsidR="006D6C9A" w:rsidRPr="007576A7" w:rsidRDefault="006D6C9A" w:rsidP="006D6C9A">
      <w:pPr>
        <w:autoSpaceDE w:val="0"/>
        <w:autoSpaceDN w:val="0"/>
        <w:adjustRightInd w:val="0"/>
        <w:spacing w:line="480" w:lineRule="auto"/>
        <w:ind w:firstLine="720"/>
        <w:jc w:val="both"/>
      </w:pPr>
      <w:r w:rsidRPr="007576A7">
        <w:t xml:space="preserve">Menurut penulis </w:t>
      </w:r>
      <w:r w:rsidRPr="007576A7">
        <w:rPr>
          <w:lang w:val="id-ID"/>
        </w:rPr>
        <w:t>UU</w:t>
      </w:r>
      <w:r w:rsidRPr="007576A7">
        <w:t xml:space="preserve"> Narkotika memiliki kekhususan yaitu bersifat pemaaf. Artinya ketika para penyalahguna narkotika ini dimaafkan maka harus melapor ke Institusi Penerima Wajib Lapor (IPWL) untuk dilakukan rehabilitasi serta pengobatan di pusat rehabilitasi yang ada. Para korban penyalahgunaan narkotika itu penting untuk menjalani program rehabilitasi secara sempurna atau berkelanjutan, tidak hanya rehabilitasi medis dan sosial akan tetapi dilanjutkan dengan pendampingan baik dari keluarga maupun institusi yang menaunginya. Dengan program rehabilitasi, maka pecandu dapat berhenti mengkonsumsi </w:t>
      </w:r>
      <w:r w:rsidRPr="007576A7">
        <w:lastRenderedPageBreak/>
        <w:t>narkotika. Selanjutnya dilatih untuk mampu disiplin dan mengendalikan diri sehingga dapat mengatasi dari potensi kekambuhannya.</w:t>
      </w:r>
    </w:p>
    <w:p w:rsidR="006D6C9A" w:rsidRPr="007576A7" w:rsidRDefault="006D6C9A" w:rsidP="006D6C9A">
      <w:pPr>
        <w:autoSpaceDE w:val="0"/>
        <w:autoSpaceDN w:val="0"/>
        <w:adjustRightInd w:val="0"/>
        <w:spacing w:line="480" w:lineRule="auto"/>
        <w:ind w:firstLine="720"/>
        <w:jc w:val="both"/>
      </w:pPr>
      <w:r w:rsidRPr="007576A7">
        <w:t xml:space="preserve">Menurut penulis bahwa dalam setiap perkara narkotika sebenarnya para penegak hukum hingga pemutus perkaranya mesti berangkat dari aturan yang sama yaitu </w:t>
      </w:r>
      <w:r w:rsidRPr="007576A7">
        <w:rPr>
          <w:lang w:val="id-ID"/>
        </w:rPr>
        <w:t>UU</w:t>
      </w:r>
      <w:r w:rsidRPr="007576A7">
        <w:t xml:space="preserve"> Narkotika yang merupakan regulasi khusus yang menyimpang dari sistem pemidanaan yang selama ini berlaku di Indonesia. Dikatakan khusus karena </w:t>
      </w:r>
      <w:r w:rsidRPr="007576A7">
        <w:rPr>
          <w:lang w:val="id-ID"/>
        </w:rPr>
        <w:t>UU</w:t>
      </w:r>
      <w:r w:rsidRPr="007576A7">
        <w:t xml:space="preserve"> Narkotika menganut </w:t>
      </w:r>
      <w:r w:rsidRPr="007576A7">
        <w:rPr>
          <w:i/>
        </w:rPr>
        <w:t xml:space="preserve">double track system </w:t>
      </w:r>
      <w:r w:rsidRPr="007576A7">
        <w:t>pemidanaan bagi penyalahguna untuk diri sendiri dengan kewajiban bagi seluruh lembaga pengadilan di Indonesia untuk menghukum rehabilitasi, adapun pengedarnya dihukum penjara atau mati.</w:t>
      </w:r>
    </w:p>
    <w:p w:rsidR="006D6C9A" w:rsidRPr="007576A7" w:rsidRDefault="006D6C9A" w:rsidP="006D6C9A">
      <w:pPr>
        <w:autoSpaceDE w:val="0"/>
        <w:autoSpaceDN w:val="0"/>
        <w:adjustRightInd w:val="0"/>
        <w:spacing w:line="480" w:lineRule="auto"/>
        <w:ind w:firstLine="720"/>
        <w:jc w:val="both"/>
      </w:pPr>
      <w:r w:rsidRPr="007576A7">
        <w:t>Prakteknya di Indonesia masih saja terdapat putusan hakim terhadap penyalahguna narkotika dijatuhkan pidana penjara tidak disertai rehabilitasi. Ini tentu mengabaikan esensi dari regulasi yang sudah ada. Efek lain dari hal tersebut menyebabkan beban bagi negara yang harus membiayai terpidana narkotika selama menjalani masa pidananya di dalam lembaga pemasyarakatan.</w:t>
      </w:r>
    </w:p>
    <w:p w:rsidR="006D6C9A" w:rsidRPr="007576A7" w:rsidRDefault="006D6C9A" w:rsidP="006D6C9A">
      <w:pPr>
        <w:autoSpaceDE w:val="0"/>
        <w:autoSpaceDN w:val="0"/>
        <w:adjustRightInd w:val="0"/>
        <w:spacing w:line="480" w:lineRule="auto"/>
        <w:ind w:firstLine="720"/>
        <w:jc w:val="both"/>
      </w:pPr>
      <w:r w:rsidRPr="007576A7">
        <w:t>Penulis berkeyakinan bahwa rehabilitasi jauh lebih baik dari pada penjara sebab</w:t>
      </w:r>
      <w:r w:rsidRPr="007576A7">
        <w:rPr>
          <w:lang w:val="id-ID"/>
        </w:rPr>
        <w:t xml:space="preserve"> j</w:t>
      </w:r>
      <w:r w:rsidRPr="007576A7">
        <w:t xml:space="preserve">ika pengguna direhabilitasi maka mereka akan pulih dari ketergantungannya dan tidak mau mengkonsumsi barang haram lagi. Pasalnya konstruksi  hukum di negeri ini menganut </w:t>
      </w:r>
      <w:r w:rsidRPr="007576A7">
        <w:rPr>
          <w:i/>
        </w:rPr>
        <w:t>double track system</w:t>
      </w:r>
      <w:r w:rsidRPr="007576A7">
        <w:t xml:space="preserve"> pemidanaan yang pada intinya, pengguna yang diputus pidana maka pidananya dijalankan untuk rehabilitasi. Rehabilitasinya tidak dilaksanakan di dalam lembaga pemasyarakatan tetapi ditempat khusus untuk rehabilitasi. Rehabilitasi merupakan salah satu cara untuk menyelamatkan korban pengguna narkotika dari ketergantungan. </w:t>
      </w:r>
    </w:p>
    <w:p w:rsidR="006D6C9A" w:rsidRPr="007576A7" w:rsidRDefault="006D6C9A" w:rsidP="006D6C9A">
      <w:pPr>
        <w:autoSpaceDE w:val="0"/>
        <w:autoSpaceDN w:val="0"/>
        <w:adjustRightInd w:val="0"/>
        <w:spacing w:line="480" w:lineRule="auto"/>
        <w:ind w:firstLine="720"/>
        <w:jc w:val="both"/>
      </w:pPr>
      <w:r w:rsidRPr="007576A7">
        <w:lastRenderedPageBreak/>
        <w:t xml:space="preserve">Pasal  54 </w:t>
      </w:r>
      <w:r w:rsidRPr="007576A7">
        <w:rPr>
          <w:lang w:val="id-ID"/>
        </w:rPr>
        <w:t>UU</w:t>
      </w:r>
      <w:r w:rsidRPr="007576A7">
        <w:t xml:space="preserve"> Narkotika disebutkan bahwa pecandu narkotika dan korban penyalahguna   narkotika wajib menjalani rehabilitasi medis dan sosial. Pasal 103 </w:t>
      </w:r>
      <w:r w:rsidRPr="007576A7">
        <w:rPr>
          <w:lang w:val="id-ID"/>
        </w:rPr>
        <w:t>UU</w:t>
      </w:r>
      <w:r w:rsidRPr="007576A7">
        <w:t xml:space="preserve"> Narkotika memberi kewenangan hakim memerintahkan pecandu dan korban penyalahguna narkotika sebagai terdakwa menjalani rehabilitasi melalui putusannya jika mereka terbukti bersalah menyalahgunakan narkotika.</w:t>
      </w:r>
    </w:p>
    <w:p w:rsidR="006D6C9A" w:rsidRPr="007576A7" w:rsidRDefault="006D6C9A" w:rsidP="006D6C9A">
      <w:pPr>
        <w:autoSpaceDE w:val="0"/>
        <w:autoSpaceDN w:val="0"/>
        <w:adjustRightInd w:val="0"/>
        <w:spacing w:line="480" w:lineRule="auto"/>
        <w:ind w:firstLine="720"/>
        <w:jc w:val="both"/>
      </w:pPr>
      <w:r w:rsidRPr="007576A7">
        <w:t>Menurut penulis pidana penjara bagi korban penyalahgunaan narkotika merupakan perampasan kemerdekaan dan mengandung sisi negatif sehingga tujuan pemidanaan tidak dapat diwujudkan secara maksimal sedangkan rehabilitasi dimaksudkan agar penyalahgumaan yang dikategorikan pecandu ini bebas dari ketergantungannya. Bukannya lepas atau pun bebas dari pemidanaan seperti halnya penjara, tapi pecandu dibina. Apabila dalam penjara bukannya terjadi pembinaan tetapi penyalahguna makin parah sehingga putusan hakim tidak membawa manfaat bagi penyalahguna dan kemudian orang tersebut kembali kemasyarakat tidak akan menjadi orang yang lebih baik. Jadi menurut penulis rehabilitasi adalah hukuman yang efektif dalam menekan kasus narkotika di Indonesia.</w:t>
      </w:r>
    </w:p>
    <w:p w:rsidR="006D6C9A" w:rsidRPr="007576A7" w:rsidRDefault="006D6C9A" w:rsidP="006D6C9A">
      <w:pPr>
        <w:autoSpaceDE w:val="0"/>
        <w:autoSpaceDN w:val="0"/>
        <w:adjustRightInd w:val="0"/>
        <w:spacing w:line="480" w:lineRule="auto"/>
        <w:ind w:firstLine="720"/>
        <w:jc w:val="both"/>
        <w:rPr>
          <w:lang w:val="en-ID" w:eastAsia="en-ID"/>
        </w:rPr>
      </w:pPr>
      <w:r w:rsidRPr="007576A7">
        <w:t xml:space="preserve">Hukuman yang dijatuhkan terhadap terdakwa jika dikaitkan dengan keadilan, maka </w:t>
      </w:r>
      <w:r w:rsidRPr="007576A7">
        <w:rPr>
          <w:lang w:val="en-ID" w:eastAsia="en-ID"/>
        </w:rPr>
        <w:t xml:space="preserve">penerapan hukum harus mencerminkan pengakuan bahwa setiap manusia memiliki hak asasi yang sama semata-mata sebagai manusia di depan hukum. Terhadap hal yang sama harus diperlakukan hal yang sama dan terhadap hal yang berbeda harus diperlakukan dengan cara berbeda. Kesamaan ini dibangun di atas prinsip bahwa setiap manusia memiliki kapasitas kejiwaan dan intelektual yang sama. Oleh karena itu pembedaan hanya dapat dibenarkan dalam </w:t>
      </w:r>
      <w:r w:rsidRPr="007576A7">
        <w:rPr>
          <w:lang w:val="en-ID" w:eastAsia="en-ID"/>
        </w:rPr>
        <w:lastRenderedPageBreak/>
        <w:t>kaitannya dengan kapabilitas kejiwaan dan akal yang berbeda. Perlu dipertimbangkan bahwa ada orang yang melakukan kejahatan bukan karena pilihannya, namun karena tekanan tertentu baik berupa ancaman fisik, tekanan sosial, ekonomi dan lain sebagainya. Penyimpangan hukum yang terjadi bukan dibenarkan melainkan penilaian terhadap hukuman yang diberikan harus mempertimbangkan kondisi kejiwaan dan akal para pelaku. Setiap orang harus tahu apa yang boleh dan tidak boleh menurut hukum. Proses pengadilan adalah adil tidak hanya sesuai dengan prosedur hukum tetapi juga mempertimbangkan prinsip-prinsip penghormatan terhadap hak asasi manusia.</w:t>
      </w:r>
    </w:p>
    <w:p w:rsidR="00934309" w:rsidRDefault="006D6C9A" w:rsidP="006D6C9A">
      <w:pPr>
        <w:spacing w:line="480" w:lineRule="auto"/>
        <w:rPr>
          <w:lang w:val="en-ID" w:eastAsia="en-ID"/>
        </w:rPr>
      </w:pPr>
      <w:r w:rsidRPr="007576A7">
        <w:rPr>
          <w:lang w:val="en-ID" w:eastAsia="en-ID"/>
        </w:rPr>
        <w:t>Putusan hakim dalam kasus ini dilihat dari aspek kepastian hukum bahwa hukum atau peraturan itu ditegakkan sebagaimana yang diinginkan oleh bunyi hukum/ peraturannya sedangkan dari kemanfaatan hukum bahw dalam pertimbangannya hakim memandang dari sisi tindak pidana yang dilakukan terdakwa memang benar-benar harus dijatuhi hukuman yang sesuai dengan tujuan pemidanaan itu sendiri agar kelak para terdakwa tidak mengulangi perbuatannya.</w:t>
      </w:r>
    </w:p>
    <w:p w:rsidR="00594C7B" w:rsidRPr="006D6C9A" w:rsidRDefault="00594C7B" w:rsidP="006D6C9A">
      <w:pPr>
        <w:spacing w:line="480" w:lineRule="auto"/>
      </w:pPr>
    </w:p>
    <w:sectPr w:rsidR="00594C7B" w:rsidRPr="006D6C9A" w:rsidSect="00F12F8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4B1" w:rsidRDefault="001F04B1">
      <w:r>
        <w:separator/>
      </w:r>
    </w:p>
  </w:endnote>
  <w:endnote w:type="continuationSeparator" w:id="1">
    <w:p w:rsidR="001F04B1" w:rsidRDefault="001F0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08" w:rsidRDefault="00A030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A03008">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4B1" w:rsidRDefault="001F04B1">
      <w:r>
        <w:separator/>
      </w:r>
    </w:p>
  </w:footnote>
  <w:footnote w:type="continuationSeparator" w:id="1">
    <w:p w:rsidR="001F04B1" w:rsidRDefault="001F04B1">
      <w:r>
        <w:continuationSeparator/>
      </w:r>
    </w:p>
  </w:footnote>
  <w:footnote w:id="2">
    <w:p w:rsidR="006D6C9A" w:rsidRPr="00B05BC8" w:rsidRDefault="006D6C9A" w:rsidP="006D6C9A">
      <w:pPr>
        <w:pStyle w:val="FootnoteText"/>
        <w:ind w:firstLine="709"/>
        <w:jc w:val="both"/>
      </w:pPr>
      <w:r w:rsidRPr="00B05BC8">
        <w:rPr>
          <w:rStyle w:val="FootnoteReference"/>
        </w:rPr>
        <w:footnoteRef/>
      </w:r>
      <w:r w:rsidRPr="00B05BC8">
        <w:t xml:space="preserve"> Siswanto, </w:t>
      </w:r>
      <w:r w:rsidRPr="00B05BC8">
        <w:rPr>
          <w:i/>
          <w:iCs/>
        </w:rPr>
        <w:t>Op.Cit</w:t>
      </w:r>
      <w:r w:rsidRPr="00B05BC8">
        <w:t xml:space="preserve">, hlm. 250  </w:t>
      </w:r>
    </w:p>
  </w:footnote>
  <w:footnote w:id="3">
    <w:p w:rsidR="006D6C9A" w:rsidRPr="00B05BC8" w:rsidRDefault="006D6C9A" w:rsidP="006D6C9A">
      <w:pPr>
        <w:pStyle w:val="FootnoteText"/>
        <w:ind w:firstLine="709"/>
        <w:jc w:val="both"/>
      </w:pPr>
      <w:r w:rsidRPr="00B05BC8">
        <w:rPr>
          <w:rStyle w:val="FootnoteReference"/>
        </w:rPr>
        <w:footnoteRef/>
      </w:r>
      <w:r w:rsidRPr="00B05BC8">
        <w:t xml:space="preserve"> </w:t>
      </w:r>
      <w:r w:rsidRPr="00B05BC8">
        <w:rPr>
          <w:i/>
          <w:iCs/>
        </w:rPr>
        <w:t>Ibid</w:t>
      </w:r>
      <w:r w:rsidRPr="00B05BC8">
        <w:t xml:space="preserve">, hlm.256  </w:t>
      </w:r>
    </w:p>
  </w:footnote>
  <w:footnote w:id="4">
    <w:p w:rsidR="006D6C9A" w:rsidRPr="00B05BC8" w:rsidRDefault="006D6C9A" w:rsidP="006D6C9A">
      <w:pPr>
        <w:pStyle w:val="FootnoteText"/>
        <w:ind w:firstLine="709"/>
        <w:jc w:val="both"/>
      </w:pPr>
      <w:r w:rsidRPr="00B05BC8">
        <w:rPr>
          <w:rStyle w:val="FootnoteReference"/>
        </w:rPr>
        <w:footnoteRef/>
      </w:r>
      <w:r w:rsidRPr="00B05BC8">
        <w:t xml:space="preserve"> Julianan Lisa FR dan Nengah Sutrisna W, </w:t>
      </w:r>
      <w:r w:rsidRPr="00B05BC8">
        <w:rPr>
          <w:i/>
          <w:iCs/>
          <w:lang w:val="id-ID"/>
        </w:rPr>
        <w:t>Op.Cit</w:t>
      </w:r>
      <w:r w:rsidRPr="00B05BC8">
        <w:t xml:space="preserve">, hlm. 54.  </w:t>
      </w:r>
    </w:p>
  </w:footnote>
  <w:footnote w:id="5">
    <w:p w:rsidR="006D6C9A" w:rsidRPr="00B05BC8" w:rsidRDefault="006D6C9A" w:rsidP="006D6C9A">
      <w:pPr>
        <w:pStyle w:val="FootnoteText"/>
        <w:ind w:firstLine="709"/>
        <w:jc w:val="both"/>
      </w:pPr>
      <w:r w:rsidRPr="00B05BC8">
        <w:rPr>
          <w:rStyle w:val="FootnoteReference"/>
        </w:rPr>
        <w:footnoteRef/>
      </w:r>
      <w:r w:rsidRPr="00B05BC8">
        <w:t xml:space="preserve"> Wenny F. Limbong, “Kebijakan Formulasi Tindak Pidana Dalam Upaya Penanggulangan Penyalahgunaan Narkotika di Indonesia”, </w:t>
      </w:r>
      <w:r w:rsidRPr="00B05BC8">
        <w:rPr>
          <w:i/>
          <w:iCs/>
        </w:rPr>
        <w:t xml:space="preserve">Diponegoro Law Journal, </w:t>
      </w:r>
      <w:r w:rsidRPr="00B05BC8">
        <w:rPr>
          <w:iCs/>
        </w:rPr>
        <w:t>Vol. 5 No. 3</w:t>
      </w:r>
      <w:r w:rsidRPr="00B05BC8">
        <w:t xml:space="preserve">, 2016, hlm. 7.  </w:t>
      </w:r>
    </w:p>
  </w:footnote>
  <w:footnote w:id="6">
    <w:p w:rsidR="006D6C9A" w:rsidRPr="00B05BC8" w:rsidRDefault="006D6C9A" w:rsidP="006D6C9A">
      <w:pPr>
        <w:pStyle w:val="FootnoteText"/>
        <w:ind w:firstLine="709"/>
        <w:jc w:val="both"/>
      </w:pPr>
      <w:r w:rsidRPr="00B05BC8">
        <w:rPr>
          <w:rStyle w:val="FootnoteReference"/>
        </w:rPr>
        <w:footnoteRef/>
      </w:r>
      <w:r w:rsidRPr="00B05BC8">
        <w:t xml:space="preserve"> Pasal 116 Undang-Undang No. 35 Tahun 2009 tentang Narkotika  (Lembaran Negara Nomor 143 Tahun 2009, Tambahan Lembaran Negara Nomor 5062 Tahun 2009).</w:t>
      </w:r>
    </w:p>
  </w:footnote>
  <w:footnote w:id="7">
    <w:p w:rsidR="006D6C9A" w:rsidRPr="00B05BC8" w:rsidRDefault="006D6C9A" w:rsidP="006D6C9A">
      <w:pPr>
        <w:pStyle w:val="FootnoteText"/>
        <w:ind w:firstLine="709"/>
        <w:jc w:val="both"/>
      </w:pPr>
      <w:r w:rsidRPr="00B05BC8">
        <w:rPr>
          <w:rStyle w:val="FootnoteReference"/>
        </w:rPr>
        <w:footnoteRef/>
      </w:r>
      <w:r w:rsidRPr="00B05BC8">
        <w:t xml:space="preserve"> Pasal 121 Undang-Undang No. 35 Tahun 2009 tentang Narkotika  (Lembaran Negara Nomor 143 Tahun 2009, Tambahan Lembaran Negara Nomor 5062 Tahun 2009).</w:t>
      </w:r>
    </w:p>
  </w:footnote>
  <w:footnote w:id="8">
    <w:p w:rsidR="006D6C9A" w:rsidRPr="00B05BC8" w:rsidRDefault="006D6C9A" w:rsidP="006D6C9A">
      <w:pPr>
        <w:pStyle w:val="FootnoteText"/>
        <w:ind w:firstLine="709"/>
        <w:jc w:val="both"/>
      </w:pPr>
      <w:r w:rsidRPr="00B05BC8">
        <w:rPr>
          <w:rStyle w:val="FootnoteReference"/>
        </w:rPr>
        <w:footnoteRef/>
      </w:r>
      <w:r w:rsidRPr="00B05BC8">
        <w:t xml:space="preserve"> Pasal 126 Undang-Undang No. 35 Tahun 2009 tentang Narkotika (Lembaran Negara Nomor 143 Tahun 2009, Tambahan Lembaran Negara Nomor 5062 Tahun 2009). </w:t>
      </w:r>
    </w:p>
  </w:footnote>
  <w:footnote w:id="9">
    <w:p w:rsidR="006D6C9A" w:rsidRPr="00B05BC8" w:rsidRDefault="006D6C9A" w:rsidP="006D6C9A">
      <w:pPr>
        <w:pStyle w:val="FootnoteText"/>
        <w:ind w:firstLine="709"/>
        <w:jc w:val="both"/>
        <w:rPr>
          <w:color w:val="000000"/>
        </w:rPr>
      </w:pPr>
      <w:r w:rsidRPr="00B05BC8">
        <w:rPr>
          <w:rStyle w:val="FootnoteReference"/>
          <w:color w:val="000000"/>
        </w:rPr>
        <w:footnoteRef/>
      </w:r>
      <w:r w:rsidRPr="00B05BC8">
        <w:rPr>
          <w:color w:val="000000"/>
        </w:rPr>
        <w:t>Ruslan Renggong,</w:t>
      </w:r>
      <w:r w:rsidRPr="00B05BC8">
        <w:rPr>
          <w:i/>
          <w:color w:val="000000"/>
        </w:rPr>
        <w:t xml:space="preserve"> Hukum Pidana Khusus Memahami Delik-Delik Di Luar KUHP</w:t>
      </w:r>
      <w:r w:rsidRPr="00B05BC8">
        <w:rPr>
          <w:color w:val="000000"/>
        </w:rPr>
        <w:t>, Prenadamedia Gorup, Jakarta, 2016, hlm.8.</w:t>
      </w:r>
    </w:p>
  </w:footnote>
  <w:footnote w:id="10">
    <w:p w:rsidR="006D6C9A" w:rsidRPr="00B05BC8" w:rsidRDefault="006D6C9A" w:rsidP="006D6C9A">
      <w:pPr>
        <w:pStyle w:val="FootnoteText"/>
        <w:ind w:firstLine="709"/>
        <w:jc w:val="both"/>
        <w:rPr>
          <w:color w:val="000000"/>
        </w:rPr>
      </w:pPr>
      <w:r w:rsidRPr="00B05BC8">
        <w:rPr>
          <w:rStyle w:val="FootnoteReference"/>
          <w:color w:val="000000"/>
        </w:rPr>
        <w:footnoteRef/>
      </w:r>
      <w:r w:rsidRPr="00B05BC8">
        <w:rPr>
          <w:color w:val="000000"/>
        </w:rPr>
        <w:t xml:space="preserve"> Nursariani Simatupang dan Faisal, </w:t>
      </w:r>
      <w:r w:rsidRPr="00B05BC8">
        <w:rPr>
          <w:i/>
          <w:color w:val="000000"/>
        </w:rPr>
        <w:t>Kriminologi Suatu Pengantar,</w:t>
      </w:r>
      <w:r w:rsidRPr="00B05BC8">
        <w:rPr>
          <w:color w:val="000000"/>
        </w:rPr>
        <w:t>Pustaka Prima</w:t>
      </w:r>
      <w:r w:rsidRPr="00B05BC8">
        <w:rPr>
          <w:i/>
          <w:color w:val="000000"/>
        </w:rPr>
        <w:t xml:space="preserve">, </w:t>
      </w:r>
      <w:r w:rsidRPr="00B05BC8">
        <w:rPr>
          <w:color w:val="000000"/>
        </w:rPr>
        <w:t>Medan, 2017, hlm.248.</w:t>
      </w:r>
    </w:p>
  </w:footnote>
  <w:footnote w:id="11">
    <w:p w:rsidR="006D6C9A" w:rsidRPr="00B05BC8" w:rsidRDefault="006D6C9A" w:rsidP="006D6C9A">
      <w:pPr>
        <w:pStyle w:val="FootnoteText"/>
        <w:ind w:firstLine="709"/>
        <w:jc w:val="both"/>
      </w:pPr>
      <w:r w:rsidRPr="00B05BC8">
        <w:rPr>
          <w:rStyle w:val="FootnoteReference"/>
        </w:rPr>
        <w:footnoteRef/>
      </w:r>
      <w:r w:rsidRPr="00B05BC8">
        <w:t xml:space="preserve"> </w:t>
      </w:r>
      <w:r w:rsidRPr="00B05BC8">
        <w:rPr>
          <w:color w:val="000000"/>
        </w:rPr>
        <w:t xml:space="preserve">Ruslan Renggong, </w:t>
      </w:r>
      <w:r w:rsidRPr="00B05BC8">
        <w:rPr>
          <w:i/>
          <w:color w:val="000000"/>
        </w:rPr>
        <w:t>Op.Cit</w:t>
      </w:r>
      <w:r w:rsidRPr="00B05BC8">
        <w:rPr>
          <w:color w:val="000000"/>
        </w:rPr>
        <w:t>, hlm.7.</w:t>
      </w:r>
    </w:p>
  </w:footnote>
  <w:footnote w:id="12">
    <w:p w:rsidR="006D6C9A" w:rsidRPr="00B05BC8" w:rsidRDefault="006D6C9A" w:rsidP="006D6C9A">
      <w:pPr>
        <w:pStyle w:val="FootnoteText"/>
        <w:ind w:firstLine="709"/>
        <w:jc w:val="both"/>
        <w:rPr>
          <w:color w:val="000000"/>
        </w:rPr>
      </w:pPr>
      <w:r w:rsidRPr="00B05BC8">
        <w:rPr>
          <w:rStyle w:val="FootnoteReference"/>
          <w:color w:val="000000"/>
        </w:rPr>
        <w:footnoteRef/>
      </w:r>
      <w:r w:rsidRPr="00B05BC8">
        <w:rPr>
          <w:i/>
          <w:color w:val="000000"/>
        </w:rPr>
        <w:t xml:space="preserve">Ibid, </w:t>
      </w:r>
      <w:r w:rsidRPr="00B05BC8">
        <w:rPr>
          <w:color w:val="000000"/>
        </w:rPr>
        <w:t>hlm. 8.</w:t>
      </w:r>
    </w:p>
  </w:footnote>
  <w:footnote w:id="13">
    <w:p w:rsidR="006D6C9A" w:rsidRPr="00B05BC8" w:rsidRDefault="006D6C9A" w:rsidP="006D6C9A">
      <w:pPr>
        <w:autoSpaceDE w:val="0"/>
        <w:autoSpaceDN w:val="0"/>
        <w:adjustRightInd w:val="0"/>
        <w:ind w:firstLine="709"/>
        <w:jc w:val="both"/>
        <w:rPr>
          <w:color w:val="000000"/>
          <w:sz w:val="20"/>
          <w:szCs w:val="20"/>
        </w:rPr>
      </w:pPr>
      <w:r w:rsidRPr="00B05BC8">
        <w:rPr>
          <w:rStyle w:val="FootnoteReference"/>
          <w:color w:val="000000"/>
          <w:sz w:val="20"/>
          <w:szCs w:val="20"/>
        </w:rPr>
        <w:footnoteRef/>
      </w:r>
      <w:r w:rsidRPr="00B05BC8">
        <w:rPr>
          <w:color w:val="000000"/>
          <w:sz w:val="20"/>
          <w:szCs w:val="20"/>
        </w:rPr>
        <w:t>Nursariani Simatupang Faisal</w:t>
      </w:r>
      <w:r w:rsidRPr="00B05BC8">
        <w:rPr>
          <w:i/>
          <w:color w:val="000000"/>
          <w:sz w:val="20"/>
          <w:szCs w:val="20"/>
        </w:rPr>
        <w:t>, Op.Cit,</w:t>
      </w:r>
      <w:r w:rsidRPr="00B05BC8">
        <w:rPr>
          <w:color w:val="000000"/>
          <w:sz w:val="20"/>
          <w:szCs w:val="20"/>
        </w:rPr>
        <w:t xml:space="preserve"> hlm. 248.</w:t>
      </w:r>
    </w:p>
  </w:footnote>
  <w:footnote w:id="14">
    <w:p w:rsidR="006D6C9A" w:rsidRPr="00B05BC8" w:rsidRDefault="006D6C9A" w:rsidP="006D6C9A">
      <w:pPr>
        <w:pStyle w:val="FootnoteText"/>
        <w:ind w:firstLine="709"/>
        <w:jc w:val="both"/>
        <w:rPr>
          <w:color w:val="000000"/>
        </w:rPr>
      </w:pPr>
      <w:r w:rsidRPr="00B05BC8">
        <w:rPr>
          <w:rStyle w:val="FootnoteReference"/>
          <w:color w:val="000000"/>
        </w:rPr>
        <w:footnoteRef/>
      </w:r>
      <w:r w:rsidRPr="00B05BC8">
        <w:rPr>
          <w:color w:val="000000"/>
        </w:rPr>
        <w:t xml:space="preserve"> </w:t>
      </w:r>
      <w:r w:rsidRPr="00B05BC8">
        <w:rPr>
          <w:i/>
          <w:color w:val="000000"/>
        </w:rPr>
        <w:t xml:space="preserve">Ibid., </w:t>
      </w:r>
      <w:r w:rsidRPr="00B05BC8">
        <w:rPr>
          <w:color w:val="000000"/>
        </w:rPr>
        <w:t>hlm. 118.</w:t>
      </w:r>
    </w:p>
  </w:footnote>
  <w:footnote w:id="15">
    <w:p w:rsidR="006D6C9A" w:rsidRPr="00B05BC8" w:rsidRDefault="006D6C9A" w:rsidP="006D6C9A">
      <w:pPr>
        <w:pStyle w:val="FootnoteText"/>
        <w:ind w:firstLine="709"/>
        <w:jc w:val="both"/>
        <w:rPr>
          <w:i/>
          <w:color w:val="000000"/>
        </w:rPr>
      </w:pPr>
      <w:r w:rsidRPr="00B05BC8">
        <w:rPr>
          <w:rStyle w:val="FootnoteReference"/>
          <w:color w:val="000000"/>
        </w:rPr>
        <w:footnoteRef/>
      </w:r>
      <w:r w:rsidRPr="00B05BC8">
        <w:rPr>
          <w:color w:val="000000"/>
        </w:rPr>
        <w:t xml:space="preserve"> </w:t>
      </w:r>
      <w:r w:rsidRPr="00B05BC8">
        <w:rPr>
          <w:i/>
          <w:color w:val="000000"/>
        </w:rPr>
        <w:t xml:space="preserve">Ibid., </w:t>
      </w:r>
      <w:r w:rsidRPr="00B05BC8">
        <w:rPr>
          <w:color w:val="000000"/>
        </w:rPr>
        <w:t>hlm. 119.</w:t>
      </w:r>
    </w:p>
  </w:footnote>
  <w:footnote w:id="16">
    <w:p w:rsidR="006D6C9A" w:rsidRPr="00B05BC8" w:rsidRDefault="006D6C9A" w:rsidP="006D6C9A">
      <w:pPr>
        <w:autoSpaceDE w:val="0"/>
        <w:autoSpaceDN w:val="0"/>
        <w:adjustRightInd w:val="0"/>
        <w:ind w:firstLine="709"/>
        <w:jc w:val="both"/>
        <w:rPr>
          <w:sz w:val="20"/>
          <w:szCs w:val="20"/>
        </w:rPr>
      </w:pPr>
      <w:r w:rsidRPr="00B05BC8">
        <w:rPr>
          <w:rStyle w:val="FootnoteReference"/>
          <w:sz w:val="20"/>
          <w:szCs w:val="20"/>
        </w:rPr>
        <w:footnoteRef/>
      </w:r>
      <w:r w:rsidRPr="00B05BC8">
        <w:rPr>
          <w:sz w:val="20"/>
          <w:szCs w:val="20"/>
        </w:rPr>
        <w:t xml:space="preserve">Barda Nawawi Arief, </w:t>
      </w:r>
      <w:r w:rsidRPr="00B05BC8">
        <w:rPr>
          <w:i/>
          <w:sz w:val="20"/>
          <w:szCs w:val="20"/>
        </w:rPr>
        <w:t>Op.Cit</w:t>
      </w:r>
      <w:r w:rsidRPr="00B05BC8">
        <w:rPr>
          <w:sz w:val="20"/>
          <w:szCs w:val="20"/>
        </w:rPr>
        <w:t>, hlm.54.</w:t>
      </w:r>
    </w:p>
  </w:footnote>
  <w:footnote w:id="17">
    <w:p w:rsidR="006D6C9A" w:rsidRPr="00B05BC8" w:rsidRDefault="006D6C9A" w:rsidP="006D6C9A">
      <w:pPr>
        <w:autoSpaceDE w:val="0"/>
        <w:autoSpaceDN w:val="0"/>
        <w:adjustRightInd w:val="0"/>
        <w:ind w:firstLine="709"/>
        <w:jc w:val="both"/>
        <w:rPr>
          <w:sz w:val="20"/>
          <w:szCs w:val="20"/>
        </w:rPr>
      </w:pPr>
      <w:r w:rsidRPr="00B05BC8">
        <w:rPr>
          <w:rStyle w:val="FootnoteReference"/>
          <w:sz w:val="20"/>
          <w:szCs w:val="20"/>
        </w:rPr>
        <w:footnoteRef/>
      </w:r>
      <w:r w:rsidRPr="00B05BC8">
        <w:rPr>
          <w:sz w:val="20"/>
          <w:szCs w:val="20"/>
        </w:rPr>
        <w:t xml:space="preserve"> Lilik Mulyadi,  </w:t>
      </w:r>
      <w:r w:rsidRPr="00B05BC8">
        <w:rPr>
          <w:i/>
          <w:iCs/>
          <w:sz w:val="20"/>
          <w:szCs w:val="20"/>
        </w:rPr>
        <w:t>Bunga Rampai Hukum Pidana: Perspektif, Teoritis, dan Praktik</w:t>
      </w:r>
      <w:r w:rsidRPr="00B05BC8">
        <w:rPr>
          <w:sz w:val="20"/>
          <w:szCs w:val="20"/>
        </w:rPr>
        <w:t>, Alumni, Bandung, 2018, hlm.52.</w:t>
      </w:r>
    </w:p>
  </w:footnote>
  <w:footnote w:id="18">
    <w:p w:rsidR="006D6C9A" w:rsidRPr="00B05BC8" w:rsidRDefault="006D6C9A" w:rsidP="006D6C9A">
      <w:pPr>
        <w:pStyle w:val="FootnoteText"/>
        <w:ind w:firstLine="709"/>
        <w:jc w:val="both"/>
      </w:pPr>
      <w:r w:rsidRPr="00B05BC8">
        <w:rPr>
          <w:rStyle w:val="FootnoteReference"/>
        </w:rPr>
        <w:footnoteRef/>
      </w:r>
      <w:r w:rsidRPr="00B05BC8">
        <w:t xml:space="preserve"> Theo Huijbers OSC, </w:t>
      </w:r>
      <w:r w:rsidRPr="00B05BC8">
        <w:rPr>
          <w:i/>
          <w:iCs/>
        </w:rPr>
        <w:t>Filsafat Hukum Dalam Lintas Sejarah</w:t>
      </w:r>
      <w:r w:rsidRPr="00B05BC8">
        <w:t xml:space="preserve">, Yayasan Knisius, Bandung, 2012, hlm.118.  </w:t>
      </w:r>
    </w:p>
  </w:footnote>
  <w:footnote w:id="19">
    <w:p w:rsidR="006D6C9A" w:rsidRPr="00B05BC8" w:rsidRDefault="006D6C9A" w:rsidP="006D6C9A">
      <w:pPr>
        <w:pStyle w:val="FootnoteText"/>
        <w:ind w:firstLine="709"/>
        <w:jc w:val="both"/>
      </w:pPr>
      <w:r w:rsidRPr="00B05BC8">
        <w:rPr>
          <w:rStyle w:val="FootnoteReference"/>
        </w:rPr>
        <w:footnoteRef/>
      </w:r>
      <w:r w:rsidRPr="00B05BC8">
        <w:t xml:space="preserve"> Sudarto, </w:t>
      </w:r>
      <w:r w:rsidRPr="00B05BC8">
        <w:rPr>
          <w:i/>
          <w:iCs/>
        </w:rPr>
        <w:t>Hukum dan Hukum Pidana</w:t>
      </w:r>
      <w:r w:rsidRPr="00B05BC8">
        <w:t xml:space="preserve">,  Alumni, Bandung, 2007,hlm.38.  </w:t>
      </w:r>
    </w:p>
  </w:footnote>
  <w:footnote w:id="20">
    <w:p w:rsidR="006D6C9A" w:rsidRPr="00B05BC8" w:rsidRDefault="006D6C9A" w:rsidP="006D6C9A">
      <w:pPr>
        <w:pStyle w:val="FootnoteText"/>
        <w:ind w:firstLine="709"/>
        <w:jc w:val="both"/>
      </w:pPr>
      <w:r w:rsidRPr="00B05BC8">
        <w:rPr>
          <w:rStyle w:val="FootnoteReference"/>
        </w:rPr>
        <w:footnoteRef/>
      </w:r>
      <w:r w:rsidRPr="00B05BC8">
        <w:t xml:space="preserve"> </w:t>
      </w:r>
      <w:r w:rsidRPr="00B05BC8">
        <w:rPr>
          <w:i/>
        </w:rPr>
        <w:t>Ibid</w:t>
      </w:r>
      <w:r w:rsidRPr="00B05BC8">
        <w:t>, hlm.39.</w:t>
      </w:r>
    </w:p>
  </w:footnote>
  <w:footnote w:id="21">
    <w:p w:rsidR="006D6C9A" w:rsidRPr="00B05BC8" w:rsidRDefault="006D6C9A" w:rsidP="006D6C9A">
      <w:pPr>
        <w:pStyle w:val="Default"/>
        <w:ind w:firstLine="709"/>
        <w:jc w:val="both"/>
        <w:rPr>
          <w:rFonts w:ascii="Times New Roman" w:hAnsi="Times New Roman" w:cs="Times New Roman"/>
          <w:i/>
          <w:sz w:val="20"/>
          <w:szCs w:val="20"/>
          <w:lang w:val="en-US"/>
        </w:rPr>
      </w:pPr>
      <w:r w:rsidRPr="00B05BC8">
        <w:rPr>
          <w:rStyle w:val="FootnoteReference"/>
          <w:rFonts w:ascii="Times New Roman" w:hAnsi="Times New Roman" w:cs="Times New Roman"/>
          <w:sz w:val="20"/>
          <w:szCs w:val="20"/>
        </w:rPr>
        <w:footnoteRef/>
      </w:r>
      <w:r w:rsidRPr="00B05BC8">
        <w:rPr>
          <w:rFonts w:ascii="Times New Roman" w:hAnsi="Times New Roman" w:cs="Times New Roman"/>
          <w:sz w:val="20"/>
          <w:szCs w:val="20"/>
        </w:rPr>
        <w:t xml:space="preserve"> Henny C. Kamea</w:t>
      </w:r>
      <w:r w:rsidRPr="00B05BC8">
        <w:rPr>
          <w:rFonts w:ascii="Times New Roman" w:hAnsi="Times New Roman" w:cs="Times New Roman"/>
          <w:sz w:val="20"/>
          <w:szCs w:val="20"/>
          <w:lang w:val="en-US"/>
        </w:rPr>
        <w:t xml:space="preserve">, </w:t>
      </w:r>
      <w:r w:rsidRPr="00B05BC8">
        <w:rPr>
          <w:rFonts w:ascii="Times New Roman" w:hAnsi="Times New Roman" w:cs="Times New Roman"/>
          <w:sz w:val="20"/>
          <w:szCs w:val="20"/>
        </w:rPr>
        <w:t xml:space="preserve"> “Pidana Penjara Seumur Hidup Dalam Sistem Hukum Pidana Di Indonesia”, </w:t>
      </w:r>
      <w:r w:rsidRPr="00B05BC8">
        <w:rPr>
          <w:rFonts w:ascii="Times New Roman" w:hAnsi="Times New Roman" w:cs="Times New Roman"/>
          <w:i/>
          <w:sz w:val="20"/>
          <w:szCs w:val="20"/>
        </w:rPr>
        <w:t>Jurnal Lex Crimen,</w:t>
      </w:r>
      <w:r w:rsidRPr="00B05BC8">
        <w:rPr>
          <w:rFonts w:ascii="Times New Roman" w:hAnsi="Times New Roman" w:cs="Times New Roman"/>
          <w:sz w:val="20"/>
          <w:szCs w:val="20"/>
        </w:rPr>
        <w:t xml:space="preserve"> Vol. II/No. 2 Apr-Jun 2018</w:t>
      </w:r>
      <w:r w:rsidRPr="00B05BC8">
        <w:rPr>
          <w:rFonts w:ascii="Times New Roman" w:hAnsi="Times New Roman" w:cs="Times New Roman"/>
          <w:sz w:val="20"/>
          <w:szCs w:val="20"/>
          <w:lang w:val="en-US" w:eastAsia="en-US"/>
        </w:rPr>
        <w:t>, hlm.291.</w:t>
      </w:r>
    </w:p>
  </w:footnote>
  <w:footnote w:id="22">
    <w:p w:rsidR="006D6C9A" w:rsidRPr="003A6CD1" w:rsidRDefault="006D6C9A" w:rsidP="006D6C9A">
      <w:pPr>
        <w:pStyle w:val="FootnoteText"/>
        <w:ind w:firstLine="709"/>
        <w:jc w:val="both"/>
      </w:pPr>
      <w:r w:rsidRPr="003A6CD1">
        <w:rPr>
          <w:rStyle w:val="FootnoteReference"/>
        </w:rPr>
        <w:t>107</w:t>
      </w:r>
      <w:r w:rsidRPr="003A6CD1">
        <w:t xml:space="preserve">Rusli Muhammad, </w:t>
      </w:r>
      <w:r w:rsidRPr="003A6CD1">
        <w:rPr>
          <w:i/>
          <w:iCs/>
        </w:rPr>
        <w:t>Potret Lembaga Pengadilan Indonesia</w:t>
      </w:r>
      <w:r w:rsidRPr="003A6CD1">
        <w:t xml:space="preserve">, Raja Grafindo Persada, Jakarta, 2016, hlm.125 </w:t>
      </w:r>
    </w:p>
  </w:footnote>
  <w:footnote w:id="23">
    <w:p w:rsidR="006D6C9A" w:rsidRPr="003A6CD1" w:rsidRDefault="006D6C9A" w:rsidP="006D6C9A">
      <w:pPr>
        <w:pStyle w:val="FootnoteText"/>
        <w:ind w:firstLine="709"/>
        <w:jc w:val="both"/>
      </w:pPr>
      <w:r w:rsidRPr="003A6CD1">
        <w:rPr>
          <w:rStyle w:val="FootnoteReference"/>
        </w:rPr>
        <w:t>108</w:t>
      </w:r>
      <w:r w:rsidRPr="003A6CD1">
        <w:t xml:space="preserve"> </w:t>
      </w:r>
      <w:r w:rsidRPr="003A6CD1">
        <w:rPr>
          <w:i/>
        </w:rPr>
        <w:t>Ibid</w:t>
      </w:r>
      <w:r w:rsidRPr="003A6CD1">
        <w:t>, hlm.126</w:t>
      </w:r>
    </w:p>
  </w:footnote>
  <w:footnote w:id="24">
    <w:p w:rsidR="006D6C9A" w:rsidRPr="003A6CD1" w:rsidRDefault="006D6C9A" w:rsidP="006D6C9A">
      <w:pPr>
        <w:pStyle w:val="FootnoteText"/>
        <w:ind w:firstLine="709"/>
        <w:jc w:val="both"/>
      </w:pPr>
      <w:r w:rsidRPr="003A6CD1">
        <w:rPr>
          <w:rStyle w:val="FootnoteReference"/>
        </w:rPr>
        <w:t>109</w:t>
      </w:r>
      <w:r w:rsidRPr="003A6CD1">
        <w:t xml:space="preserve"> Mohammad Taufik Makarao dan Suhasril, </w:t>
      </w:r>
      <w:r w:rsidRPr="003A6CD1">
        <w:rPr>
          <w:i/>
          <w:iCs/>
        </w:rPr>
        <w:t>Hukum Acara Pidana Dalam Teori Dan Praktek</w:t>
      </w:r>
      <w:r w:rsidRPr="003A6CD1">
        <w:t xml:space="preserve">, Ghalia Indonesia, Jakarta, 2010, hlm. 65.  </w:t>
      </w:r>
    </w:p>
  </w:footnote>
  <w:footnote w:id="25">
    <w:p w:rsidR="006D6C9A" w:rsidRPr="003A6CD1" w:rsidRDefault="006D6C9A" w:rsidP="006D6C9A">
      <w:pPr>
        <w:pStyle w:val="FootnoteText"/>
        <w:ind w:firstLine="709"/>
        <w:jc w:val="both"/>
      </w:pPr>
      <w:r w:rsidRPr="003A6CD1">
        <w:rPr>
          <w:rStyle w:val="FootnoteReference"/>
        </w:rPr>
        <w:t>111</w:t>
      </w:r>
      <w:r w:rsidRPr="003A6CD1">
        <w:t xml:space="preserve"> </w:t>
      </w:r>
      <w:r w:rsidRPr="003A6CD1">
        <w:rPr>
          <w:i/>
        </w:rPr>
        <w:t xml:space="preserve">Ibid, </w:t>
      </w:r>
      <w:r w:rsidRPr="003A6CD1">
        <w:t xml:space="preserve"> hlm.66</w:t>
      </w:r>
    </w:p>
  </w:footnote>
  <w:footnote w:id="26">
    <w:p w:rsidR="006D6C9A" w:rsidRPr="003A6CD1" w:rsidRDefault="006D6C9A" w:rsidP="006D6C9A">
      <w:pPr>
        <w:pStyle w:val="FootnoteText"/>
        <w:ind w:firstLine="709"/>
        <w:jc w:val="both"/>
      </w:pPr>
      <w:r w:rsidRPr="003A6CD1">
        <w:rPr>
          <w:rStyle w:val="FootnoteReference"/>
        </w:rPr>
        <w:t>113</w:t>
      </w:r>
      <w:r w:rsidRPr="003A6CD1">
        <w:t xml:space="preserve">Nikolas Simanjuntak, </w:t>
      </w:r>
      <w:r w:rsidRPr="003A6CD1">
        <w:rPr>
          <w:i/>
          <w:iCs/>
        </w:rPr>
        <w:t>Acara Pidana Indonesia dalam Sirkus Hukum</w:t>
      </w:r>
      <w:r w:rsidRPr="003A6CD1">
        <w:t>, Ghalia, Jakarta, 2009, hlm. 142.</w:t>
      </w:r>
    </w:p>
  </w:footnote>
  <w:footnote w:id="27">
    <w:p w:rsidR="006D6C9A" w:rsidRPr="003A6CD1" w:rsidRDefault="006D6C9A" w:rsidP="006D6C9A">
      <w:pPr>
        <w:pStyle w:val="FootnoteText"/>
        <w:ind w:firstLine="709"/>
        <w:jc w:val="both"/>
      </w:pPr>
      <w:r w:rsidRPr="003A6CD1">
        <w:rPr>
          <w:rStyle w:val="FootnoteReference"/>
        </w:rPr>
        <w:t>114</w:t>
      </w:r>
      <w:r w:rsidRPr="003A6CD1">
        <w:t xml:space="preserve">Tambah Sembiring, </w:t>
      </w:r>
      <w:r w:rsidRPr="003A6CD1">
        <w:rPr>
          <w:i/>
          <w:iCs/>
        </w:rPr>
        <w:t>Proses Pemeriksaan Perkara Pidana Di Pengadilan Negeri</w:t>
      </w:r>
      <w:r w:rsidRPr="003A6CD1">
        <w:t>, USU Press, Medan, 2013, hlm. 59</w:t>
      </w:r>
    </w:p>
  </w:footnote>
  <w:footnote w:id="28">
    <w:p w:rsidR="006D6C9A" w:rsidRPr="003A6CD1" w:rsidRDefault="006D6C9A" w:rsidP="006D6C9A">
      <w:pPr>
        <w:pStyle w:val="FootnoteText"/>
        <w:ind w:firstLine="709"/>
        <w:jc w:val="both"/>
      </w:pPr>
      <w:r w:rsidRPr="003A6CD1">
        <w:rPr>
          <w:rStyle w:val="FootnoteReference"/>
        </w:rPr>
        <w:t>115</w:t>
      </w:r>
      <w:r w:rsidRPr="003A6CD1">
        <w:t xml:space="preserve"> </w:t>
      </w:r>
      <w:r w:rsidRPr="003A6CD1">
        <w:rPr>
          <w:i/>
        </w:rPr>
        <w:t>Ibid</w:t>
      </w:r>
      <w:r w:rsidRPr="003A6CD1">
        <w:t>, hlm.60</w:t>
      </w:r>
    </w:p>
  </w:footnote>
  <w:footnote w:id="29">
    <w:p w:rsidR="006D6C9A" w:rsidRPr="003A6CD1" w:rsidRDefault="006D6C9A" w:rsidP="006D6C9A">
      <w:pPr>
        <w:pStyle w:val="FootnoteText"/>
        <w:ind w:firstLine="709"/>
        <w:jc w:val="both"/>
      </w:pPr>
      <w:r w:rsidRPr="003A6CD1">
        <w:rPr>
          <w:rStyle w:val="FootnoteReference"/>
        </w:rPr>
        <w:t>116</w:t>
      </w:r>
      <w:r w:rsidRPr="003A6CD1">
        <w:t xml:space="preserve">Lilik Mulyadi, </w:t>
      </w:r>
      <w:r w:rsidRPr="003A6CD1">
        <w:rPr>
          <w:i/>
          <w:iCs/>
        </w:rPr>
        <w:t>Hukum Acara Pidana Normatif, Teoretis, Praktik, Dan Permasalahannya</w:t>
      </w:r>
      <w:r w:rsidRPr="003A6CD1">
        <w:t xml:space="preserve">, Alumni, Bandung, 2017, hlm.169  </w:t>
      </w:r>
    </w:p>
  </w:footnote>
  <w:footnote w:id="30">
    <w:p w:rsidR="006D6C9A" w:rsidRPr="003A6CD1" w:rsidRDefault="006D6C9A" w:rsidP="006D6C9A">
      <w:pPr>
        <w:pStyle w:val="FootnoteText"/>
        <w:ind w:firstLine="709"/>
        <w:jc w:val="both"/>
      </w:pPr>
      <w:r w:rsidRPr="003A6CD1">
        <w:rPr>
          <w:rStyle w:val="FootnoteReference"/>
        </w:rPr>
        <w:t>117</w:t>
      </w:r>
      <w:r w:rsidRPr="003A6CD1">
        <w:t xml:space="preserve"> Kuffal, </w:t>
      </w:r>
      <w:r w:rsidRPr="003A6CD1">
        <w:rPr>
          <w:i/>
          <w:iCs/>
        </w:rPr>
        <w:t>Penerapan KUHAP Dalam Praktik Hukum</w:t>
      </w:r>
      <w:r w:rsidRPr="003A6CD1">
        <w:t xml:space="preserve">, UMM Press, Malang, 2018, hlm.25  </w:t>
      </w:r>
    </w:p>
  </w:footnote>
  <w:footnote w:id="31">
    <w:p w:rsidR="006D6C9A" w:rsidRPr="003A6CD1" w:rsidRDefault="006D6C9A" w:rsidP="006D6C9A">
      <w:pPr>
        <w:pStyle w:val="FootnoteText"/>
        <w:ind w:firstLine="709"/>
        <w:jc w:val="both"/>
      </w:pPr>
      <w:r w:rsidRPr="003A6CD1">
        <w:rPr>
          <w:rStyle w:val="FootnoteReference"/>
        </w:rPr>
        <w:t>118</w:t>
      </w:r>
      <w:r w:rsidRPr="003A6CD1">
        <w:t xml:space="preserve"> Andi Hamzah, </w:t>
      </w:r>
      <w:r w:rsidRPr="003A6CD1">
        <w:rPr>
          <w:i/>
          <w:iCs/>
        </w:rPr>
        <w:t>Terminologi Hukum Pidana</w:t>
      </w:r>
      <w:r w:rsidRPr="003A6CD1">
        <w:t>, Sinar Grafika, Jakarta, 2014, hlm.20.</w:t>
      </w:r>
    </w:p>
  </w:footnote>
  <w:footnote w:id="32">
    <w:p w:rsidR="006D6C9A" w:rsidRPr="003A6CD1" w:rsidRDefault="006D6C9A" w:rsidP="006D6C9A">
      <w:pPr>
        <w:pStyle w:val="FootnoteText"/>
        <w:ind w:firstLine="709"/>
        <w:jc w:val="both"/>
      </w:pPr>
      <w:r w:rsidRPr="003A6CD1">
        <w:rPr>
          <w:rStyle w:val="FootnoteReference"/>
        </w:rPr>
        <w:t>119</w:t>
      </w:r>
      <w:r w:rsidRPr="003A6CD1">
        <w:t xml:space="preserve"> Ansori Sabuan, </w:t>
      </w:r>
      <w:r w:rsidRPr="003A6CD1">
        <w:rPr>
          <w:i/>
          <w:iCs/>
        </w:rPr>
        <w:t>Hukum Acara Pidana</w:t>
      </w:r>
      <w:r w:rsidRPr="003A6CD1">
        <w:t>,  Angkasa, Bandung, 2014, hlm.182</w:t>
      </w:r>
    </w:p>
  </w:footnote>
  <w:footnote w:id="33">
    <w:p w:rsidR="006D6C9A" w:rsidRPr="003A6CD1" w:rsidRDefault="006D6C9A" w:rsidP="006D6C9A">
      <w:pPr>
        <w:pStyle w:val="FootnoteText"/>
        <w:ind w:firstLine="709"/>
        <w:jc w:val="both"/>
      </w:pPr>
      <w:r w:rsidRPr="003A6CD1">
        <w:rPr>
          <w:rStyle w:val="FootnoteReference"/>
        </w:rPr>
        <w:t>121</w:t>
      </w:r>
      <w:r w:rsidRPr="003A6CD1">
        <w:t xml:space="preserve"> Ansori Sabuan, </w:t>
      </w:r>
      <w:r w:rsidRPr="003A6CD1">
        <w:rPr>
          <w:i/>
        </w:rPr>
        <w:t>Op.Cit</w:t>
      </w:r>
      <w:r w:rsidRPr="003A6CD1">
        <w:t>, hlm.155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A03008">
      <w:rPr>
        <w:rStyle w:val="PageNumber"/>
        <w:noProof/>
      </w:rPr>
      <w:t>126</w:t>
    </w:r>
    <w:r w:rsidR="00641F0E">
      <w:rPr>
        <w:rStyle w:val="PageNumber"/>
      </w:rPr>
      <w:fldChar w:fldCharType="end"/>
    </w:r>
  </w:p>
  <w:p w:rsidR="00A03008" w:rsidRPr="0018612D" w:rsidRDefault="00A03008" w:rsidP="00A03008">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11:00:21</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08" w:rsidRPr="0018612D" w:rsidRDefault="00A03008" w:rsidP="00A03008">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11:00:21</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2">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9382C"/>
    <w:multiLevelType w:val="singleLevel"/>
    <w:tmpl w:val="744E5658"/>
    <w:lvl w:ilvl="0">
      <w:start w:val="1"/>
      <w:numFmt w:val="decimal"/>
      <w:lvlText w:val="%1."/>
      <w:lvlJc w:val="left"/>
      <w:pPr>
        <w:tabs>
          <w:tab w:val="num" w:pos="720"/>
        </w:tabs>
        <w:ind w:left="720" w:hanging="360"/>
      </w:pPr>
    </w:lvl>
  </w:abstractNum>
  <w:abstractNum w:abstractNumId="11">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373291"/>
    <w:multiLevelType w:val="singleLevel"/>
    <w:tmpl w:val="14C88894"/>
    <w:lvl w:ilvl="0">
      <w:start w:val="1"/>
      <w:numFmt w:val="upperLetter"/>
      <w:lvlText w:val="%1."/>
      <w:lvlJc w:val="left"/>
      <w:pPr>
        <w:tabs>
          <w:tab w:val="num" w:pos="360"/>
        </w:tabs>
        <w:ind w:left="360" w:hanging="360"/>
      </w:pPr>
    </w:lvl>
  </w:abstractNum>
  <w:abstractNum w:abstractNumId="21">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410EA"/>
    <w:multiLevelType w:val="singleLevel"/>
    <w:tmpl w:val="0409000F"/>
    <w:lvl w:ilvl="0">
      <w:start w:val="1"/>
      <w:numFmt w:val="decimal"/>
      <w:lvlText w:val="%1."/>
      <w:lvlJc w:val="left"/>
      <w:pPr>
        <w:tabs>
          <w:tab w:val="num" w:pos="360"/>
        </w:tabs>
        <w:ind w:left="360" w:hanging="360"/>
      </w:pPr>
    </w:lvl>
  </w:abstractNum>
  <w:abstractNum w:abstractNumId="23">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6">
    <w:nsid w:val="799051F7"/>
    <w:multiLevelType w:val="singleLevel"/>
    <w:tmpl w:val="6264EBEA"/>
    <w:lvl w:ilvl="0">
      <w:start w:val="1"/>
      <w:numFmt w:val="upperRoman"/>
      <w:lvlText w:val="%1."/>
      <w:lvlJc w:val="left"/>
      <w:pPr>
        <w:tabs>
          <w:tab w:val="num" w:pos="720"/>
        </w:tabs>
        <w:ind w:left="720" w:hanging="720"/>
      </w:pPr>
    </w:lvl>
  </w:abstractNum>
  <w:num w:numId="1">
    <w:abstractNumId w:val="20"/>
    <w:lvlOverride w:ilvl="0">
      <w:startOverride w:val="1"/>
    </w:lvlOverride>
  </w:num>
  <w:num w:numId="2">
    <w:abstractNumId w:val="26"/>
    <w:lvlOverride w:ilvl="0">
      <w:startOverride w:val="1"/>
    </w:lvlOverride>
  </w:num>
  <w:num w:numId="3">
    <w:abstractNumId w:val="1"/>
  </w:num>
  <w:num w:numId="4">
    <w:abstractNumId w:val="22"/>
    <w:lvlOverride w:ilvl="0">
      <w:startOverride w:val="1"/>
    </w:lvlOverride>
  </w:num>
  <w:num w:numId="5">
    <w:abstractNumId w:val="10"/>
    <w:lvlOverride w:ilvl="0">
      <w:startOverride w:val="1"/>
    </w:lvlOverride>
  </w:num>
  <w:num w:numId="6">
    <w:abstractNumId w:val="2"/>
  </w:num>
  <w:num w:numId="7">
    <w:abstractNumId w:val="21"/>
  </w:num>
  <w:num w:numId="8">
    <w:abstractNumId w:val="16"/>
  </w:num>
  <w:num w:numId="9">
    <w:abstractNumId w:val="4"/>
  </w:num>
  <w:num w:numId="10">
    <w:abstractNumId w:val="17"/>
  </w:num>
  <w:num w:numId="11">
    <w:abstractNumId w:val="1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9"/>
  </w:num>
  <w:num w:numId="16">
    <w:abstractNumId w:val="15"/>
  </w:num>
  <w:num w:numId="17">
    <w:abstractNumId w:val="0"/>
  </w:num>
  <w:num w:numId="18">
    <w:abstractNumId w:val="11"/>
  </w:num>
  <w:num w:numId="19">
    <w:abstractNumId w:val="14"/>
  </w:num>
  <w:num w:numId="20">
    <w:abstractNumId w:val="7"/>
  </w:num>
  <w:num w:numId="21">
    <w:abstractNumId w:val="6"/>
  </w:num>
  <w:num w:numId="22">
    <w:abstractNumId w:val="19"/>
  </w:num>
  <w:num w:numId="23">
    <w:abstractNumId w:val="5"/>
  </w:num>
  <w:num w:numId="24">
    <w:abstractNumId w:val="8"/>
  </w:num>
  <w:num w:numId="25">
    <w:abstractNumId w:val="3"/>
  </w:num>
  <w:num w:numId="26">
    <w:abstractNumId w:val="23"/>
  </w:num>
  <w:num w:numId="27">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bQP4O2aadLvGBwTUyQxte84IPRk=" w:salt="mGmGiEEychZbo8lwGBlNt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4B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43AD4"/>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40096"/>
    <w:rsid w:val="005403EC"/>
    <w:rsid w:val="00560DCA"/>
    <w:rsid w:val="00566D6B"/>
    <w:rsid w:val="00582731"/>
    <w:rsid w:val="00583175"/>
    <w:rsid w:val="00583A8D"/>
    <w:rsid w:val="00594C7B"/>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03008"/>
    <w:rsid w:val="00A16600"/>
    <w:rsid w:val="00A248F0"/>
    <w:rsid w:val="00A24F55"/>
    <w:rsid w:val="00A2589D"/>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37C86"/>
    <w:rsid w:val="00D5011F"/>
    <w:rsid w:val="00D6706C"/>
    <w:rsid w:val="00D67796"/>
    <w:rsid w:val="00D80400"/>
    <w:rsid w:val="00D840AA"/>
    <w:rsid w:val="00D86DE0"/>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0366-5F8F-47C1-B870-16F3F283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9314</Words>
  <Characters>53093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62283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2025-11-21T04:04:00Z</dcterms:created>
  <dcterms:modified xsi:type="dcterms:W3CDTF">2025-11-21T04:04:00Z</dcterms:modified>
</cp:coreProperties>
</file>