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49" w:rsidRPr="0052783D" w:rsidRDefault="00412149" w:rsidP="00412149">
      <w:pPr>
        <w:autoSpaceDE w:val="0"/>
        <w:autoSpaceDN w:val="0"/>
        <w:adjustRightInd w:val="0"/>
        <w:spacing w:line="480" w:lineRule="auto"/>
        <w:jc w:val="center"/>
        <w:rPr>
          <w:b/>
        </w:rPr>
      </w:pPr>
      <w:r w:rsidRPr="0052783D">
        <w:rPr>
          <w:b/>
        </w:rPr>
        <w:t>BAB IV</w:t>
      </w:r>
    </w:p>
    <w:p w:rsidR="00412149" w:rsidRPr="0052783D" w:rsidRDefault="00412149" w:rsidP="00412149">
      <w:pPr>
        <w:autoSpaceDE w:val="0"/>
        <w:autoSpaceDN w:val="0"/>
        <w:adjustRightInd w:val="0"/>
        <w:spacing w:line="480" w:lineRule="auto"/>
        <w:jc w:val="center"/>
        <w:rPr>
          <w:b/>
        </w:rPr>
      </w:pPr>
      <w:r w:rsidRPr="0052783D">
        <w:rPr>
          <w:b/>
        </w:rPr>
        <w:t>HASIL PENELITIAN DAN PEMBAHASAN</w:t>
      </w:r>
    </w:p>
    <w:p w:rsidR="00412149" w:rsidRPr="0052783D" w:rsidRDefault="00412149" w:rsidP="00412149">
      <w:pPr>
        <w:pStyle w:val="Default"/>
        <w:numPr>
          <w:ilvl w:val="0"/>
          <w:numId w:val="27"/>
        </w:numPr>
        <w:ind w:left="360"/>
        <w:jc w:val="both"/>
        <w:rPr>
          <w:b/>
        </w:rPr>
      </w:pPr>
      <w:bookmarkStart w:id="0" w:name="_Hlk139386056"/>
      <w:r w:rsidRPr="0052783D">
        <w:rPr>
          <w:b/>
        </w:rPr>
        <w:t xml:space="preserve">Faktor-Faktor Terjadinya Tindak Pidana Penggelapan dalam </w:t>
      </w:r>
      <w:r w:rsidRPr="0052783D">
        <w:rPr>
          <w:b/>
          <w:lang w:val="en-US"/>
        </w:rPr>
        <w:t>J</w:t>
      </w:r>
      <w:r w:rsidRPr="0052783D">
        <w:rPr>
          <w:b/>
        </w:rPr>
        <w:t>abatan</w:t>
      </w:r>
      <w:bookmarkEnd w:id="0"/>
    </w:p>
    <w:p w:rsidR="00412149" w:rsidRPr="0052783D" w:rsidRDefault="00412149" w:rsidP="00412149">
      <w:pPr>
        <w:pStyle w:val="Default"/>
        <w:ind w:left="360"/>
        <w:jc w:val="both"/>
        <w:rPr>
          <w:b/>
        </w:rPr>
      </w:pPr>
    </w:p>
    <w:p w:rsidR="00412149" w:rsidRPr="0052783D" w:rsidRDefault="00412149" w:rsidP="00412149">
      <w:pPr>
        <w:autoSpaceDE w:val="0"/>
        <w:autoSpaceDN w:val="0"/>
        <w:adjustRightInd w:val="0"/>
        <w:spacing w:line="492" w:lineRule="auto"/>
        <w:ind w:firstLine="720"/>
        <w:jc w:val="both"/>
        <w:rPr>
          <w:color w:val="000000"/>
        </w:rPr>
      </w:pPr>
      <w:r w:rsidRPr="0052783D">
        <w:rPr>
          <w:color w:val="000000"/>
        </w:rPr>
        <w:t xml:space="preserve"> Faktor penyebab terjadinya tindak pidana merupakan unsur penting yang perlu diketahui sebelum kemudian menentukan langkah-langkah pencegahan dan penanganan tindak pidana yang dimaksud. Semakin jelas dan terangnya faktor penyebab dan pendukung terjadinya tindak pidana akan membantu menemukan motivasi sebenarnya mengapa seseorang melakukan suatu tindak pidana terlepas apakah motivasi itu berasal dari diri sendiri ataupun dari luar diri (lingkungan).</w:t>
      </w:r>
    </w:p>
    <w:p w:rsidR="00412149" w:rsidRPr="0052783D" w:rsidRDefault="00412149" w:rsidP="00412149">
      <w:pPr>
        <w:spacing w:line="480" w:lineRule="auto"/>
        <w:ind w:firstLine="709"/>
        <w:jc w:val="both"/>
        <w:rPr>
          <w:color w:val="000000"/>
        </w:rPr>
      </w:pPr>
      <w:r w:rsidRPr="0052783D">
        <w:rPr>
          <w:color w:val="000000"/>
        </w:rPr>
        <w:t>Barda Nawawi Arief menyebutkan penyebab terjadinya kejahatan adalah :</w:t>
      </w:r>
    </w:p>
    <w:p w:rsidR="00412149" w:rsidRPr="0052783D" w:rsidRDefault="00412149" w:rsidP="00412149">
      <w:pPr>
        <w:numPr>
          <w:ilvl w:val="2"/>
          <w:numId w:val="28"/>
        </w:numPr>
        <w:tabs>
          <w:tab w:val="clear" w:pos="2355"/>
        </w:tabs>
        <w:spacing w:line="216" w:lineRule="auto"/>
        <w:ind w:left="1080"/>
        <w:jc w:val="both"/>
        <w:rPr>
          <w:rFonts w:eastAsia="MS Mincho"/>
          <w:bCs/>
          <w:color w:val="000000"/>
        </w:rPr>
      </w:pPr>
      <w:r w:rsidRPr="0052783D">
        <w:rPr>
          <w:rFonts w:eastAsia="MS Mincho"/>
          <w:bCs/>
          <w:color w:val="000000"/>
        </w:rPr>
        <w:t>Kemiskinan, pengangguran, buta huruf (kebodohan), ketiadaan atau kekurangan perumahan yang layak dan sistem pendidikan serta latihan yang tidak cocok/serasi.</w:t>
      </w:r>
    </w:p>
    <w:p w:rsidR="00412149" w:rsidRPr="0052783D" w:rsidRDefault="00412149" w:rsidP="00412149">
      <w:pPr>
        <w:numPr>
          <w:ilvl w:val="2"/>
          <w:numId w:val="28"/>
        </w:numPr>
        <w:tabs>
          <w:tab w:val="clear" w:pos="2355"/>
        </w:tabs>
        <w:spacing w:line="216" w:lineRule="auto"/>
        <w:ind w:left="1077" w:hanging="357"/>
        <w:jc w:val="both"/>
        <w:rPr>
          <w:rFonts w:eastAsia="MS Mincho"/>
          <w:bCs/>
          <w:color w:val="000000"/>
        </w:rPr>
      </w:pPr>
      <w:r w:rsidRPr="0052783D">
        <w:rPr>
          <w:rFonts w:eastAsia="MS Mincho"/>
          <w:bCs/>
          <w:color w:val="000000"/>
        </w:rPr>
        <w:t>Meningkatnya jumlah penduduk yang tidak mempunyai prospek (harapan) karena proses integrasi sosial, juga karena memburuknya ketimpangan-ketimpangan sosial.</w:t>
      </w:r>
    </w:p>
    <w:p w:rsidR="00412149" w:rsidRPr="0052783D" w:rsidRDefault="00412149" w:rsidP="00412149">
      <w:pPr>
        <w:numPr>
          <w:ilvl w:val="2"/>
          <w:numId w:val="28"/>
        </w:numPr>
        <w:tabs>
          <w:tab w:val="clear" w:pos="2355"/>
        </w:tabs>
        <w:spacing w:line="216" w:lineRule="auto"/>
        <w:ind w:left="1077" w:hanging="357"/>
        <w:jc w:val="both"/>
        <w:rPr>
          <w:rFonts w:eastAsia="MS Mincho"/>
          <w:bCs/>
          <w:color w:val="000000"/>
        </w:rPr>
      </w:pPr>
      <w:r w:rsidRPr="0052783D">
        <w:rPr>
          <w:rFonts w:eastAsia="MS Mincho"/>
          <w:bCs/>
          <w:color w:val="000000"/>
        </w:rPr>
        <w:t>Mengendurnya ikatan sosial dan keluarga.</w:t>
      </w:r>
    </w:p>
    <w:p w:rsidR="00412149" w:rsidRPr="0052783D" w:rsidRDefault="00412149" w:rsidP="00412149">
      <w:pPr>
        <w:numPr>
          <w:ilvl w:val="2"/>
          <w:numId w:val="28"/>
        </w:numPr>
        <w:tabs>
          <w:tab w:val="clear" w:pos="2355"/>
        </w:tabs>
        <w:spacing w:line="216" w:lineRule="auto"/>
        <w:ind w:left="1077" w:hanging="357"/>
        <w:jc w:val="both"/>
        <w:rPr>
          <w:rFonts w:eastAsia="MS Mincho"/>
          <w:bCs/>
          <w:color w:val="000000"/>
        </w:rPr>
      </w:pPr>
      <w:r w:rsidRPr="0052783D">
        <w:rPr>
          <w:rFonts w:eastAsia="MS Mincho"/>
          <w:bCs/>
          <w:color w:val="000000"/>
        </w:rPr>
        <w:t>Keadaan-keadaan/kondisi yang menyulitkan bagi orang-orang yang beremigrasi ke kota-kota atau ke negara-negara lain.</w:t>
      </w:r>
    </w:p>
    <w:p w:rsidR="00412149" w:rsidRPr="0052783D" w:rsidRDefault="00412149" w:rsidP="00412149">
      <w:pPr>
        <w:numPr>
          <w:ilvl w:val="2"/>
          <w:numId w:val="28"/>
        </w:numPr>
        <w:tabs>
          <w:tab w:val="clear" w:pos="2355"/>
        </w:tabs>
        <w:spacing w:line="216" w:lineRule="auto"/>
        <w:ind w:left="1077" w:hanging="357"/>
        <w:jc w:val="both"/>
        <w:rPr>
          <w:rFonts w:eastAsia="MS Mincho"/>
          <w:bCs/>
          <w:color w:val="000000"/>
        </w:rPr>
      </w:pPr>
      <w:r w:rsidRPr="0052783D">
        <w:rPr>
          <w:rFonts w:eastAsia="MS Mincho"/>
          <w:bCs/>
          <w:color w:val="000000"/>
        </w:rPr>
        <w:t>Rusaknya atau hancurnya identitas budaya asli yang bersamaan dengan adanya rasisme dan diskriminasi menyebabkan kerugian/kelemahan di bidang sosial, kesejahteraan dan lingkungan pekerjaan.</w:t>
      </w:r>
    </w:p>
    <w:p w:rsidR="00412149" w:rsidRPr="0052783D" w:rsidRDefault="00412149" w:rsidP="00412149">
      <w:pPr>
        <w:numPr>
          <w:ilvl w:val="2"/>
          <w:numId w:val="28"/>
        </w:numPr>
        <w:tabs>
          <w:tab w:val="clear" w:pos="2355"/>
        </w:tabs>
        <w:spacing w:line="216" w:lineRule="auto"/>
        <w:ind w:left="1077" w:hanging="357"/>
        <w:jc w:val="both"/>
        <w:rPr>
          <w:rFonts w:eastAsia="MS Mincho"/>
          <w:bCs/>
          <w:color w:val="000000"/>
        </w:rPr>
      </w:pPr>
      <w:r w:rsidRPr="0052783D">
        <w:rPr>
          <w:rFonts w:eastAsia="MS Mincho"/>
          <w:bCs/>
          <w:color w:val="000000"/>
        </w:rPr>
        <w:t>Menurun atau mundurnya (kualitas) lingkungan perkotaan yang mendorong peningkatan kejahatan dan berkurangnya (tidak cukupnya) pelayanan bagi tempat-tempat fasilitas lingkungan/bertetangga.</w:t>
      </w:r>
    </w:p>
    <w:p w:rsidR="00412149" w:rsidRPr="0052783D" w:rsidRDefault="00412149" w:rsidP="00412149">
      <w:pPr>
        <w:numPr>
          <w:ilvl w:val="2"/>
          <w:numId w:val="28"/>
        </w:numPr>
        <w:tabs>
          <w:tab w:val="clear" w:pos="2355"/>
        </w:tabs>
        <w:spacing w:line="216" w:lineRule="auto"/>
        <w:ind w:left="1077" w:hanging="357"/>
        <w:jc w:val="both"/>
        <w:rPr>
          <w:rFonts w:eastAsia="MS Mincho"/>
          <w:bCs/>
          <w:color w:val="000000"/>
        </w:rPr>
      </w:pPr>
      <w:r w:rsidRPr="0052783D">
        <w:rPr>
          <w:rFonts w:eastAsia="MS Mincho"/>
          <w:bCs/>
          <w:color w:val="000000"/>
        </w:rPr>
        <w:t>Kesuitan-kesulitan bagi orang-orang dalam masyarakat modern untuk berintegrasi sebagaimana mestinya di dalam lingkungan masyarakatnya, di lingkungan keluarga/familinya, tempat pekerjaannya atau di lingkungan sekolahnya.</w:t>
      </w:r>
    </w:p>
    <w:p w:rsidR="00412149" w:rsidRPr="0052783D" w:rsidRDefault="00412149" w:rsidP="00412149">
      <w:pPr>
        <w:numPr>
          <w:ilvl w:val="2"/>
          <w:numId w:val="28"/>
        </w:numPr>
        <w:tabs>
          <w:tab w:val="clear" w:pos="2355"/>
        </w:tabs>
        <w:spacing w:line="216" w:lineRule="auto"/>
        <w:ind w:left="1080"/>
        <w:jc w:val="both"/>
        <w:rPr>
          <w:rFonts w:eastAsia="MS Mincho"/>
          <w:bCs/>
          <w:color w:val="000000"/>
        </w:rPr>
      </w:pPr>
      <w:r w:rsidRPr="0052783D">
        <w:rPr>
          <w:rFonts w:eastAsia="MS Mincho"/>
          <w:bCs/>
          <w:color w:val="000000"/>
        </w:rPr>
        <w:t>Penyalahgunaan alkohol, obat bius dan lain-lain yang pemakaiannya juga diperluas karena faktor-faktor yang disebut di atas.</w:t>
      </w:r>
    </w:p>
    <w:p w:rsidR="00412149" w:rsidRPr="0052783D" w:rsidRDefault="00412149" w:rsidP="00412149">
      <w:pPr>
        <w:numPr>
          <w:ilvl w:val="2"/>
          <w:numId w:val="28"/>
        </w:numPr>
        <w:tabs>
          <w:tab w:val="clear" w:pos="2355"/>
        </w:tabs>
        <w:ind w:left="1080"/>
        <w:jc w:val="both"/>
        <w:rPr>
          <w:rFonts w:eastAsia="MS Mincho"/>
          <w:bCs/>
          <w:color w:val="000000"/>
        </w:rPr>
      </w:pPr>
      <w:r w:rsidRPr="0052783D">
        <w:rPr>
          <w:rFonts w:eastAsia="MS Mincho"/>
          <w:bCs/>
          <w:color w:val="000000"/>
        </w:rPr>
        <w:t>Meluasnya aktivitas kejahatan yang terorganisasi, khususnya perdagangan obat bius dan penadahan barang-barang curian.</w:t>
      </w:r>
    </w:p>
    <w:p w:rsidR="00412149" w:rsidRPr="0052783D" w:rsidRDefault="00412149" w:rsidP="00412149">
      <w:pPr>
        <w:numPr>
          <w:ilvl w:val="2"/>
          <w:numId w:val="28"/>
        </w:numPr>
        <w:tabs>
          <w:tab w:val="clear" w:pos="2355"/>
        </w:tabs>
        <w:ind w:left="1080"/>
        <w:jc w:val="both"/>
        <w:rPr>
          <w:rFonts w:eastAsia="MS Mincho"/>
          <w:bCs/>
          <w:color w:val="000000"/>
        </w:rPr>
      </w:pPr>
      <w:r w:rsidRPr="0052783D">
        <w:rPr>
          <w:rFonts w:eastAsia="MS Mincho"/>
          <w:bCs/>
          <w:color w:val="000000"/>
        </w:rPr>
        <w:lastRenderedPageBreak/>
        <w:t>Dorongan-dorongan (khususnya oleh mass media) mengenai ide-ide dan sikap-sikap yang mengarah pada tindakan kekerasan, ketidaksamaan (hak) atau sikap-sikap tidak toleran (intoleransi).</w:t>
      </w:r>
      <w:r w:rsidRPr="0052783D">
        <w:rPr>
          <w:rStyle w:val="FootnoteReference"/>
          <w:rFonts w:eastAsia="MS Mincho"/>
          <w:bCs/>
          <w:color w:val="000000"/>
        </w:rPr>
        <w:footnoteReference w:id="2"/>
      </w:r>
    </w:p>
    <w:p w:rsidR="00412149" w:rsidRPr="0052783D" w:rsidRDefault="00412149" w:rsidP="00412149">
      <w:pPr>
        <w:ind w:left="1080"/>
        <w:jc w:val="both"/>
        <w:rPr>
          <w:rFonts w:eastAsia="MS Mincho"/>
          <w:bCs/>
          <w:color w:val="000000"/>
        </w:rPr>
      </w:pPr>
    </w:p>
    <w:p w:rsidR="00412149" w:rsidRPr="0052783D" w:rsidRDefault="00412149" w:rsidP="00412149">
      <w:pPr>
        <w:autoSpaceDE w:val="0"/>
        <w:autoSpaceDN w:val="0"/>
        <w:adjustRightInd w:val="0"/>
        <w:spacing w:line="432" w:lineRule="auto"/>
        <w:ind w:firstLine="720"/>
        <w:jc w:val="both"/>
        <w:rPr>
          <w:color w:val="000000"/>
        </w:rPr>
      </w:pPr>
      <w:r w:rsidRPr="0052783D">
        <w:rPr>
          <w:color w:val="000000"/>
        </w:rPr>
        <w:t>Secara umum faktor-faktor penyebab terjadinya kejahatan yakni faktor interen dan faktor eksteren.</w:t>
      </w:r>
    </w:p>
    <w:p w:rsidR="00412149" w:rsidRPr="0052783D" w:rsidRDefault="00412149" w:rsidP="00412149">
      <w:pPr>
        <w:pStyle w:val="Default"/>
        <w:numPr>
          <w:ilvl w:val="6"/>
          <w:numId w:val="30"/>
        </w:numPr>
        <w:spacing w:line="432" w:lineRule="auto"/>
        <w:ind w:left="360"/>
      </w:pPr>
      <w:r w:rsidRPr="0052783D">
        <w:t>Faktor intern</w:t>
      </w:r>
    </w:p>
    <w:p w:rsidR="00412149" w:rsidRPr="0052783D" w:rsidRDefault="00412149" w:rsidP="00412149">
      <w:pPr>
        <w:autoSpaceDE w:val="0"/>
        <w:autoSpaceDN w:val="0"/>
        <w:adjustRightInd w:val="0"/>
        <w:spacing w:line="480" w:lineRule="auto"/>
        <w:ind w:firstLine="709"/>
        <w:jc w:val="both"/>
        <w:rPr>
          <w:color w:val="000000"/>
        </w:rPr>
      </w:pPr>
      <w:r w:rsidRPr="0052783D">
        <w:rPr>
          <w:color w:val="000000"/>
        </w:rPr>
        <w:t>Faktor intern adalah faktor yang berasal atau terdapat dalam diri pelaku yang maksudnya bahwa yang mempengaruhi seseorang untuk melakukan sebuah kejahatan itu timbul dari dalam diri  pelaku itu sendiri yang didasari oleh faktor keturunan dan kejiwaan (penyakit jiwa).</w:t>
      </w:r>
      <w:r w:rsidRPr="0052783D">
        <w:rPr>
          <w:rStyle w:val="FootnoteReference"/>
          <w:color w:val="000000"/>
        </w:rPr>
        <w:footnoteReference w:id="3"/>
      </w:r>
      <w:r w:rsidRPr="0052783D">
        <w:rPr>
          <w:color w:val="000000"/>
        </w:rPr>
        <w:t xml:space="preserve"> Faktor intern ini dapat disebabkan antara lain :</w:t>
      </w:r>
    </w:p>
    <w:p w:rsidR="00412149" w:rsidRPr="0052783D" w:rsidRDefault="00412149" w:rsidP="00412149">
      <w:pPr>
        <w:numPr>
          <w:ilvl w:val="7"/>
          <w:numId w:val="30"/>
        </w:numPr>
        <w:autoSpaceDE w:val="0"/>
        <w:autoSpaceDN w:val="0"/>
        <w:adjustRightInd w:val="0"/>
        <w:spacing w:line="480" w:lineRule="auto"/>
        <w:ind w:left="360"/>
        <w:jc w:val="both"/>
        <w:rPr>
          <w:color w:val="000000"/>
        </w:rPr>
      </w:pPr>
      <w:r w:rsidRPr="0052783D">
        <w:rPr>
          <w:color w:val="000000"/>
        </w:rPr>
        <w:t>Faktor kepribadian pelaku</w:t>
      </w:r>
    </w:p>
    <w:p w:rsidR="00412149" w:rsidRPr="0052783D" w:rsidRDefault="00412149" w:rsidP="00412149">
      <w:pPr>
        <w:spacing w:line="480" w:lineRule="auto"/>
        <w:ind w:firstLine="709"/>
        <w:jc w:val="both"/>
        <w:rPr>
          <w:color w:val="000000"/>
        </w:rPr>
      </w:pPr>
      <w:r w:rsidRPr="0052783D">
        <w:rPr>
          <w:color w:val="000000"/>
        </w:rPr>
        <w:t>Setiap orang memiliki kepribadian dan karakteristik tingkah laku yang berbeda satu dengan lainnya. Kepribadian seseorang ini dapat dilihat dari tingkah lagi seseorang itu dalam pergaulannya ditengah masyarakat. Seseorang yang tingkah lakunya baik akan mengakibatkan seseorang tersebut mendapatkan penghargaan dari masyarakat, akan tetapi sebaliknya jika seseorang bertingkah laku tidak baik maka orang itu akan menimbulkan kekacauan dalam masyarakat. Tingkah laku ini juga erat hubungannya dengan kebutuhan. Pemenuhan kebutuhan yang tidak seimbang dengan keinginan seseorang itu akan mengakibatkan orang tersebut mudah melakukan perbuatan jahat karena tidak diimbangi dengan iman yang kuat.</w:t>
      </w:r>
    </w:p>
    <w:p w:rsidR="00412149" w:rsidRPr="0052783D" w:rsidRDefault="00412149" w:rsidP="00412149">
      <w:pPr>
        <w:spacing w:line="480" w:lineRule="auto"/>
        <w:ind w:firstLine="709"/>
        <w:jc w:val="both"/>
        <w:rPr>
          <w:color w:val="000000"/>
        </w:rPr>
      </w:pPr>
      <w:r w:rsidRPr="0052783D">
        <w:rPr>
          <w:color w:val="000000"/>
        </w:rPr>
        <w:lastRenderedPageBreak/>
        <w:t>Di dalam pribadi manusia terdapat bakat dan kegemaran yang berbeda-beda. Bakat telah ada sejak seseorang itu lahir dan menjadi ukuran bagi masyarakat dalam menentukan mampu tidaknya seseorang itu menguasai sesuatu bidang. Jika seorang itu mempunyai bakat atas suatu bidang maka orang itu lebih mudah menguasai suatu bidang itu. Bakat itu baik jika menyangkut hal-hal yang positif. Pembawaan atau bakat serta sukar untuk diarahkan atau dikendalikan secara wajar, akan menimbulkan perilaku buruk pada diri orang tersebut yang cenderung melakukan kejahatan yang meresahkan masyarakat karena karakteristik yang buruk.</w:t>
      </w:r>
    </w:p>
    <w:p w:rsidR="00412149" w:rsidRPr="0052783D" w:rsidRDefault="00412149" w:rsidP="00412149">
      <w:pPr>
        <w:numPr>
          <w:ilvl w:val="1"/>
          <w:numId w:val="30"/>
        </w:numPr>
        <w:spacing w:line="456" w:lineRule="auto"/>
        <w:ind w:left="360"/>
        <w:jc w:val="both"/>
        <w:rPr>
          <w:color w:val="000000"/>
        </w:rPr>
      </w:pPr>
      <w:r w:rsidRPr="0052783D">
        <w:rPr>
          <w:color w:val="000000"/>
        </w:rPr>
        <w:t xml:space="preserve">Faktor ekonomi </w:t>
      </w:r>
    </w:p>
    <w:p w:rsidR="00412149" w:rsidRPr="0052783D" w:rsidRDefault="00412149" w:rsidP="00412149">
      <w:pPr>
        <w:autoSpaceDE w:val="0"/>
        <w:autoSpaceDN w:val="0"/>
        <w:adjustRightInd w:val="0"/>
        <w:spacing w:line="480" w:lineRule="auto"/>
        <w:ind w:firstLine="720"/>
        <w:jc w:val="both"/>
        <w:rPr>
          <w:color w:val="000000"/>
        </w:rPr>
      </w:pPr>
      <w:r w:rsidRPr="0052783D">
        <w:rPr>
          <w:color w:val="000000"/>
        </w:rPr>
        <w:t>Faktor penyebab terjadinya tindak pidana diantaranya karena faktor ekonomi merupakan faktor utama dari penyebab terjadinya tindak pidana tersebut. Tidak hanya tindak pidana perusakan, maka faktor ekonomi jika dilihat dan cermati menjadi faktor yang utama dalam penyebab seseorang melakukan suatu tindak pidana ataupun kejahatan. Dorongan gaya hidup dan himpitan biaya untuk hidup menjadikan seseorang dapat melakukan apa saja demi tercapainya apa yang mereka inginkan.</w:t>
      </w:r>
    </w:p>
    <w:p w:rsidR="00412149" w:rsidRPr="0052783D" w:rsidRDefault="00412149" w:rsidP="00412149">
      <w:pPr>
        <w:autoSpaceDE w:val="0"/>
        <w:autoSpaceDN w:val="0"/>
        <w:adjustRightInd w:val="0"/>
        <w:spacing w:line="516" w:lineRule="auto"/>
        <w:ind w:firstLine="720"/>
        <w:jc w:val="both"/>
        <w:rPr>
          <w:color w:val="000000"/>
        </w:rPr>
      </w:pPr>
      <w:r w:rsidRPr="0052783D">
        <w:rPr>
          <w:color w:val="000000"/>
        </w:rPr>
        <w:t xml:space="preserve">Faktor ekonomi adalah faktor yang memegang peranan penting dalam kehidupan manusia, hal ini dikarenakan manusia memiliki kebutuhan (sandang, pangan, papan) yang harus dipenuhi setiap hari. Pemenuhan kebutuhan inilah yang membutuhkan biaya, jika kebutuhan sehari-hari sangat banyak, maka biaya yang dibutuhkan juga semakin banyak. Alasan tersebut sering dipergunakan para </w:t>
      </w:r>
      <w:r w:rsidRPr="0052783D">
        <w:rPr>
          <w:color w:val="000000"/>
        </w:rPr>
        <w:lastRenderedPageBreak/>
        <w:t>pelaku kejahatan karena alasan tersebut dapat meringankan hukuman yang dijatuhkan padanya.</w:t>
      </w:r>
      <w:r w:rsidRPr="0052783D">
        <w:rPr>
          <w:rStyle w:val="FootnoteReference"/>
          <w:color w:val="000000"/>
        </w:rPr>
        <w:footnoteReference w:id="4"/>
      </w:r>
    </w:p>
    <w:p w:rsidR="00412149" w:rsidRPr="0052783D" w:rsidRDefault="00412149" w:rsidP="00412149">
      <w:pPr>
        <w:autoSpaceDE w:val="0"/>
        <w:autoSpaceDN w:val="0"/>
        <w:adjustRightInd w:val="0"/>
        <w:spacing w:line="516" w:lineRule="auto"/>
        <w:ind w:firstLine="720"/>
        <w:jc w:val="both"/>
        <w:rPr>
          <w:color w:val="000000"/>
        </w:rPr>
      </w:pPr>
      <w:r w:rsidRPr="0052783D">
        <w:rPr>
          <w:color w:val="000000"/>
        </w:rPr>
        <w:t>Akibat sulitnya keadaan ekonomi sehingga mengakibatkan minimnya lapangan pekerjaan yang baik bagi orang-orang yang sudah seharusnya menjadi tenaga kerja, sehingga untuk memenuhi kebutuhannya sangat sulit sekali, hal ini yang mengakibatkan seseorang itu tidak secara jernih dan ditambah lagi kecemburuan sosial yang meliputi keluarga khususnya dalam pribadi pelaku sendiri sehingga mengakibatkan melakukan tindakan-tindakan secara melawan hukum.</w:t>
      </w:r>
    </w:p>
    <w:p w:rsidR="00412149" w:rsidRPr="0052783D" w:rsidRDefault="00412149" w:rsidP="00412149">
      <w:pPr>
        <w:numPr>
          <w:ilvl w:val="1"/>
          <w:numId w:val="30"/>
        </w:numPr>
        <w:autoSpaceDE w:val="0"/>
        <w:autoSpaceDN w:val="0"/>
        <w:adjustRightInd w:val="0"/>
        <w:spacing w:line="516" w:lineRule="auto"/>
        <w:ind w:left="360"/>
        <w:jc w:val="both"/>
        <w:rPr>
          <w:color w:val="000000"/>
        </w:rPr>
      </w:pPr>
      <w:r w:rsidRPr="0052783D">
        <w:rPr>
          <w:color w:val="000000"/>
        </w:rPr>
        <w:t xml:space="preserve">Faktor pendidikan/keluarga </w:t>
      </w:r>
    </w:p>
    <w:p w:rsidR="00412149" w:rsidRPr="0052783D" w:rsidRDefault="00412149" w:rsidP="00412149">
      <w:pPr>
        <w:autoSpaceDE w:val="0"/>
        <w:autoSpaceDN w:val="0"/>
        <w:adjustRightInd w:val="0"/>
        <w:spacing w:line="516" w:lineRule="auto"/>
        <w:ind w:firstLine="720"/>
        <w:jc w:val="both"/>
        <w:rPr>
          <w:color w:val="000000"/>
        </w:rPr>
      </w:pPr>
      <w:r w:rsidRPr="0052783D">
        <w:rPr>
          <w:color w:val="000000"/>
        </w:rPr>
        <w:t>Salah satu faktor penyebab terjadinya kejahatan dalah faktor pendidikan dari pelaku itu sendiri. Peranan pendidikan akan sangat berpengaruh menumbuhkan perilaku yang rasional dan menurunkan atau mengurangi bertindak secara irasional (emosional). Di dalam keluarga, seseorang itu belajar memegang peranan sebagai makhluk sosial yang memiliki norma-nomra dan kecakapan tertentu di dalam pergaulannya dengan masyarakat lingkungannya.</w:t>
      </w:r>
    </w:p>
    <w:p w:rsidR="00412149" w:rsidRPr="0052783D" w:rsidRDefault="00412149" w:rsidP="00412149">
      <w:pPr>
        <w:autoSpaceDE w:val="0"/>
        <w:autoSpaceDN w:val="0"/>
        <w:adjustRightInd w:val="0"/>
        <w:spacing w:line="444" w:lineRule="auto"/>
        <w:ind w:firstLine="720"/>
        <w:jc w:val="both"/>
        <w:rPr>
          <w:color w:val="000000"/>
        </w:rPr>
      </w:pPr>
      <w:r w:rsidRPr="0052783D">
        <w:rPr>
          <w:color w:val="000000"/>
        </w:rPr>
        <w:t xml:space="preserve">Berdasarkan pengalaman-pengalaman yang didapatnya dalam keluarganya itu turut pula menentukan cara-cara bertingkah laku orang tersebut. Apabila hubungan seseorang dengan keluarga berlangsung secara tidak wajar ataupun kurang baik, maka kemungkinan pada umumnya hubungan seseorang dengan masyarakat disekitarnya akan berlangsung secara tidak wajar pula. Kurangnya pendidikan agama dan pendidikan budi pekerti bagi seseorang itu disamping </w:t>
      </w:r>
      <w:r w:rsidRPr="0052783D">
        <w:rPr>
          <w:color w:val="000000"/>
        </w:rPr>
        <w:lastRenderedPageBreak/>
        <w:t>pendidikan sekolah membuat orang tersebut mudah terpengaruh untuk melakukan kejahatan baik melakukan sendiri maupun bersama teman-temannya.</w:t>
      </w:r>
    </w:p>
    <w:p w:rsidR="00412149" w:rsidRPr="0052783D" w:rsidRDefault="00412149" w:rsidP="00412149">
      <w:pPr>
        <w:pStyle w:val="BodyTextIndent"/>
        <w:numPr>
          <w:ilvl w:val="1"/>
          <w:numId w:val="30"/>
        </w:numPr>
        <w:spacing w:after="0" w:line="444" w:lineRule="auto"/>
        <w:ind w:left="360"/>
        <w:jc w:val="both"/>
        <w:rPr>
          <w:color w:val="000000"/>
        </w:rPr>
      </w:pPr>
      <w:r w:rsidRPr="0052783D">
        <w:rPr>
          <w:color w:val="000000"/>
        </w:rPr>
        <w:t>Rendahnya penghayatan agama.</w:t>
      </w:r>
    </w:p>
    <w:p w:rsidR="00412149" w:rsidRPr="0052783D" w:rsidRDefault="00412149" w:rsidP="00412149">
      <w:pPr>
        <w:pStyle w:val="BodyTextIndent"/>
        <w:spacing w:after="0" w:line="444" w:lineRule="auto"/>
        <w:ind w:left="0" w:firstLine="709"/>
        <w:jc w:val="both"/>
        <w:rPr>
          <w:color w:val="000000"/>
        </w:rPr>
      </w:pPr>
      <w:r w:rsidRPr="0052783D">
        <w:rPr>
          <w:color w:val="000000"/>
        </w:rPr>
        <w:t>Agama merupakan norma yang meliputi nilai tertinggi dalam kehidupan umat manuisia dan dianggap sebagai kebutuhan spiritual yang hakiki. Dalam norma agama ini terdapat perintah-perintah dan larangan-larangan yang wajib ditaati oleh penganutnya. Walau pelaksanaan agama tersebut berbeda, namun pada dasarnya memiliki sesuatu persamaan yaitu larangan untuk melakukan  setiap kejahatan.</w:t>
      </w:r>
    </w:p>
    <w:p w:rsidR="00412149" w:rsidRPr="0052783D" w:rsidRDefault="00412149" w:rsidP="00412149">
      <w:pPr>
        <w:pStyle w:val="BodyTextIndent"/>
        <w:spacing w:after="0" w:line="444" w:lineRule="auto"/>
        <w:ind w:left="0" w:firstLine="709"/>
        <w:jc w:val="both"/>
        <w:rPr>
          <w:color w:val="000000"/>
        </w:rPr>
      </w:pPr>
      <w:r w:rsidRPr="0052783D">
        <w:rPr>
          <w:color w:val="000000"/>
        </w:rPr>
        <w:t>Ajaran agama yang dianut seseorang harus diyakini kebenarannya agar dapat dijadikan sebagai pedoman dalam kehidupan secara pribadi yang pada akhirnya menumbuhkan keimanan yang berfungsi sebagai pengendali perilaku seseorang agar dapat terhindar dari perbuatan yang dilarang agama.</w:t>
      </w:r>
      <w:r w:rsidRPr="0052783D">
        <w:rPr>
          <w:rStyle w:val="FootnoteReference"/>
          <w:color w:val="000000"/>
        </w:rPr>
        <w:footnoteReference w:id="5"/>
      </w:r>
    </w:p>
    <w:p w:rsidR="00412149" w:rsidRPr="0052783D" w:rsidRDefault="00412149" w:rsidP="00412149">
      <w:pPr>
        <w:pStyle w:val="BodyTextIndent"/>
        <w:numPr>
          <w:ilvl w:val="1"/>
          <w:numId w:val="30"/>
        </w:numPr>
        <w:tabs>
          <w:tab w:val="left" w:pos="284"/>
        </w:tabs>
        <w:spacing w:after="0" w:line="480" w:lineRule="auto"/>
        <w:ind w:left="360"/>
        <w:jc w:val="both"/>
        <w:rPr>
          <w:color w:val="000000"/>
        </w:rPr>
      </w:pPr>
      <w:r w:rsidRPr="0052783D">
        <w:rPr>
          <w:color w:val="000000"/>
        </w:rPr>
        <w:t>Rendahnya mental dan daya emosional.</w:t>
      </w:r>
    </w:p>
    <w:p w:rsidR="00412149" w:rsidRPr="0052783D" w:rsidRDefault="00412149" w:rsidP="00412149">
      <w:pPr>
        <w:pStyle w:val="BodyTextIndent"/>
        <w:spacing w:after="0" w:line="480" w:lineRule="auto"/>
        <w:ind w:left="0" w:firstLine="709"/>
        <w:jc w:val="both"/>
        <w:rPr>
          <w:color w:val="000000"/>
        </w:rPr>
      </w:pPr>
      <w:r w:rsidRPr="0052783D">
        <w:rPr>
          <w:color w:val="000000"/>
        </w:rPr>
        <w:t>Keadaan mental seseorang adalah sesuatu keadaan batin berupa cara berfikir dan berperasaan. Jika keadaan mental seseorang itu rendah, maka akan dapat mengakibatkan tingkah laku yang menyimpang. Dikaji lebih mendalam lagi maka dapat dikatakan bahwa keadaan mental seseorang itu dibangun oleh daya intelegensia ditambah dengan aturan-aturan moral agar seseorang dapat mengenal serta menilai suatu perbuatan. Pengertian intelegensi adalah merupakan suatu kumpulan kemampuan seseorang yang memungkinkan memperoleh ilmu pengetahuan dan mengamalkan ilmu tersebut dalam hubungan dengan lingkungan dan masalah-masalah yang timbul.</w:t>
      </w:r>
    </w:p>
    <w:p w:rsidR="00412149" w:rsidRPr="0052783D" w:rsidRDefault="00412149" w:rsidP="00412149">
      <w:pPr>
        <w:pStyle w:val="BodyTextIndent"/>
        <w:spacing w:after="0" w:line="444" w:lineRule="auto"/>
        <w:ind w:left="0" w:firstLine="709"/>
        <w:jc w:val="both"/>
        <w:rPr>
          <w:color w:val="000000"/>
        </w:rPr>
      </w:pPr>
      <w:r w:rsidRPr="0052783D">
        <w:rPr>
          <w:color w:val="000000"/>
        </w:rPr>
        <w:lastRenderedPageBreak/>
        <w:t>Keadaan tersebut juga turut dipengaruhi oleh daya emosional sebagai cerminan jiwa seseorang dalam menghadapi suatu masalah. Daya emosi yang terdapat dalam jiwa seseorang biasanya timbul dengan spontan serta mudah berubah (labil) serba ingin mengetahui dan mencoba sesuatu yang baru. Biasanya seoarang dewasa dalam bertindak dan berfikir secara matang dalam menghadapi suatu masalah.</w:t>
      </w:r>
      <w:r w:rsidRPr="0052783D">
        <w:rPr>
          <w:rStyle w:val="FootnoteReference"/>
          <w:color w:val="000000"/>
        </w:rPr>
        <w:footnoteReference w:id="6"/>
      </w:r>
    </w:p>
    <w:p w:rsidR="00412149" w:rsidRPr="0052783D" w:rsidRDefault="00412149" w:rsidP="00412149">
      <w:pPr>
        <w:pStyle w:val="BodyTextIndent"/>
        <w:spacing w:after="0" w:line="444" w:lineRule="auto"/>
        <w:ind w:left="0" w:firstLine="709"/>
        <w:jc w:val="both"/>
        <w:rPr>
          <w:bCs/>
          <w:color w:val="000000"/>
        </w:rPr>
      </w:pPr>
      <w:r w:rsidRPr="0052783D">
        <w:rPr>
          <w:bCs/>
          <w:color w:val="000000"/>
        </w:rPr>
        <w:t>Kaitanya dengan tindak pidana penggelapan dalam jabatan  yang dilakukan oleh narapidana adalah bahwa orang tersebut tidak mampu menempatkan daya intelegensinya untuk menilai secara benar tentang baik buruknya perilaku yang dia lakukan. Rendahnya mental serta perasaan emosional ini mengakibatkan orang tersebut tidak mampu untuk mengendalikan diri sehingga banyak yang terjerumus dalam kejahatan  melakukana tindak pidana penggelapan dalam jabatan.</w:t>
      </w:r>
    </w:p>
    <w:p w:rsidR="00412149" w:rsidRPr="0052783D" w:rsidRDefault="00412149" w:rsidP="00412149">
      <w:pPr>
        <w:pStyle w:val="Default"/>
        <w:numPr>
          <w:ilvl w:val="0"/>
          <w:numId w:val="31"/>
        </w:numPr>
        <w:spacing w:line="444" w:lineRule="auto"/>
        <w:ind w:left="360"/>
        <w:jc w:val="both"/>
      </w:pPr>
      <w:r w:rsidRPr="0052783D">
        <w:t>Faktor ekstern</w:t>
      </w:r>
    </w:p>
    <w:p w:rsidR="00412149" w:rsidRPr="0052783D" w:rsidRDefault="00412149" w:rsidP="00412149">
      <w:pPr>
        <w:pStyle w:val="Default"/>
        <w:spacing w:line="480" w:lineRule="auto"/>
        <w:ind w:firstLine="709"/>
        <w:jc w:val="both"/>
      </w:pPr>
      <w:r w:rsidRPr="0052783D">
        <w:t>Faktor ekstern adalah faktor yang dapat menyebabkan terjadinya kejahatan karena sebab yang ada di luar individu. Faktor ekstren yang berasal atau terdapat di luar diri pribadi pelaku. Maksudnya adalah bahwa yang mempengaruhi seseorang untuk melakukan sebuah kejahatan itu timbul dari luar diri si pelaku itu sendiri yang didasari oleh faktor rumah tangga dan lingkungan.</w:t>
      </w:r>
      <w:r w:rsidRPr="0052783D">
        <w:rPr>
          <w:rStyle w:val="FootnoteReference"/>
        </w:rPr>
        <w:footnoteReference w:id="7"/>
      </w:r>
    </w:p>
    <w:p w:rsidR="00412149" w:rsidRPr="0052783D" w:rsidRDefault="00412149" w:rsidP="00412149">
      <w:pPr>
        <w:pStyle w:val="Default"/>
        <w:spacing w:line="480" w:lineRule="auto"/>
        <w:ind w:firstLine="709"/>
        <w:jc w:val="both"/>
      </w:pPr>
      <w:r w:rsidRPr="0052783D">
        <w:t>Faktor ekstern ini oleh para ahli kriminologi biasa disebut sebagai faktor lingkungan. Salah satu penyebab timbulnya kejahatan adalah lingkungan yang tidak baik.</w:t>
      </w:r>
      <w:r w:rsidRPr="0052783D">
        <w:rPr>
          <w:rStyle w:val="FootnoteReference"/>
        </w:rPr>
        <w:footnoteReference w:id="8"/>
      </w:r>
    </w:p>
    <w:p w:rsidR="00412149" w:rsidRPr="0052783D" w:rsidRDefault="00412149" w:rsidP="00412149">
      <w:pPr>
        <w:numPr>
          <w:ilvl w:val="0"/>
          <w:numId w:val="29"/>
        </w:numPr>
        <w:tabs>
          <w:tab w:val="clear" w:pos="735"/>
          <w:tab w:val="num" w:pos="375"/>
        </w:tabs>
        <w:autoSpaceDE w:val="0"/>
        <w:autoSpaceDN w:val="0"/>
        <w:adjustRightInd w:val="0"/>
        <w:spacing w:line="480" w:lineRule="auto"/>
        <w:ind w:left="375"/>
        <w:jc w:val="both"/>
        <w:rPr>
          <w:color w:val="000000"/>
        </w:rPr>
      </w:pPr>
      <w:r w:rsidRPr="0052783D">
        <w:rPr>
          <w:color w:val="000000"/>
        </w:rPr>
        <w:lastRenderedPageBreak/>
        <w:t xml:space="preserve">Lingkungan keluarga </w:t>
      </w:r>
    </w:p>
    <w:p w:rsidR="00412149" w:rsidRPr="0052783D" w:rsidRDefault="00412149" w:rsidP="00412149">
      <w:pPr>
        <w:autoSpaceDE w:val="0"/>
        <w:autoSpaceDN w:val="0"/>
        <w:adjustRightInd w:val="0"/>
        <w:spacing w:line="480" w:lineRule="auto"/>
        <w:ind w:left="374"/>
        <w:jc w:val="both"/>
        <w:rPr>
          <w:color w:val="000000"/>
        </w:rPr>
      </w:pPr>
      <w:r w:rsidRPr="0052783D">
        <w:rPr>
          <w:color w:val="000000"/>
        </w:rPr>
        <w:t>Keluarga adalah kelompok terkecil dalam masyarakat dan merupakan tempat menerima kasih sayang antara ayah, ibu, dan anak-anak. Keluarga merupakan peletak dasar terbentuknya kepribadian seseorang.  Keluarga yang tidak harmonis (</w:t>
      </w:r>
      <w:r w:rsidRPr="0052783D">
        <w:rPr>
          <w:i/>
          <w:iCs/>
          <w:color w:val="000000"/>
        </w:rPr>
        <w:t>broken home</w:t>
      </w:r>
      <w:r w:rsidRPr="0052783D">
        <w:rPr>
          <w:color w:val="000000"/>
        </w:rPr>
        <w:t>), merupakan salah satu faktor penyebab seseorang melakukan tindak kejahatan, hal ini disebabkan oleh kurangnya bimbingan dan pengarahan dari orang tuanya. Hal inilah yang menyebabkan seseorang yang keluarganya tidak harmonis tersebut mencari pelarian atau perhatian ke dalam hal-hal yang negatif.</w:t>
      </w:r>
    </w:p>
    <w:p w:rsidR="00412149" w:rsidRPr="0052783D" w:rsidRDefault="00412149" w:rsidP="00412149">
      <w:pPr>
        <w:numPr>
          <w:ilvl w:val="0"/>
          <w:numId w:val="29"/>
        </w:numPr>
        <w:tabs>
          <w:tab w:val="clear" w:pos="735"/>
          <w:tab w:val="num" w:pos="375"/>
        </w:tabs>
        <w:autoSpaceDE w:val="0"/>
        <w:autoSpaceDN w:val="0"/>
        <w:adjustRightInd w:val="0"/>
        <w:spacing w:line="480" w:lineRule="auto"/>
        <w:ind w:left="374"/>
        <w:jc w:val="both"/>
        <w:rPr>
          <w:color w:val="000000"/>
        </w:rPr>
      </w:pPr>
      <w:r w:rsidRPr="0052783D">
        <w:rPr>
          <w:color w:val="000000"/>
        </w:rPr>
        <w:t>Lingkungan sosial</w:t>
      </w:r>
    </w:p>
    <w:p w:rsidR="00412149" w:rsidRPr="0052783D" w:rsidRDefault="00412149" w:rsidP="00412149">
      <w:pPr>
        <w:autoSpaceDE w:val="0"/>
        <w:autoSpaceDN w:val="0"/>
        <w:adjustRightInd w:val="0"/>
        <w:spacing w:line="480" w:lineRule="auto"/>
        <w:ind w:left="374"/>
        <w:jc w:val="both"/>
        <w:rPr>
          <w:color w:val="000000"/>
        </w:rPr>
      </w:pPr>
      <w:r w:rsidRPr="0052783D">
        <w:rPr>
          <w:color w:val="000000"/>
        </w:rPr>
        <w:t>Lingkungan yang dimaksud di sini adalah pengertian dalam pengertian sempit, yaitu hubungan antara manusia yang satu dengan manusia yang lainnya (interaksi sosial). Sebagai akibat dari hubungan inilah kepribadian seseorang akan terbentuk sesuai dengan keadaan dan kondisi lingkungannya, sehingga dapat dikatakan bahwa kejahatan itu terjadi karena dipelajari atau dicontoh dalam lingkungan masyarakat dimana si penjahat itu hidup/berada. Apabila seseorang dalam kehidupan sehari-harinya bergaul dengan seorang penjahat, maka kemungkinan besar orang tersebut akan menjadi penjahat sehingga nilai-nilai yang dimiliki oleh si penjahat itulah yang ditirunya.</w:t>
      </w:r>
      <w:r w:rsidRPr="0052783D">
        <w:rPr>
          <w:rStyle w:val="FootnoteReference"/>
          <w:color w:val="000000"/>
        </w:rPr>
        <w:footnoteReference w:id="9"/>
      </w:r>
    </w:p>
    <w:p w:rsidR="00412149" w:rsidRPr="0052783D" w:rsidRDefault="00412149" w:rsidP="00412149">
      <w:pPr>
        <w:numPr>
          <w:ilvl w:val="0"/>
          <w:numId w:val="29"/>
        </w:numPr>
        <w:tabs>
          <w:tab w:val="clear" w:pos="735"/>
          <w:tab w:val="num" w:pos="375"/>
        </w:tabs>
        <w:autoSpaceDE w:val="0"/>
        <w:autoSpaceDN w:val="0"/>
        <w:adjustRightInd w:val="0"/>
        <w:spacing w:line="480" w:lineRule="auto"/>
        <w:ind w:left="375"/>
        <w:jc w:val="both"/>
        <w:rPr>
          <w:color w:val="000000"/>
        </w:rPr>
      </w:pPr>
      <w:r w:rsidRPr="0052783D">
        <w:rPr>
          <w:color w:val="000000"/>
        </w:rPr>
        <w:t xml:space="preserve">Faktor Kesempatan </w:t>
      </w:r>
    </w:p>
    <w:p w:rsidR="00412149" w:rsidRPr="0052783D" w:rsidRDefault="00412149" w:rsidP="00412149">
      <w:pPr>
        <w:autoSpaceDE w:val="0"/>
        <w:autoSpaceDN w:val="0"/>
        <w:adjustRightInd w:val="0"/>
        <w:spacing w:line="480" w:lineRule="auto"/>
        <w:ind w:firstLine="720"/>
        <w:jc w:val="both"/>
        <w:rPr>
          <w:color w:val="000000"/>
        </w:rPr>
      </w:pPr>
      <w:r w:rsidRPr="0052783D">
        <w:rPr>
          <w:color w:val="000000"/>
        </w:rPr>
        <w:t xml:space="preserve">Kejahatan yang merupakan suatu bentuk dari gejala sosial yaitu suatu masalah yang terdapat ditengah-tengah masyarakat dimana pelaku dan korbannya </w:t>
      </w:r>
      <w:r w:rsidRPr="0052783D">
        <w:rPr>
          <w:color w:val="000000"/>
        </w:rPr>
        <w:lastRenderedPageBreak/>
        <w:t>adalah anggota masyarakat itu sendiri. Kejahatan ini juga ditimbulkan dari adanya kesempatan untuk merugikan orang lain. Faktor kesempatan yang dimaksudkan dalam penelitian ini adalah kesempatan yang muncul dari suatu celah-celah dan juga situasi-situasi yang memungkinkan seseorang (pelaku) untuk melakukan tindak pidana perusakan dan pembakaran rumah.</w:t>
      </w:r>
    </w:p>
    <w:p w:rsidR="00412149" w:rsidRPr="0052783D" w:rsidRDefault="00412149" w:rsidP="00412149">
      <w:pPr>
        <w:autoSpaceDE w:val="0"/>
        <w:autoSpaceDN w:val="0"/>
        <w:adjustRightInd w:val="0"/>
        <w:spacing w:line="480" w:lineRule="auto"/>
        <w:ind w:firstLine="720"/>
        <w:jc w:val="both"/>
      </w:pPr>
      <w:r w:rsidRPr="0052783D">
        <w:rPr>
          <w:color w:val="000000"/>
        </w:rPr>
        <w:t xml:space="preserve">Khusus tindak pidana penggelapan dalam jabatan berdasarkan kasus </w:t>
      </w:r>
      <w:r w:rsidRPr="0052783D">
        <w:rPr>
          <w:bCs/>
        </w:rPr>
        <w:t>putusan</w:t>
      </w:r>
      <w:r w:rsidRPr="0052783D">
        <w:t xml:space="preserve">Nomor </w:t>
      </w:r>
      <w:r w:rsidRPr="0052783D">
        <w:rPr>
          <w:lang w:val="id-ID" w:eastAsia="id-ID"/>
        </w:rPr>
        <w:t>2218/Pid.B/2023/PN Mdn</w:t>
      </w:r>
      <w:r w:rsidRPr="0052783D">
        <w:rPr>
          <w:color w:val="000000"/>
        </w:rPr>
        <w:t xml:space="preserve"> yang menjadi faktor dan latar belakang terjadinya tindak pidana penggelapan dalam jabatan adalah untuk mendapatkan keuntungan dari penggelapan barang. Perbuatan tersebut dilakukan dengan c</w:t>
      </w:r>
      <w:r w:rsidRPr="0052783D">
        <w:rPr>
          <w:lang w:val="en-ID" w:eastAsia="en-ID"/>
        </w:rPr>
        <w:t>ara p</w:t>
      </w:r>
      <w:r w:rsidRPr="0052783D">
        <w:t>ada saat terdakwa melakukan penagihan kepada toko-toko yang mengorder spearpart ada beberapa toko yang melakukan pembayaran secara transfer maka terdakwa mengatakan dengan alasan agar mentransfer ke rekening pribadi terdakwa yaitu Bank BCA dengan nomor rekening 2970279973 atas nama Edi dikarenakan nantinya terdakwa yang akan menyetorkannya namun terlebih dahulu terdakwa mau hitungan bonus sehingga toko-toko percaya dan melakukan transfer ke rekening pribadi terdakwa tanpa sepengetahuan saksi korban Hendra Moksa sebagai pemilik Toko Paratama Jaya.</w:t>
      </w:r>
    </w:p>
    <w:p w:rsidR="00412149" w:rsidRPr="0052783D" w:rsidRDefault="00412149" w:rsidP="00412149">
      <w:pPr>
        <w:autoSpaceDE w:val="0"/>
        <w:autoSpaceDN w:val="0"/>
        <w:adjustRightInd w:val="0"/>
        <w:spacing w:line="480" w:lineRule="auto"/>
        <w:ind w:firstLine="720"/>
        <w:jc w:val="both"/>
      </w:pPr>
      <w:r w:rsidRPr="0052783D">
        <w:t>Toko yang melakukan pembayaran secara tunai setelah terdakwa menerimanya dari toko namun sebagian uang tersebut tidak terdakwa setorkan ke toko Pratama Jaya atau admin saksi Chatherine dan terdakwa memakainya tanpa seijin dari saksi korban atau admin dan untuk menutupi kecurigaan terdakwa mengatakan bahwa toko belum melakukan pembayaran.</w:t>
      </w:r>
    </w:p>
    <w:p w:rsidR="00412149" w:rsidRPr="0052783D" w:rsidRDefault="00412149" w:rsidP="00412149">
      <w:pPr>
        <w:autoSpaceDE w:val="0"/>
        <w:autoSpaceDN w:val="0"/>
        <w:adjustRightInd w:val="0"/>
        <w:spacing w:line="456" w:lineRule="auto"/>
        <w:ind w:firstLine="720"/>
        <w:jc w:val="both"/>
        <w:rPr>
          <w:color w:val="000000"/>
        </w:rPr>
      </w:pPr>
      <w:r w:rsidRPr="0052783D">
        <w:lastRenderedPageBreak/>
        <w:t>Total tagihan yang tidak disetorkan terdakwa kepada Toko Pratama Jaya dari Tahun 2020 sampai tahun 2023 sebesar Rp.689.036.642,- (enam ratus delapan puluh sembilan juta tiga puluh enam ribu enam ratus empat puluh dua rupiah) dan dikurangi omset / komisi yang diberikan oleh Toko Pratama Jaya kepada terdakwa sebesar Rp.290.424.176,- (dua ratus sembilan puluh juta empat ratus dua puluh empat ribu seratus tujuh puluh enam rupiah) sehingga sisa uang tagihan yang belum disetorkan terdakwa sebesar Rp.398.612.466,- (tiga ratus sembilan puluh delapan juta enam ratus dua belas ribu empat ratus enam puluh enam rupiah) sehingga saksi korban Hendra Moksa melaporkan perbuatan terdakwa ke Polrestabes Medan untuk diproses lebih lanjut</w:t>
      </w:r>
      <w:r w:rsidRPr="0052783D">
        <w:rPr>
          <w:lang w:val="en-ID" w:eastAsia="en-ID"/>
        </w:rPr>
        <w:t>.</w:t>
      </w:r>
    </w:p>
    <w:p w:rsidR="00412149" w:rsidRPr="0052783D" w:rsidRDefault="00412149" w:rsidP="00412149">
      <w:pPr>
        <w:numPr>
          <w:ilvl w:val="0"/>
          <w:numId w:val="27"/>
        </w:numPr>
        <w:spacing w:line="456" w:lineRule="auto"/>
        <w:ind w:left="360"/>
        <w:jc w:val="both"/>
        <w:rPr>
          <w:b/>
          <w:bCs/>
        </w:rPr>
      </w:pPr>
      <w:r w:rsidRPr="0052783D">
        <w:rPr>
          <w:b/>
          <w:color w:val="000000"/>
        </w:rPr>
        <w:t xml:space="preserve">Pertanggungjawaban Pidana Terhadap Pelaku Tindak Pidana Penggelapan Dalam Jabatan </w:t>
      </w:r>
      <w:r w:rsidRPr="0052783D">
        <w:rPr>
          <w:b/>
          <w:bCs/>
        </w:rPr>
        <w:t xml:space="preserve">Dalam Putusan </w:t>
      </w:r>
      <w:r w:rsidRPr="0052783D">
        <w:rPr>
          <w:b/>
        </w:rPr>
        <w:t xml:space="preserve">Nomor </w:t>
      </w:r>
      <w:r w:rsidRPr="0052783D">
        <w:rPr>
          <w:b/>
          <w:lang w:val="id-ID" w:eastAsia="id-ID"/>
        </w:rPr>
        <w:t>2218/Pid.B/2023/PN Mdn</w:t>
      </w:r>
    </w:p>
    <w:p w:rsidR="00412149" w:rsidRPr="0052783D" w:rsidRDefault="00412149" w:rsidP="00412149">
      <w:pPr>
        <w:autoSpaceDE w:val="0"/>
        <w:autoSpaceDN w:val="0"/>
        <w:adjustRightInd w:val="0"/>
        <w:spacing w:line="456" w:lineRule="auto"/>
        <w:ind w:firstLine="720"/>
        <w:jc w:val="both"/>
        <w:rPr>
          <w:color w:val="000000"/>
        </w:rPr>
      </w:pPr>
      <w:r w:rsidRPr="0052783D">
        <w:rPr>
          <w:color w:val="000000"/>
        </w:rPr>
        <w:t>Konsep pertanggungjawaban pidana sesungguhnya tidak hanya menyangkut soal hukum semata-mata melaikan juga menyangkut soal nilai-nilai moral atau kesusilaan umum yang dianut oleh suatu masyarakat atau kelompok-kelompok dalam masyarakat, hal ini dilakukan agar pertanggungjawaban pidana itu dicapi dengan memenuhi keadilan.</w:t>
      </w:r>
      <w:r w:rsidRPr="0052783D">
        <w:rPr>
          <w:rStyle w:val="FootnoteReference"/>
          <w:color w:val="000000"/>
        </w:rPr>
        <w:footnoteReference w:id="10"/>
      </w:r>
      <w:r w:rsidRPr="0052783D">
        <w:rPr>
          <w:color w:val="000000"/>
        </w:rPr>
        <w:t xml:space="preserve"> Pertanggungjawaban pidana adalah suatu bentuk untuk menentukan apakah seorang tersangka atau terdakwa dipertanggungjawabkan atas suatu tindak pidana yang telah terjadi. Dengan kata lain pertanggungjawaban pidana adalah suatu bentuk yang menentukan apakah seseornag tersebuut dibebasakan atau dipidana.</w:t>
      </w:r>
      <w:r w:rsidRPr="0052783D">
        <w:rPr>
          <w:rStyle w:val="FootnoteReference"/>
          <w:color w:val="000000"/>
        </w:rPr>
        <w:footnoteReference w:id="11"/>
      </w:r>
    </w:p>
    <w:p w:rsidR="00412149" w:rsidRPr="0052783D" w:rsidRDefault="00412149" w:rsidP="00412149">
      <w:pPr>
        <w:autoSpaceDE w:val="0"/>
        <w:autoSpaceDN w:val="0"/>
        <w:adjustRightInd w:val="0"/>
        <w:spacing w:line="480" w:lineRule="auto"/>
        <w:ind w:firstLine="720"/>
        <w:jc w:val="both"/>
        <w:rPr>
          <w:color w:val="000000"/>
        </w:rPr>
      </w:pPr>
      <w:r w:rsidRPr="0052783D">
        <w:rPr>
          <w:color w:val="000000"/>
        </w:rPr>
        <w:lastRenderedPageBreak/>
        <w:t>Beban pertanggungjawaban dibebankan kepada pelaku pelanggaran tindak pidana berkaitan dengan dasar untuk menjatuhkan sanksi pidana. Seseorang akan memiliki sifat pertanggungjawaban pidana apabila suatu hal atau perbuatan yang dilakukan olehnya bersifat melawan hukum, namun seseorang dapat hilang sifat pertanggungjawabannya apabila didalam dirinya ditemukan suatu unsur yang menyebabkan hilangnya kemampuan bertanggungjawab seseorang.</w:t>
      </w:r>
      <w:r w:rsidRPr="0052783D">
        <w:rPr>
          <w:rStyle w:val="FootnoteReference"/>
          <w:color w:val="000000"/>
        </w:rPr>
        <w:footnoteReference w:id="12"/>
      </w:r>
    </w:p>
    <w:p w:rsidR="00412149" w:rsidRPr="0052783D" w:rsidRDefault="00412149" w:rsidP="00412149">
      <w:pPr>
        <w:autoSpaceDE w:val="0"/>
        <w:autoSpaceDN w:val="0"/>
        <w:adjustRightInd w:val="0"/>
        <w:spacing w:line="480" w:lineRule="auto"/>
        <w:ind w:firstLine="720"/>
        <w:jc w:val="both"/>
        <w:rPr>
          <w:color w:val="000000"/>
          <w:lang w:eastAsia="id-ID"/>
        </w:rPr>
      </w:pPr>
      <w:r w:rsidRPr="0052783D">
        <w:rPr>
          <w:color w:val="000000"/>
        </w:rPr>
        <w:t>Menurut Chairul Huda bahwa dasar adanya tindak pidana adalah asas legalitas, sedangkan dapat dipidananya pembuat adalah atas dasar kesalahan, hal ini berarti bahwa seseorang akan mempunyai pertanggung jawaban pidana bila ia telah melakukan perbuatan yang salah dan bertentangan dengan hukum. Pada hakikatnya pertanggungjawaban pidana adalah suatu bentuk mekanisme yang diciptakan untuk berekasi atas pelanggaran suatu perbuatan tertentu yang telah disepakati.</w:t>
      </w:r>
      <w:r w:rsidRPr="0052783D">
        <w:rPr>
          <w:rStyle w:val="FootnoteReference"/>
          <w:color w:val="000000"/>
        </w:rPr>
        <w:footnoteReference w:id="13"/>
      </w:r>
    </w:p>
    <w:p w:rsidR="00412149" w:rsidRPr="0052783D" w:rsidRDefault="00412149" w:rsidP="00412149">
      <w:pPr>
        <w:autoSpaceDE w:val="0"/>
        <w:autoSpaceDN w:val="0"/>
        <w:adjustRightInd w:val="0"/>
        <w:spacing w:line="480" w:lineRule="auto"/>
        <w:ind w:firstLine="720"/>
        <w:jc w:val="both"/>
        <w:rPr>
          <w:color w:val="000000"/>
        </w:rPr>
      </w:pPr>
      <w:r w:rsidRPr="0052783D">
        <w:rPr>
          <w:color w:val="000000"/>
          <w:lang w:eastAsia="id-ID"/>
        </w:rPr>
        <w:t>Adanya pertanggungjawaban pidana diperlukan syarat bahwa pembuat mampu bertanggung jawab. Tidaklah mungkin seseorang dapat dipertanggungjawabkan apabila ia tidak mampu bertanggung jawab.</w:t>
      </w:r>
      <w:r w:rsidRPr="0052783D">
        <w:rPr>
          <w:rStyle w:val="FootnoteReference"/>
          <w:color w:val="000000"/>
          <w:lang w:eastAsia="id-ID"/>
        </w:rPr>
        <w:footnoteReference w:id="14"/>
      </w:r>
      <w:r w:rsidRPr="0052783D">
        <w:rPr>
          <w:color w:val="000000"/>
          <w:lang w:eastAsia="id-ID"/>
        </w:rPr>
        <w:t xml:space="preserve"> Pidana penggelapan dalam jabatan </w:t>
      </w:r>
      <w:r w:rsidRPr="0052783D">
        <w:rPr>
          <w:color w:val="000000"/>
        </w:rPr>
        <w:t xml:space="preserve">apabila ditinjau dari aspek hukum pidana positif Indonesia, maka perbuatan tersebut dapat dikategorikan sebagai suatu tindak pidana. </w:t>
      </w:r>
      <w:r w:rsidRPr="0052783D">
        <w:rPr>
          <w:rStyle w:val="FootnoteReference"/>
          <w:color w:val="000000"/>
        </w:rPr>
        <w:footnoteReference w:id="15"/>
      </w:r>
    </w:p>
    <w:p w:rsidR="00412149" w:rsidRPr="0052783D" w:rsidRDefault="00412149" w:rsidP="00412149">
      <w:pPr>
        <w:autoSpaceDE w:val="0"/>
        <w:autoSpaceDN w:val="0"/>
        <w:adjustRightInd w:val="0"/>
        <w:spacing w:line="480" w:lineRule="auto"/>
        <w:ind w:firstLine="720"/>
        <w:jc w:val="both"/>
        <w:rPr>
          <w:color w:val="000000"/>
        </w:rPr>
      </w:pPr>
      <w:r w:rsidRPr="0052783D">
        <w:rPr>
          <w:color w:val="000000"/>
        </w:rPr>
        <w:t xml:space="preserve">Hukum pidana positif Indonesia selain mengatur mengenai kepentingan antar individu juga dengan negara selaku institusi yang memiliki fungsi untuk </w:t>
      </w:r>
      <w:r w:rsidRPr="0052783D">
        <w:rPr>
          <w:color w:val="000000"/>
        </w:rPr>
        <w:lastRenderedPageBreak/>
        <w:t>melindungi setiap warga negaranya, dalam hal ini seseorang yang telah menjadi korban dari suatu tindak pidana.</w:t>
      </w:r>
      <w:r w:rsidRPr="0052783D">
        <w:rPr>
          <w:rStyle w:val="FootnoteReference"/>
          <w:color w:val="000000"/>
        </w:rPr>
        <w:footnoteReference w:id="16"/>
      </w:r>
      <w:r w:rsidRPr="0052783D">
        <w:rPr>
          <w:color w:val="000000"/>
        </w:rPr>
        <w:t xml:space="preserve"> Pada dasarnya untuk menentukan seseorang telah melakukan suatu tindak pidana atau tidak, maka harus memenuhi unsur-unsur tindak pidana, yaitu:</w:t>
      </w:r>
    </w:p>
    <w:p w:rsidR="00412149" w:rsidRPr="0052783D" w:rsidRDefault="00412149" w:rsidP="00412149">
      <w:pPr>
        <w:numPr>
          <w:ilvl w:val="1"/>
          <w:numId w:val="34"/>
        </w:numPr>
        <w:tabs>
          <w:tab w:val="left" w:pos="426"/>
        </w:tabs>
        <w:spacing w:line="456" w:lineRule="auto"/>
        <w:ind w:left="426" w:hanging="426"/>
        <w:rPr>
          <w:color w:val="000000"/>
        </w:rPr>
      </w:pPr>
      <w:r w:rsidRPr="0052783D">
        <w:rPr>
          <w:color w:val="000000"/>
        </w:rPr>
        <w:t>Adanya suatu perbuatan</w:t>
      </w:r>
    </w:p>
    <w:p w:rsidR="00412149" w:rsidRPr="0052783D" w:rsidRDefault="00412149" w:rsidP="00412149">
      <w:pPr>
        <w:numPr>
          <w:ilvl w:val="1"/>
          <w:numId w:val="34"/>
        </w:numPr>
        <w:tabs>
          <w:tab w:val="left" w:pos="426"/>
        </w:tabs>
        <w:spacing w:line="456" w:lineRule="auto"/>
        <w:ind w:left="426" w:hanging="426"/>
        <w:rPr>
          <w:color w:val="000000"/>
        </w:rPr>
      </w:pPr>
      <w:r w:rsidRPr="0052783D">
        <w:rPr>
          <w:color w:val="000000"/>
        </w:rPr>
        <w:t>Perbuatan tersebut dilarang oleh undang-undang</w:t>
      </w:r>
    </w:p>
    <w:p w:rsidR="00412149" w:rsidRPr="0052783D" w:rsidRDefault="00412149" w:rsidP="00412149">
      <w:pPr>
        <w:numPr>
          <w:ilvl w:val="1"/>
          <w:numId w:val="34"/>
        </w:numPr>
        <w:tabs>
          <w:tab w:val="left" w:pos="426"/>
        </w:tabs>
        <w:spacing w:line="456" w:lineRule="auto"/>
        <w:ind w:left="426" w:hanging="426"/>
        <w:rPr>
          <w:color w:val="000000"/>
        </w:rPr>
      </w:pPr>
      <w:r w:rsidRPr="0052783D">
        <w:rPr>
          <w:color w:val="000000"/>
        </w:rPr>
        <w:t>Perbuatan tersebut diancam dengan pidana</w:t>
      </w:r>
    </w:p>
    <w:p w:rsidR="00412149" w:rsidRPr="0052783D" w:rsidRDefault="00412149" w:rsidP="00412149">
      <w:pPr>
        <w:numPr>
          <w:ilvl w:val="1"/>
          <w:numId w:val="34"/>
        </w:numPr>
        <w:tabs>
          <w:tab w:val="left" w:pos="426"/>
        </w:tabs>
        <w:spacing w:line="456" w:lineRule="auto"/>
        <w:ind w:left="426" w:hanging="426"/>
        <w:rPr>
          <w:color w:val="000000"/>
        </w:rPr>
      </w:pPr>
      <w:r w:rsidRPr="0052783D">
        <w:rPr>
          <w:color w:val="000000"/>
        </w:rPr>
        <w:t>Perbuatan tersebut dapat dipertanggung jawabkan oleh pelaku.</w:t>
      </w:r>
      <w:r w:rsidRPr="0052783D">
        <w:rPr>
          <w:rStyle w:val="FootnoteReference"/>
          <w:color w:val="000000"/>
        </w:rPr>
        <w:footnoteReference w:id="17"/>
      </w:r>
    </w:p>
    <w:p w:rsidR="00412149" w:rsidRPr="0052783D" w:rsidRDefault="00412149" w:rsidP="00412149">
      <w:pPr>
        <w:spacing w:line="456" w:lineRule="auto"/>
        <w:ind w:firstLine="720"/>
        <w:jc w:val="both"/>
        <w:rPr>
          <w:color w:val="000000"/>
        </w:rPr>
      </w:pPr>
      <w:r w:rsidRPr="0052783D">
        <w:rPr>
          <w:color w:val="000000"/>
        </w:rPr>
        <w:t>Setiap orang yang melakukan tindak pidana  tidak selalu dapat dipidana, tergantung apakah orang atau terdakwa tersebut dalam melakukan tindak pidananya mempunyai kesalahan atau tidak. Sebab untuk menjatuhkan pidana terhadap seseorang yang melakukan suatu tindak pidana tidak cukup hanya dengan dilakukanya suatu tindak pidana, tetapi juga harus ada unsur kesalahan di dalamnya.</w:t>
      </w:r>
      <w:r w:rsidRPr="0052783D">
        <w:rPr>
          <w:rStyle w:val="FootnoteReference"/>
          <w:color w:val="000000"/>
        </w:rPr>
        <w:footnoteReference w:id="18"/>
      </w:r>
    </w:p>
    <w:p w:rsidR="00412149" w:rsidRPr="0052783D" w:rsidRDefault="00412149" w:rsidP="00412149">
      <w:pPr>
        <w:spacing w:line="456" w:lineRule="auto"/>
        <w:ind w:firstLine="720"/>
        <w:jc w:val="both"/>
        <w:rPr>
          <w:color w:val="000000"/>
        </w:rPr>
      </w:pPr>
      <w:r w:rsidRPr="0052783D">
        <w:rPr>
          <w:color w:val="000000"/>
        </w:rPr>
        <w:t>Mengenai pengertian kesalahan atau pertanggungjawaban pidana terlepas dari perbuatan pidana, karena dalam hal perbuatan pidana yang menjadi objeknya adalah perbuatannya sedangkan dalam hal pertanggungjawaban pidana yang menjadi objeknya adalah orang yang melakukan perbuatan pidana tersebut.</w:t>
      </w:r>
      <w:r w:rsidRPr="0052783D">
        <w:rPr>
          <w:rStyle w:val="FootnoteReference"/>
          <w:color w:val="000000"/>
        </w:rPr>
        <w:footnoteReference w:id="19"/>
      </w:r>
    </w:p>
    <w:p w:rsidR="00412149" w:rsidRPr="0052783D" w:rsidRDefault="00412149" w:rsidP="00412149">
      <w:pPr>
        <w:spacing w:line="480" w:lineRule="auto"/>
        <w:ind w:firstLine="720"/>
        <w:jc w:val="both"/>
        <w:rPr>
          <w:color w:val="000000"/>
        </w:rPr>
      </w:pPr>
      <w:r w:rsidRPr="0052783D">
        <w:rPr>
          <w:color w:val="000000"/>
        </w:rPr>
        <w:t xml:space="preserve">Dasar dari perbuatan pidana adalah asas legalitas (Pasal 1 ayat (1) KUHP) yang menyatakan bahwa tiada suatu perbuatan yang dapat dipidana kecuali atas peraturan perundang-undangan yang telah ada sebelumnya”, sedangkan dasar </w:t>
      </w:r>
      <w:r w:rsidRPr="0052783D">
        <w:rPr>
          <w:color w:val="000000"/>
        </w:rPr>
        <w:lastRenderedPageBreak/>
        <w:t xml:space="preserve">daripada dipidananya pelaku adalah asas tiada pidana tanpa kesalahan </w:t>
      </w:r>
      <w:r w:rsidRPr="0052783D">
        <w:rPr>
          <w:i/>
          <w:iCs/>
          <w:color w:val="000000"/>
        </w:rPr>
        <w:t>(geen straf zonder shculd)</w:t>
      </w:r>
      <w:r w:rsidRPr="0052783D">
        <w:rPr>
          <w:color w:val="000000"/>
        </w:rPr>
        <w:t xml:space="preserve">. </w:t>
      </w:r>
      <w:r w:rsidRPr="0052783D">
        <w:rPr>
          <w:rStyle w:val="FootnoteReference"/>
          <w:color w:val="000000"/>
        </w:rPr>
        <w:footnoteReference w:id="20"/>
      </w:r>
    </w:p>
    <w:p w:rsidR="00412149" w:rsidRPr="0052783D" w:rsidRDefault="00412149" w:rsidP="00412149">
      <w:pPr>
        <w:spacing w:line="504" w:lineRule="auto"/>
        <w:ind w:firstLine="720"/>
        <w:jc w:val="both"/>
        <w:rPr>
          <w:color w:val="000000"/>
        </w:rPr>
      </w:pPr>
      <w:r w:rsidRPr="0052783D">
        <w:rPr>
          <w:color w:val="000000"/>
        </w:rPr>
        <w:t>Menjatuhkan pidana terhadap seseorang dalam hal ini pelaku tindak pidana penggelapan dalam jabatan, Moeljatno berpendapat bahwa terlebih dahulu harus dipastikan bahwa pelaku telah melakukan perbuatan pidana yang bersifat melawan hukum baik formil maupun materiil baru kemudian perbuatan pidana yang dilakukan pelaku tersebut dapat dihubungkan dengan unsur-unsur kesalahan, sehingga untuk adanya kesalahan yang mengakibatkan dipidananya terdakwa haruslah:</w:t>
      </w:r>
    </w:p>
    <w:p w:rsidR="00412149" w:rsidRPr="0052783D" w:rsidRDefault="00412149" w:rsidP="00412149">
      <w:pPr>
        <w:numPr>
          <w:ilvl w:val="1"/>
          <w:numId w:val="33"/>
        </w:numPr>
        <w:tabs>
          <w:tab w:val="left" w:pos="426"/>
          <w:tab w:val="left" w:pos="7920"/>
        </w:tabs>
        <w:spacing w:line="504" w:lineRule="auto"/>
        <w:ind w:left="426" w:hanging="426"/>
        <w:rPr>
          <w:color w:val="000000"/>
        </w:rPr>
      </w:pPr>
      <w:r w:rsidRPr="0052783D">
        <w:rPr>
          <w:color w:val="000000"/>
        </w:rPr>
        <w:t>Melakukan perbuatan pidana;</w:t>
      </w:r>
    </w:p>
    <w:p w:rsidR="00412149" w:rsidRPr="0052783D" w:rsidRDefault="00412149" w:rsidP="00412149">
      <w:pPr>
        <w:numPr>
          <w:ilvl w:val="1"/>
          <w:numId w:val="33"/>
        </w:numPr>
        <w:tabs>
          <w:tab w:val="left" w:pos="426"/>
          <w:tab w:val="left" w:pos="1980"/>
          <w:tab w:val="left" w:pos="2160"/>
          <w:tab w:val="left" w:pos="2340"/>
          <w:tab w:val="left" w:pos="4320"/>
          <w:tab w:val="left" w:pos="7920"/>
        </w:tabs>
        <w:spacing w:line="504" w:lineRule="auto"/>
        <w:ind w:left="426" w:hanging="426"/>
        <w:rPr>
          <w:color w:val="000000"/>
        </w:rPr>
      </w:pPr>
      <w:r w:rsidRPr="0052783D">
        <w:rPr>
          <w:color w:val="000000"/>
        </w:rPr>
        <w:t>Mampu bertanggung jawab;</w:t>
      </w:r>
    </w:p>
    <w:p w:rsidR="00412149" w:rsidRPr="0052783D" w:rsidRDefault="00412149" w:rsidP="00412149">
      <w:pPr>
        <w:numPr>
          <w:ilvl w:val="1"/>
          <w:numId w:val="33"/>
        </w:numPr>
        <w:tabs>
          <w:tab w:val="left" w:pos="426"/>
          <w:tab w:val="left" w:pos="7920"/>
        </w:tabs>
        <w:spacing w:line="504" w:lineRule="auto"/>
        <w:ind w:left="426" w:hanging="426"/>
        <w:rPr>
          <w:color w:val="000000"/>
        </w:rPr>
      </w:pPr>
      <w:r w:rsidRPr="0052783D">
        <w:rPr>
          <w:color w:val="000000"/>
        </w:rPr>
        <w:t>Dengan kesengajaan (</w:t>
      </w:r>
      <w:r w:rsidRPr="0052783D">
        <w:rPr>
          <w:i/>
          <w:color w:val="000000"/>
        </w:rPr>
        <w:t>dolus/opzet) atau kealpaan (culpa).</w:t>
      </w:r>
    </w:p>
    <w:p w:rsidR="00412149" w:rsidRPr="0052783D" w:rsidRDefault="00412149" w:rsidP="00412149">
      <w:pPr>
        <w:numPr>
          <w:ilvl w:val="1"/>
          <w:numId w:val="33"/>
        </w:numPr>
        <w:tabs>
          <w:tab w:val="left" w:pos="426"/>
          <w:tab w:val="left" w:pos="7920"/>
        </w:tabs>
        <w:spacing w:line="504" w:lineRule="auto"/>
        <w:ind w:left="426" w:hanging="426"/>
        <w:rPr>
          <w:color w:val="000000"/>
        </w:rPr>
      </w:pPr>
      <w:r w:rsidRPr="0052783D">
        <w:rPr>
          <w:color w:val="000000"/>
        </w:rPr>
        <w:t>Tidak danya alasan pemaaf.</w:t>
      </w:r>
      <w:r w:rsidRPr="0052783D">
        <w:rPr>
          <w:rStyle w:val="FootnoteReference"/>
          <w:color w:val="000000"/>
        </w:rPr>
        <w:footnoteReference w:id="21"/>
      </w:r>
    </w:p>
    <w:p w:rsidR="00412149" w:rsidRPr="0052783D" w:rsidRDefault="00412149" w:rsidP="00412149">
      <w:pPr>
        <w:spacing w:line="480" w:lineRule="auto"/>
        <w:ind w:firstLine="720"/>
        <w:jc w:val="both"/>
        <w:rPr>
          <w:color w:val="000000"/>
        </w:rPr>
      </w:pPr>
      <w:r w:rsidRPr="0052783D">
        <w:rPr>
          <w:color w:val="000000"/>
        </w:rPr>
        <w:t>Menentukan ada atau tidaknya kesalahan pada pelaku tindak pidana, pertama-tama harus ditentukan apakah terdakwa mempunyai kemampuan untuk bertanggung jawab atau tidak atas tindak pidana yang dilakukannya. Kemampuan beratanggung jawab terdakwa berkenaan dengan keadaan jiwa/bathin terdakwa yang sehat ketika melakukan tindak pidana, pelaku dianggap mampu bertanggung jawab atas perbuatannya harus memenuhi beberapa syarat, yaitu:</w:t>
      </w:r>
    </w:p>
    <w:p w:rsidR="00412149" w:rsidRPr="0052783D" w:rsidRDefault="00412149" w:rsidP="00412149">
      <w:pPr>
        <w:numPr>
          <w:ilvl w:val="0"/>
          <w:numId w:val="36"/>
        </w:numPr>
        <w:tabs>
          <w:tab w:val="left" w:pos="426"/>
        </w:tabs>
        <w:spacing w:line="456" w:lineRule="auto"/>
        <w:ind w:left="426" w:hanging="426"/>
        <w:jc w:val="both"/>
        <w:rPr>
          <w:color w:val="000000"/>
        </w:rPr>
      </w:pPr>
      <w:r w:rsidRPr="0052783D">
        <w:rPr>
          <w:color w:val="000000"/>
        </w:rPr>
        <w:t xml:space="preserve">Kemampuan untuk membeda-bedakan antara perbuatan yang baik dan yang buruk, yang sesuai hukum dan yang melawan hukum; </w:t>
      </w:r>
    </w:p>
    <w:p w:rsidR="00412149" w:rsidRPr="0052783D" w:rsidRDefault="00412149" w:rsidP="00412149">
      <w:pPr>
        <w:numPr>
          <w:ilvl w:val="0"/>
          <w:numId w:val="36"/>
        </w:numPr>
        <w:tabs>
          <w:tab w:val="left" w:pos="426"/>
        </w:tabs>
        <w:spacing w:line="456" w:lineRule="auto"/>
        <w:ind w:left="426" w:hanging="426"/>
        <w:jc w:val="both"/>
        <w:rPr>
          <w:color w:val="000000"/>
        </w:rPr>
      </w:pPr>
      <w:r w:rsidRPr="0052783D">
        <w:rPr>
          <w:color w:val="000000"/>
        </w:rPr>
        <w:lastRenderedPageBreak/>
        <w:t>Kemampuan untuk menentukan kehendaknya menurut keinsyafan tentang baik dan buruknya perbuatan tadi.</w:t>
      </w:r>
      <w:r w:rsidRPr="0052783D">
        <w:rPr>
          <w:rStyle w:val="FootnoteReference"/>
          <w:color w:val="000000"/>
        </w:rPr>
        <w:footnoteReference w:id="22"/>
      </w:r>
    </w:p>
    <w:p w:rsidR="00412149" w:rsidRPr="0052783D" w:rsidRDefault="00412149" w:rsidP="00412149">
      <w:pPr>
        <w:spacing w:line="456" w:lineRule="auto"/>
        <w:ind w:firstLine="720"/>
        <w:jc w:val="both"/>
        <w:rPr>
          <w:color w:val="000000"/>
        </w:rPr>
      </w:pPr>
      <w:r w:rsidRPr="0052783D">
        <w:rPr>
          <w:iCs/>
          <w:color w:val="000000"/>
        </w:rPr>
        <w:t>Faktor akal</w:t>
      </w:r>
      <w:r w:rsidRPr="0052783D">
        <w:rPr>
          <w:i/>
          <w:color w:val="000000"/>
        </w:rPr>
        <w:t>(intelektual factor)</w:t>
      </w:r>
      <w:r w:rsidRPr="0052783D">
        <w:rPr>
          <w:color w:val="000000"/>
        </w:rPr>
        <w:t xml:space="preserve"> yaitu dapat membeda-bedakan antara perbuatan yang diperbolehkan dan yang tidak. F</w:t>
      </w:r>
      <w:r w:rsidRPr="0052783D">
        <w:rPr>
          <w:iCs/>
          <w:color w:val="000000"/>
        </w:rPr>
        <w:t xml:space="preserve">aktor perasaan </w:t>
      </w:r>
      <w:r w:rsidRPr="0052783D">
        <w:rPr>
          <w:color w:val="000000"/>
        </w:rPr>
        <w:t xml:space="preserve">atau </w:t>
      </w:r>
      <w:r w:rsidRPr="0052783D">
        <w:rPr>
          <w:iCs/>
          <w:color w:val="000000"/>
        </w:rPr>
        <w:t>kehendak</w:t>
      </w:r>
      <w:r w:rsidRPr="0052783D">
        <w:rPr>
          <w:i/>
          <w:color w:val="000000"/>
        </w:rPr>
        <w:t xml:space="preserve">(volitional factor) </w:t>
      </w:r>
      <w:r w:rsidRPr="0052783D">
        <w:rPr>
          <w:color w:val="000000"/>
        </w:rPr>
        <w:t>yaitu dapat menyesuaikan tingkah lakunya dengan keinsyafan atas mana yang diperbolehkan dan mana yang tidak. Sesuai dengan yang tercantum dalam Pasal 44 ayat (1) KUHP yaitu:</w:t>
      </w:r>
    </w:p>
    <w:p w:rsidR="00412149" w:rsidRPr="0052783D" w:rsidRDefault="00412149" w:rsidP="00412149">
      <w:pPr>
        <w:numPr>
          <w:ilvl w:val="2"/>
          <w:numId w:val="32"/>
        </w:numPr>
        <w:tabs>
          <w:tab w:val="left" w:pos="1134"/>
          <w:tab w:val="left" w:pos="6480"/>
          <w:tab w:val="left" w:pos="7920"/>
        </w:tabs>
        <w:ind w:left="1134" w:hanging="426"/>
        <w:jc w:val="both"/>
        <w:rPr>
          <w:color w:val="000000"/>
        </w:rPr>
      </w:pPr>
      <w:r w:rsidRPr="0052783D">
        <w:rPr>
          <w:color w:val="000000"/>
        </w:rPr>
        <w:t>Barangsiapa melakukan perbuatan yang tidak dapat dipertanggungjawabkan kepadanya karena jiwanya cacat dalam pertumbuhan atau terganggu karena penyakit, tidak dipidana.</w:t>
      </w:r>
    </w:p>
    <w:p w:rsidR="00412149" w:rsidRPr="0052783D" w:rsidRDefault="00412149" w:rsidP="00412149">
      <w:pPr>
        <w:numPr>
          <w:ilvl w:val="2"/>
          <w:numId w:val="32"/>
        </w:numPr>
        <w:tabs>
          <w:tab w:val="left" w:pos="1134"/>
          <w:tab w:val="left" w:pos="7920"/>
        </w:tabs>
        <w:ind w:left="1134" w:hanging="426"/>
        <w:jc w:val="both"/>
        <w:rPr>
          <w:color w:val="000000"/>
        </w:rPr>
      </w:pPr>
      <w:r w:rsidRPr="0052783D">
        <w:rPr>
          <w:color w:val="000000"/>
        </w:rPr>
        <w:t>Jika ternyata perbuatan itu tidak dapat dipertanggung jawabkan kepada pelakunya karena pertumbuhan jiwanya yang cacat atau terganggu karena penyakit, maka hakim dapat memerintahkan supaya orang itu dimasukan ke rumah sakit jiwa, paling lama satu tahun sebagai waktu percobaan.</w:t>
      </w:r>
    </w:p>
    <w:p w:rsidR="00412149" w:rsidRPr="0052783D" w:rsidRDefault="00412149" w:rsidP="00412149">
      <w:pPr>
        <w:tabs>
          <w:tab w:val="left" w:pos="1134"/>
          <w:tab w:val="left" w:pos="7920"/>
        </w:tabs>
        <w:ind w:left="1134"/>
        <w:jc w:val="both"/>
        <w:rPr>
          <w:color w:val="000000"/>
        </w:rPr>
      </w:pPr>
    </w:p>
    <w:p w:rsidR="00412149" w:rsidRPr="0052783D" w:rsidRDefault="00412149" w:rsidP="00412149">
      <w:pPr>
        <w:spacing w:line="456" w:lineRule="auto"/>
        <w:ind w:firstLine="720"/>
        <w:jc w:val="both"/>
        <w:rPr>
          <w:color w:val="000000"/>
        </w:rPr>
      </w:pPr>
      <w:r w:rsidRPr="0052783D">
        <w:rPr>
          <w:color w:val="000000"/>
        </w:rPr>
        <w:t xml:space="preserve">Mengenai </w:t>
      </w:r>
      <w:r w:rsidRPr="0052783D">
        <w:rPr>
          <w:iCs/>
          <w:color w:val="000000"/>
        </w:rPr>
        <w:t>ketidakmampuan bertanggung jawab</w:t>
      </w:r>
      <w:r w:rsidRPr="0052783D">
        <w:rPr>
          <w:color w:val="000000"/>
        </w:rPr>
        <w:t>sebagai hal yang dapat menghapuskan pidana dapat ditempuh melalui tiga cara, yaitu:</w:t>
      </w:r>
    </w:p>
    <w:p w:rsidR="00412149" w:rsidRPr="0052783D" w:rsidRDefault="00412149" w:rsidP="00412149">
      <w:pPr>
        <w:numPr>
          <w:ilvl w:val="0"/>
          <w:numId w:val="35"/>
        </w:numPr>
        <w:spacing w:line="216" w:lineRule="auto"/>
        <w:ind w:left="1134"/>
        <w:jc w:val="both"/>
        <w:rPr>
          <w:color w:val="000000"/>
        </w:rPr>
      </w:pPr>
      <w:r w:rsidRPr="0052783D">
        <w:rPr>
          <w:color w:val="000000"/>
        </w:rPr>
        <w:t>Ditentukan sebab-sebab yang menghapuskan pemidanaan.</w:t>
      </w:r>
    </w:p>
    <w:p w:rsidR="00412149" w:rsidRPr="0052783D" w:rsidRDefault="00412149" w:rsidP="00412149">
      <w:pPr>
        <w:spacing w:line="216" w:lineRule="auto"/>
        <w:ind w:left="1134"/>
        <w:jc w:val="both"/>
        <w:rPr>
          <w:color w:val="000000"/>
        </w:rPr>
      </w:pPr>
      <w:r w:rsidRPr="0052783D">
        <w:rPr>
          <w:color w:val="000000"/>
        </w:rPr>
        <w:t xml:space="preserve">Menurut sistem ini, jika tabib </w:t>
      </w:r>
      <w:r w:rsidRPr="0052783D">
        <w:rPr>
          <w:i/>
          <w:color w:val="000000"/>
        </w:rPr>
        <w:t>(psychiater)</w:t>
      </w:r>
      <w:r w:rsidRPr="0052783D">
        <w:rPr>
          <w:color w:val="000000"/>
        </w:rPr>
        <w:t xml:space="preserve"> telah menyatakan bahwa terdakwa adalah gila </w:t>
      </w:r>
      <w:r w:rsidRPr="0052783D">
        <w:rPr>
          <w:i/>
          <w:color w:val="000000"/>
        </w:rPr>
        <w:t>(insane)</w:t>
      </w:r>
      <w:r w:rsidRPr="0052783D">
        <w:rPr>
          <w:color w:val="000000"/>
        </w:rPr>
        <w:t xml:space="preserve"> atau tak sehat pikirannya (</w:t>
      </w:r>
      <w:r w:rsidRPr="0052783D">
        <w:rPr>
          <w:i/>
          <w:color w:val="000000"/>
        </w:rPr>
        <w:t>unsound mind),</w:t>
      </w:r>
      <w:r w:rsidRPr="0052783D">
        <w:rPr>
          <w:color w:val="000000"/>
        </w:rPr>
        <w:t xml:space="preserve"> maka hakim tidak boleh menyatakan salah dan menjatuhkan pidana. Sistem ini dinamakan dengan sistem deskriptif (menyatakan). </w:t>
      </w:r>
    </w:p>
    <w:p w:rsidR="00412149" w:rsidRPr="0052783D" w:rsidRDefault="00412149" w:rsidP="00412149">
      <w:pPr>
        <w:numPr>
          <w:ilvl w:val="0"/>
          <w:numId w:val="35"/>
        </w:numPr>
        <w:spacing w:line="216" w:lineRule="auto"/>
        <w:ind w:left="1134"/>
        <w:jc w:val="both"/>
        <w:rPr>
          <w:color w:val="000000"/>
        </w:rPr>
      </w:pPr>
      <w:r w:rsidRPr="0052783D">
        <w:rPr>
          <w:color w:val="000000"/>
        </w:rPr>
        <w:t>Menyebutkan akibatnya saja; penyakitnya sendiri tidak ditentukan.</w:t>
      </w:r>
    </w:p>
    <w:p w:rsidR="00412149" w:rsidRPr="0052783D" w:rsidRDefault="00412149" w:rsidP="00412149">
      <w:pPr>
        <w:spacing w:line="216" w:lineRule="auto"/>
        <w:ind w:left="1134"/>
        <w:jc w:val="both"/>
        <w:rPr>
          <w:color w:val="000000"/>
        </w:rPr>
      </w:pPr>
      <w:r w:rsidRPr="0052783D">
        <w:rPr>
          <w:color w:val="000000"/>
        </w:rPr>
        <w:t>Di sini yang penting ialah, apakah dia mampu menginsyafi makna perbuatannya atau menginsyafi bahwa dia melakukan sesuatu yang tidak baik atau bertentangan dengan hukum. Perumusan ini luas sekali sehingga mungkin ada bahayanya. Sistem ini dinamakan normatif (mempernilai). Di sini hakimlah yang menentukan.</w:t>
      </w:r>
    </w:p>
    <w:p w:rsidR="00412149" w:rsidRPr="0052783D" w:rsidRDefault="00412149" w:rsidP="00412149">
      <w:pPr>
        <w:numPr>
          <w:ilvl w:val="0"/>
          <w:numId w:val="35"/>
        </w:numPr>
        <w:spacing w:line="216" w:lineRule="auto"/>
        <w:ind w:left="1134"/>
        <w:jc w:val="both"/>
        <w:rPr>
          <w:color w:val="000000"/>
        </w:rPr>
      </w:pPr>
      <w:r w:rsidRPr="0052783D">
        <w:rPr>
          <w:color w:val="000000"/>
        </w:rPr>
        <w:t>Gabungan dari 1 dan 2, yaitu menentukan sebab-sebab penyakit, dan jika penyakit itu harus sedemikian rupa akibatnya hingga dianggap tidak dapat dipertanggung jawabkan padanya (deskriptif normatif).</w:t>
      </w:r>
      <w:r w:rsidRPr="0052783D">
        <w:rPr>
          <w:rStyle w:val="FootnoteReference"/>
          <w:color w:val="000000"/>
        </w:rPr>
        <w:footnoteReference w:id="23"/>
      </w:r>
    </w:p>
    <w:p w:rsidR="00412149" w:rsidRPr="0052783D" w:rsidRDefault="00412149" w:rsidP="00412149">
      <w:pPr>
        <w:ind w:left="720"/>
        <w:jc w:val="both"/>
        <w:rPr>
          <w:color w:val="000000"/>
        </w:rPr>
      </w:pPr>
    </w:p>
    <w:p w:rsidR="00412149" w:rsidRPr="0052783D" w:rsidRDefault="00412149" w:rsidP="00412149">
      <w:pPr>
        <w:spacing w:line="480" w:lineRule="auto"/>
        <w:ind w:firstLine="720"/>
        <w:jc w:val="both"/>
        <w:rPr>
          <w:color w:val="000000"/>
        </w:rPr>
      </w:pPr>
      <w:r w:rsidRPr="0052783D">
        <w:rPr>
          <w:color w:val="000000"/>
        </w:rPr>
        <w:t xml:space="preserve">Menentukan mampu bertanggung jawab atau tidaknya pelaku dalam melakukan perbuatan pidana diperlukan adanya kerjasama antara dokter/psikiater </w:t>
      </w:r>
      <w:r w:rsidRPr="0052783D">
        <w:rPr>
          <w:color w:val="000000"/>
        </w:rPr>
        <w:lastRenderedPageBreak/>
        <w:t>dan hakim, karena sudah menjadi tugas dan wewenang dokter/psikiater dalam menentukan ada atau tidaknya sebab-sebab ketidakmampuan bertanggung jawab, sedangkan hakim yang menilai apakah karena sebab-sebab tersebut terdakwa mampu bertanggung jawab atau tidak.</w:t>
      </w:r>
    </w:p>
    <w:p w:rsidR="00412149" w:rsidRPr="0052783D" w:rsidRDefault="00412149" w:rsidP="00412149">
      <w:pPr>
        <w:spacing w:line="480" w:lineRule="auto"/>
        <w:ind w:firstLine="720"/>
        <w:jc w:val="both"/>
        <w:rPr>
          <w:color w:val="000000"/>
        </w:rPr>
      </w:pPr>
      <w:r w:rsidRPr="0052783D">
        <w:rPr>
          <w:color w:val="000000"/>
        </w:rPr>
        <w:t>Unsur kesalahan merupakan unsur utama dalam pertanggungjawaban pidana. Dalam pengertian perbuatan tindak pidana tidak termasuk hal pertanggungjawaban pidana. Perbuatan pidana hanya menunjuk kepada apakah perbuatan tersebut melawan hukum atau dilarang oleh hukum, mengenai apakah seseorang yang melakukan tindak pidana tersebut kemudian dipidana tergantung kepada apakah seseorang yang melakukan perbuatan pidana tersebut memiliki unsur kesalahan atau tidak.</w:t>
      </w:r>
    </w:p>
    <w:p w:rsidR="00412149" w:rsidRPr="0052783D" w:rsidRDefault="00412149" w:rsidP="00412149">
      <w:pPr>
        <w:spacing w:line="480" w:lineRule="auto"/>
        <w:ind w:firstLine="720"/>
        <w:jc w:val="both"/>
        <w:rPr>
          <w:color w:val="000000"/>
        </w:rPr>
      </w:pPr>
      <w:r w:rsidRPr="0052783D">
        <w:rPr>
          <w:color w:val="000000"/>
        </w:rPr>
        <w:t xml:space="preserve">Pertanggungjawaban pidana dala comman law system selalu dikaitkan dengan </w:t>
      </w:r>
      <w:r w:rsidRPr="0052783D">
        <w:rPr>
          <w:i/>
          <w:iCs/>
          <w:color w:val="000000"/>
        </w:rPr>
        <w:t xml:space="preserve">mens rea </w:t>
      </w:r>
      <w:r w:rsidRPr="0052783D">
        <w:rPr>
          <w:color w:val="000000"/>
        </w:rPr>
        <w:t xml:space="preserve">dam </w:t>
      </w:r>
      <w:r w:rsidRPr="0052783D">
        <w:rPr>
          <w:i/>
          <w:iCs/>
          <w:color w:val="000000"/>
        </w:rPr>
        <w:t>pemidanaan (punishment</w:t>
      </w:r>
      <w:r w:rsidRPr="0052783D">
        <w:rPr>
          <w:color w:val="000000"/>
        </w:rPr>
        <w:t>). Pertanggungjawaban pidana memiliki hubungan dengan kemasyrakatan yaitu hubungan pertanggungjawaban dengan masyarakat sebagi fungus, fungsi disni pertanggungjawaban memiliki daya penjatuhan pidana sehingga pertanggubgjawaban disini memiliki fungsi control sisosial sehingga didalam masyarakat tidak terjadi tindak pidana.</w:t>
      </w:r>
    </w:p>
    <w:p w:rsidR="00412149" w:rsidRPr="0052783D" w:rsidRDefault="00412149" w:rsidP="00412149">
      <w:pPr>
        <w:pStyle w:val="BodyTextIndent2"/>
        <w:spacing w:line="468" w:lineRule="auto"/>
        <w:ind w:left="0" w:firstLine="720"/>
        <w:rPr>
          <w:color w:val="000000"/>
        </w:rPr>
      </w:pPr>
      <w:r w:rsidRPr="0052783D">
        <w:rPr>
          <w:color w:val="000000"/>
        </w:rPr>
        <w:t xml:space="preserve">Selain hal itu pertanggungjawaban pidana dalam common law system berhubungan dengan </w:t>
      </w:r>
      <w:r w:rsidRPr="0052783D">
        <w:rPr>
          <w:i/>
          <w:color w:val="000000"/>
        </w:rPr>
        <w:t>mens rea</w:t>
      </w:r>
      <w:r w:rsidRPr="0052783D">
        <w:rPr>
          <w:color w:val="000000"/>
        </w:rPr>
        <w:t>, bahwa pertanggungjawban pidana dilandasi oleh keadaan suatu mental yaitu sebagi suatu pikiran yang salah (</w:t>
      </w:r>
      <w:r w:rsidRPr="0052783D">
        <w:rPr>
          <w:i/>
          <w:iCs/>
          <w:color w:val="000000"/>
        </w:rPr>
        <w:t>a guilty mind</w:t>
      </w:r>
      <w:r w:rsidRPr="0052783D">
        <w:rPr>
          <w:color w:val="000000"/>
        </w:rPr>
        <w:t xml:space="preserve">). </w:t>
      </w:r>
      <w:r w:rsidRPr="0052783D">
        <w:rPr>
          <w:i/>
          <w:iCs/>
          <w:color w:val="000000"/>
        </w:rPr>
        <w:t xml:space="preserve">Guilty mind </w:t>
      </w:r>
      <w:r w:rsidRPr="0052783D">
        <w:rPr>
          <w:color w:val="000000"/>
        </w:rPr>
        <w:t xml:space="preserve">mengandung arti sebagai suatu kesalahan yang subjektif , yaitu seseorang dinyatakan bersalah karena pada diri pembuat dinilai memiliki pikiran yang salah, sehingga orang tersebut harus bertanggungjawab. Adanya pertanggungjawabn </w:t>
      </w:r>
      <w:r w:rsidRPr="0052783D">
        <w:rPr>
          <w:color w:val="000000"/>
        </w:rPr>
        <w:lastRenderedPageBreak/>
        <w:t xml:space="preserve">pidana dibebankan kepada pembuat maka pembuat pidana harus dipidana. Tidak adanya pikiran yang salah </w:t>
      </w:r>
      <w:r w:rsidRPr="0052783D">
        <w:rPr>
          <w:i/>
          <w:iCs/>
          <w:color w:val="000000"/>
        </w:rPr>
        <w:t xml:space="preserve">(no guilty mind) </w:t>
      </w:r>
      <w:r w:rsidRPr="0052783D">
        <w:rPr>
          <w:color w:val="000000"/>
        </w:rPr>
        <w:t>berarti tidak ada pertanggungjawaban pidana dan berakibat tidak dipidanya pembuat.</w:t>
      </w:r>
    </w:p>
    <w:p w:rsidR="00412149" w:rsidRPr="0052783D" w:rsidRDefault="00412149" w:rsidP="00412149">
      <w:pPr>
        <w:pStyle w:val="BodyTextIndent2"/>
        <w:spacing w:line="468" w:lineRule="auto"/>
        <w:ind w:left="0" w:firstLine="720"/>
        <w:rPr>
          <w:color w:val="000000"/>
        </w:rPr>
      </w:pPr>
      <w:r w:rsidRPr="0052783D">
        <w:rPr>
          <w:color w:val="000000"/>
        </w:rPr>
        <w:t xml:space="preserve">Kesalahan sebagai bagian </w:t>
      </w:r>
      <w:r w:rsidRPr="0052783D">
        <w:rPr>
          <w:i/>
          <w:color w:val="000000"/>
        </w:rPr>
        <w:t>mens rea</w:t>
      </w:r>
      <w:r w:rsidRPr="0052783D">
        <w:rPr>
          <w:color w:val="000000"/>
        </w:rPr>
        <w:t xml:space="preserve"> juga diartikan sebagai kesalahan karena melanggar aturan, atau melanggar tata peraturan perundang-undangan. Setiap orang yang melakukan pelanggaran terhadap undang-undang maka orang tersebut wajib bertanggungjawab atas apa yang telah dilakukan. Kesalahan sebagai unsur pertanggungjawaban dalam pandangan ini menjadikan suatu jaminan bagi seseorang dan menjadikan kontrol terhadap kebebasan seseorang terhadap orang lain. Adanya jaminan ini menjadikan seseorang akan terlindung dari perbuatan orang lain yang melakukan pelanggaran hukum, dan sebagi suatu control karena setiap orang yang melakukan pelanggaran hukum pidana dibebani pertanggungjawaban pidana.</w:t>
      </w:r>
      <w:r w:rsidRPr="0052783D">
        <w:rPr>
          <w:rStyle w:val="FootnoteReference"/>
          <w:color w:val="000000"/>
          <w:lang w:eastAsia="id-ID"/>
        </w:rPr>
        <w:footnoteReference w:id="24"/>
      </w:r>
    </w:p>
    <w:p w:rsidR="00412149" w:rsidRPr="0052783D" w:rsidRDefault="00412149" w:rsidP="00412149">
      <w:pPr>
        <w:pStyle w:val="BodyTextIndent2"/>
        <w:spacing w:line="468" w:lineRule="auto"/>
        <w:ind w:left="0" w:firstLine="720"/>
        <w:rPr>
          <w:color w:val="000000"/>
        </w:rPr>
      </w:pPr>
      <w:r w:rsidRPr="0052783D">
        <w:rPr>
          <w:color w:val="000000"/>
        </w:rPr>
        <w:t>KUHP tidak menyebutkan secara jelas mengenai system pertanggungjawaban pidana yang dianut. Beberapa Pasal dalam KUHP sering menyebutkan kesalahan baik berupa kesengajaan ataupun kealpaan, namun sayangnya mengenai pengertian kesalahan kesengjaan maupun kealpaan tidak dijelaskan pengertiannya oleh Undang-undang. tidak adanya penjelasan lebih lanjut mengenai kesalahan kesengajaan maupun kealpaan.</w:t>
      </w:r>
    </w:p>
    <w:p w:rsidR="00412149" w:rsidRPr="0052783D" w:rsidRDefault="00412149" w:rsidP="00412149">
      <w:pPr>
        <w:pStyle w:val="BodyTextIndent2"/>
        <w:spacing w:line="504" w:lineRule="auto"/>
        <w:ind w:left="0" w:firstLine="720"/>
        <w:rPr>
          <w:color w:val="000000"/>
        </w:rPr>
      </w:pPr>
      <w:r w:rsidRPr="0052783D">
        <w:rPr>
          <w:color w:val="000000"/>
        </w:rPr>
        <w:t xml:space="preserve">Berdasarkan doktrin dan pendapat para ahli hukum mengenai pasal-pasal yang ada dalam KUHP dapat simpulakan bahwa dalam pasal-pasal tersebut mengandung unsur-unsur kesalahan kesengajaan maupun kealpaan yang harus </w:t>
      </w:r>
      <w:r w:rsidRPr="0052783D">
        <w:rPr>
          <w:color w:val="000000"/>
        </w:rPr>
        <w:lastRenderedPageBreak/>
        <w:t>dibuktikan oleh pengadilan, sehingga untuk memidanakan pelaku yang melakukan perbuatan tindak pidana, selain telah terbukti melakukan tindak pidana maka mengenai unsur kesalahan yang disengaja ataupun atau kealpaan juga harus dibuktikan.</w:t>
      </w:r>
      <w:r w:rsidRPr="0052783D">
        <w:rPr>
          <w:rStyle w:val="FootnoteReference"/>
          <w:color w:val="000000"/>
        </w:rPr>
        <w:footnoteReference w:id="25"/>
      </w:r>
      <w:r w:rsidRPr="0052783D">
        <w:rPr>
          <w:color w:val="000000"/>
        </w:rPr>
        <w:t xml:space="preserve"> Artinya dalam hal pertanggungjawaban pidana ini tidak terlepas dari peranan hakim untuk membuktikan mengenai unsur-unsur pertanggung jawaban pidana itu sendiri sebab apabila unusur-unsur tersebut tidak dapat dibuktikan kebenarannya makan seseornag tidak dapat dimintakan pertanggungjawaban.</w:t>
      </w:r>
      <w:r w:rsidRPr="0052783D">
        <w:rPr>
          <w:rStyle w:val="FootnoteReference"/>
          <w:color w:val="000000"/>
        </w:rPr>
        <w:footnoteReference w:id="26"/>
      </w:r>
    </w:p>
    <w:p w:rsidR="00412149" w:rsidRPr="0052783D" w:rsidRDefault="00412149" w:rsidP="00412149">
      <w:pPr>
        <w:pStyle w:val="BodyTextIndent2"/>
        <w:ind w:left="0" w:firstLine="720"/>
        <w:rPr>
          <w:color w:val="000000"/>
        </w:rPr>
      </w:pPr>
      <w:r w:rsidRPr="0052783D">
        <w:rPr>
          <w:color w:val="000000"/>
        </w:rPr>
        <w:t>Pertanggungjawaban adalah bentuk untuk menenutukan apakah seseorang akan dilepas atau dipidana atas tindak pidana yang telah terjadi, dalam hal ini untk mengatakan bahwa seseornag memiliki aspek pertanggung jawaban pidana maka dalam hal itu terdapat beberapa unsur yang harus terpenuhi untuk menyatakan bahwa seseornag tersebut dapat dimintakan pertanggungjawaban. Unsur-unsur tersebut ialah:</w:t>
      </w:r>
    </w:p>
    <w:p w:rsidR="00412149" w:rsidRPr="0052783D" w:rsidRDefault="00412149" w:rsidP="00412149">
      <w:pPr>
        <w:numPr>
          <w:ilvl w:val="4"/>
          <w:numId w:val="13"/>
        </w:numPr>
        <w:tabs>
          <w:tab w:val="clear" w:pos="3600"/>
          <w:tab w:val="num" w:pos="360"/>
        </w:tabs>
        <w:autoSpaceDE w:val="0"/>
        <w:autoSpaceDN w:val="0"/>
        <w:adjustRightInd w:val="0"/>
        <w:spacing w:line="480" w:lineRule="auto"/>
        <w:ind w:left="360"/>
        <w:rPr>
          <w:color w:val="000000"/>
        </w:rPr>
      </w:pPr>
      <w:r w:rsidRPr="0052783D">
        <w:rPr>
          <w:color w:val="000000"/>
        </w:rPr>
        <w:t xml:space="preserve">Adanya suatu tindak pidana </w:t>
      </w:r>
    </w:p>
    <w:p w:rsidR="00412149" w:rsidRPr="0052783D" w:rsidRDefault="00412149" w:rsidP="00412149">
      <w:pPr>
        <w:pStyle w:val="BodyTextIndent2"/>
        <w:ind w:left="0" w:firstLine="720"/>
        <w:rPr>
          <w:color w:val="000000"/>
        </w:rPr>
      </w:pPr>
      <w:r w:rsidRPr="0052783D">
        <w:rPr>
          <w:color w:val="000000"/>
        </w:rPr>
        <w:t xml:space="preserve">Unsur perbuatan merupakan salah satu unsur yang pokok pertanggungjawaban pidana, karena seseornag tidak dapat dipidana apabila tidak melakukan suatu perbuatan dimana perbuatan yang dilakukan merupan perbuatan yang dilarang oleh undang-undang hal itu sesuai dengan asas legalitas yang kita anut. Asas legalitas </w:t>
      </w:r>
      <w:r w:rsidRPr="0052783D">
        <w:rPr>
          <w:i/>
          <w:iCs/>
          <w:color w:val="000000"/>
        </w:rPr>
        <w:t xml:space="preserve">nullum delictum nulla poena sine praevia lege poenali </w:t>
      </w:r>
      <w:r w:rsidRPr="0052783D">
        <w:rPr>
          <w:color w:val="000000"/>
        </w:rPr>
        <w:t xml:space="preserve">artinya </w:t>
      </w:r>
      <w:r w:rsidRPr="0052783D">
        <w:rPr>
          <w:color w:val="000000"/>
        </w:rPr>
        <w:lastRenderedPageBreak/>
        <w:t>tidak dipidana suatu perbuatan apabila tidak ada Undnag-Undang atau aturan yang mengatur mengenai larangan perbuatan tersebut.</w:t>
      </w:r>
      <w:r w:rsidRPr="0052783D">
        <w:rPr>
          <w:rStyle w:val="FootnoteReference"/>
          <w:color w:val="000000"/>
        </w:rPr>
        <w:footnoteReference w:id="27"/>
      </w:r>
    </w:p>
    <w:p w:rsidR="00412149" w:rsidRPr="0052783D" w:rsidRDefault="00412149" w:rsidP="00412149">
      <w:pPr>
        <w:pStyle w:val="BodyTextIndent2"/>
        <w:spacing w:line="456" w:lineRule="auto"/>
        <w:ind w:left="0" w:firstLine="720"/>
        <w:rPr>
          <w:color w:val="000000"/>
        </w:rPr>
      </w:pPr>
      <w:r w:rsidRPr="0052783D">
        <w:rPr>
          <w:color w:val="000000"/>
        </w:rPr>
        <w:t xml:space="preserve">Hukum pidana Indonesia menghendaki perbuatan yang konkret atau perbuatan yang tampak, artinya hukum menghednaki perbuatan yang tampak kelaur, karena didalm hukum tidak dapat dipidana seseorang karena atas dasar keadaaan batin seseorang, hal ini asas </w:t>
      </w:r>
      <w:r w:rsidRPr="0052783D">
        <w:rPr>
          <w:i/>
          <w:iCs/>
          <w:color w:val="000000"/>
        </w:rPr>
        <w:t>cogitationis poenam nemo patitur</w:t>
      </w:r>
      <w:r w:rsidRPr="0052783D">
        <w:rPr>
          <w:color w:val="000000"/>
        </w:rPr>
        <w:t>, tidak seorang pun dipidana atas yang ada dalm pikirannya saja.</w:t>
      </w:r>
      <w:r w:rsidRPr="0052783D">
        <w:rPr>
          <w:rStyle w:val="FootnoteReference"/>
          <w:color w:val="000000"/>
        </w:rPr>
        <w:footnoteReference w:id="28"/>
      </w:r>
    </w:p>
    <w:p w:rsidR="00412149" w:rsidRPr="0052783D" w:rsidRDefault="00412149" w:rsidP="00412149">
      <w:pPr>
        <w:numPr>
          <w:ilvl w:val="4"/>
          <w:numId w:val="13"/>
        </w:numPr>
        <w:tabs>
          <w:tab w:val="clear" w:pos="3600"/>
          <w:tab w:val="num" w:pos="360"/>
        </w:tabs>
        <w:autoSpaceDE w:val="0"/>
        <w:autoSpaceDN w:val="0"/>
        <w:adjustRightInd w:val="0"/>
        <w:spacing w:line="480" w:lineRule="auto"/>
        <w:ind w:left="360"/>
        <w:rPr>
          <w:color w:val="000000"/>
        </w:rPr>
      </w:pPr>
      <w:r w:rsidRPr="0052783D">
        <w:rPr>
          <w:color w:val="000000"/>
        </w:rPr>
        <w:t xml:space="preserve">Unsur kesalahan </w:t>
      </w:r>
    </w:p>
    <w:p w:rsidR="00412149" w:rsidRPr="0052783D" w:rsidRDefault="00412149" w:rsidP="00412149">
      <w:pPr>
        <w:pStyle w:val="BodyTextIndent2"/>
        <w:ind w:left="0" w:firstLine="720"/>
        <w:rPr>
          <w:color w:val="000000"/>
        </w:rPr>
      </w:pPr>
      <w:r w:rsidRPr="0052783D">
        <w:rPr>
          <w:color w:val="000000"/>
        </w:rPr>
        <w:t xml:space="preserve">Kesalahan yang dalam bahasa asing disebut dengan </w:t>
      </w:r>
      <w:r w:rsidRPr="0052783D">
        <w:rPr>
          <w:i/>
          <w:iCs/>
          <w:color w:val="000000"/>
        </w:rPr>
        <w:t xml:space="preserve">schuld </w:t>
      </w:r>
      <w:r w:rsidRPr="0052783D">
        <w:rPr>
          <w:color w:val="000000"/>
        </w:rPr>
        <w:t>adalah keadaan psikologi seseorang yang berhubungan dengan perbuatan yang ia lakukan yang sedemikian rupa sehingga berdasarkan keadaan tersebut perbuatan tersebut pelaku dapat dicela atas perbuatannya.</w:t>
      </w:r>
      <w:r w:rsidRPr="0052783D">
        <w:rPr>
          <w:rStyle w:val="FootnoteReference"/>
          <w:color w:val="000000"/>
        </w:rPr>
        <w:footnoteReference w:id="29"/>
      </w:r>
      <w:r w:rsidRPr="0052783D">
        <w:rPr>
          <w:color w:val="000000"/>
        </w:rPr>
        <w:t xml:space="preserve">  Pengertian kesalahan di sini digunakan dalam arti luas. Kesalahan dalam KUHP digunakan dalam arti sempit yaitu dalam arti kealpaan sebagaimana dapat dilihat dalam rumusan bahasa Belanda yang berada dalam Pasal 359 dan 360.</w:t>
      </w:r>
      <w:r w:rsidRPr="0052783D">
        <w:rPr>
          <w:rStyle w:val="FootnoteReference"/>
          <w:color w:val="000000"/>
        </w:rPr>
        <w:footnoteReference w:id="30"/>
      </w:r>
    </w:p>
    <w:p w:rsidR="00412149" w:rsidRPr="0052783D" w:rsidRDefault="00412149" w:rsidP="00412149">
      <w:pPr>
        <w:pStyle w:val="BodyTextIndent2"/>
        <w:spacing w:line="456" w:lineRule="auto"/>
        <w:ind w:left="0" w:firstLine="720"/>
        <w:rPr>
          <w:color w:val="000000"/>
        </w:rPr>
      </w:pPr>
      <w:r w:rsidRPr="0052783D">
        <w:rPr>
          <w:color w:val="000000"/>
        </w:rPr>
        <w:t xml:space="preserve">Istilah kesalahan dapat digunakan dalam arti psikologi maupun dalam arti normatif. Kesalahan psikologis adalah kejahatan yang sesungguhnya dari seseorang, kesalahan psikologis ini adalah kesalahan yang ada dalm diri seseorang, kesalahn mengenai apa yang orang itu pikirkan dan batinya rasakan, </w:t>
      </w:r>
      <w:r w:rsidRPr="0052783D">
        <w:rPr>
          <w:color w:val="000000"/>
        </w:rPr>
        <w:lastRenderedPageBreak/>
        <w:t>kesalahan psikologis ini sulit untuk dibuktikan karena bentuk nya tidak real, kesalahan psikologis susah dibuktikan karena wujudnya tidak dapat diketahui.</w:t>
      </w:r>
      <w:r w:rsidRPr="0052783D">
        <w:rPr>
          <w:rStyle w:val="FootnoteReference"/>
          <w:color w:val="000000"/>
        </w:rPr>
        <w:footnoteReference w:id="31"/>
      </w:r>
    </w:p>
    <w:p w:rsidR="00412149" w:rsidRPr="0052783D" w:rsidRDefault="00412149" w:rsidP="00412149">
      <w:pPr>
        <w:pStyle w:val="BodyTextIndent2"/>
        <w:ind w:left="0" w:firstLine="720"/>
        <w:rPr>
          <w:color w:val="000000"/>
        </w:rPr>
      </w:pPr>
      <w:r w:rsidRPr="0052783D">
        <w:rPr>
          <w:color w:val="000000"/>
        </w:rPr>
        <w:t xml:space="preserve"> Kesalahan dalam hukum pidana di Indonesia sendiri yang digunakan adalah kesalahan dalam arti normatif. Kesalah normatif adalah kesalahan adalah kesalahan dari sudut pandang orang lain mengenai suatu perbuatan seseornag. Kesalah normatif merupakan kesalahan yang dipandang dari sudut norma-norma hukum pidana, yaitu kesalahan kesengajaan dan kesalahan kealpaan. Dari suatu perbuatan yang telah terjadi maka orang lain akan menilai menurut hukum yang berlaku apakah terhadap perbuatan tersebut terdapat kesalah baik disengaja maupun karena suatu kesalahan kealpaan.</w:t>
      </w:r>
      <w:r w:rsidRPr="0052783D">
        <w:rPr>
          <w:rStyle w:val="FootnoteReference"/>
          <w:color w:val="000000"/>
        </w:rPr>
        <w:footnoteReference w:id="32"/>
      </w:r>
    </w:p>
    <w:p w:rsidR="00412149" w:rsidRPr="0052783D" w:rsidRDefault="00412149" w:rsidP="00412149">
      <w:pPr>
        <w:pStyle w:val="BodyTextIndent2"/>
        <w:numPr>
          <w:ilvl w:val="4"/>
          <w:numId w:val="33"/>
        </w:numPr>
        <w:spacing w:after="0"/>
        <w:ind w:left="360"/>
        <w:jc w:val="both"/>
        <w:rPr>
          <w:color w:val="000000"/>
        </w:rPr>
      </w:pPr>
      <w:r w:rsidRPr="0052783D">
        <w:rPr>
          <w:color w:val="000000"/>
        </w:rPr>
        <w:t>Kesengajaan</w:t>
      </w:r>
    </w:p>
    <w:p w:rsidR="00412149" w:rsidRPr="0052783D" w:rsidRDefault="00412149" w:rsidP="00412149">
      <w:pPr>
        <w:autoSpaceDE w:val="0"/>
        <w:autoSpaceDN w:val="0"/>
        <w:adjustRightInd w:val="0"/>
        <w:spacing w:line="456" w:lineRule="auto"/>
        <w:ind w:firstLine="720"/>
        <w:jc w:val="both"/>
        <w:rPr>
          <w:color w:val="000000"/>
        </w:rPr>
      </w:pPr>
      <w:r w:rsidRPr="0052783D">
        <w:rPr>
          <w:color w:val="000000"/>
        </w:rPr>
        <w:t xml:space="preserve">Sengaja ialah kemauan untuk melakukan atau tidak melakukan perbuatan-perbuatan yang dilarang atau diperintahkan oleh undang-undang. dalam </w:t>
      </w:r>
      <w:r w:rsidRPr="0052783D">
        <w:rPr>
          <w:i/>
          <w:iCs/>
          <w:color w:val="000000"/>
        </w:rPr>
        <w:t xml:space="preserve">Memorie van Toelichting </w:t>
      </w:r>
      <w:r w:rsidRPr="0052783D">
        <w:rPr>
          <w:color w:val="000000"/>
        </w:rPr>
        <w:t xml:space="preserve">(MvT) Menteri Kehakiman sewaktu pengajuan </w:t>
      </w:r>
      <w:r w:rsidRPr="0052783D">
        <w:rPr>
          <w:i/>
          <w:iCs/>
          <w:color w:val="000000"/>
        </w:rPr>
        <w:t xml:space="preserve">Criminiel Wetboek </w:t>
      </w:r>
      <w:r w:rsidRPr="0052783D">
        <w:rPr>
          <w:color w:val="000000"/>
        </w:rPr>
        <w:t>tahun 1881 (yang menjadi Kitab Undang-Undang Hukum Pidana Indonesia tahun 1915), dijelaskan : sengaja diartikan dengan sadar dari kehendak melakukan suatu kejahatan tertentu.</w:t>
      </w:r>
      <w:r w:rsidRPr="0052783D">
        <w:rPr>
          <w:rStyle w:val="FootnoteReference"/>
          <w:color w:val="000000"/>
        </w:rPr>
        <w:footnoteReference w:id="33"/>
      </w:r>
    </w:p>
    <w:p w:rsidR="00412149" w:rsidRPr="0052783D" w:rsidRDefault="00412149" w:rsidP="00412149">
      <w:pPr>
        <w:autoSpaceDE w:val="0"/>
        <w:autoSpaceDN w:val="0"/>
        <w:adjustRightInd w:val="0"/>
        <w:spacing w:line="456" w:lineRule="auto"/>
        <w:ind w:firstLine="720"/>
        <w:jc w:val="both"/>
      </w:pPr>
      <w:r w:rsidRPr="0052783D">
        <w:t xml:space="preserve">Beberapa sarjana merumuskan </w:t>
      </w:r>
      <w:r w:rsidRPr="0052783D">
        <w:rPr>
          <w:i/>
          <w:iCs/>
        </w:rPr>
        <w:t xml:space="preserve">de will </w:t>
      </w:r>
      <w:r w:rsidRPr="0052783D">
        <w:t xml:space="preserve">sebagai keinginan, kemauan, kehendak, dan perbuatan merupakan pelaksanaan dari kehendak. </w:t>
      </w:r>
      <w:r w:rsidRPr="0052783D">
        <w:rPr>
          <w:i/>
          <w:iCs/>
        </w:rPr>
        <w:t xml:space="preserve">de will </w:t>
      </w:r>
      <w:r w:rsidRPr="0052783D">
        <w:t xml:space="preserve">(kehendak) dapat ditujukan terhadap perbuatan yang dilarang dan akibat yang dilarang. Ada dua teori yang berkaitan dengan pengertian “sengaja”, yaitu teori </w:t>
      </w:r>
      <w:r w:rsidRPr="0052783D">
        <w:lastRenderedPageBreak/>
        <w:t>kehendak dan teori pengetahuan atau membayangkan.</w:t>
      </w:r>
      <w:r w:rsidRPr="0052783D">
        <w:rPr>
          <w:rStyle w:val="FootnoteReference"/>
        </w:rPr>
        <w:footnoteReference w:id="34"/>
      </w:r>
      <w:r w:rsidRPr="0052783D">
        <w:t xml:space="preserve"> Menurut teori kehendak, sengaja adalah kehendak untuk mewujudkan unsur-unsur delik dalam rumusan undang-undang. Sebagai contoh, A mengarahkan pistol kepada B dan A menembak mati B; A adalah sengaja apabila A benar-benar menghendaki kematian B.</w:t>
      </w:r>
    </w:p>
    <w:p w:rsidR="00412149" w:rsidRPr="0052783D" w:rsidRDefault="00412149" w:rsidP="00412149">
      <w:pPr>
        <w:autoSpaceDE w:val="0"/>
        <w:autoSpaceDN w:val="0"/>
        <w:adjustRightInd w:val="0"/>
        <w:spacing w:line="480" w:lineRule="auto"/>
        <w:ind w:firstLine="720"/>
        <w:jc w:val="both"/>
      </w:pPr>
      <w:r w:rsidRPr="0052783D">
        <w:t>Kesengajan telah berkembang dalam yurisprudensi dan doktrin sehingga umumnya telah diterima beberapa bentuk kesengajaan, yaitu :</w:t>
      </w:r>
    </w:p>
    <w:p w:rsidR="00412149" w:rsidRPr="0052783D" w:rsidRDefault="00412149" w:rsidP="00412149">
      <w:pPr>
        <w:numPr>
          <w:ilvl w:val="3"/>
          <w:numId w:val="32"/>
        </w:numPr>
        <w:autoSpaceDE w:val="0"/>
        <w:autoSpaceDN w:val="0"/>
        <w:adjustRightInd w:val="0"/>
        <w:spacing w:line="480" w:lineRule="auto"/>
        <w:ind w:left="360"/>
        <w:rPr>
          <w:color w:val="000000"/>
        </w:rPr>
      </w:pPr>
      <w:r w:rsidRPr="0052783D">
        <w:rPr>
          <w:color w:val="000000"/>
        </w:rPr>
        <w:t>Sengaja sebagai maksud</w:t>
      </w:r>
    </w:p>
    <w:p w:rsidR="00412149" w:rsidRPr="0052783D" w:rsidRDefault="00412149" w:rsidP="00412149">
      <w:pPr>
        <w:autoSpaceDE w:val="0"/>
        <w:autoSpaceDN w:val="0"/>
        <w:adjustRightInd w:val="0"/>
        <w:spacing w:line="480" w:lineRule="auto"/>
        <w:ind w:firstLine="720"/>
        <w:jc w:val="both"/>
      </w:pPr>
      <w:r w:rsidRPr="0052783D">
        <w:t xml:space="preserve">Sengaja sebagai maksud dalam kejahatan bentuk ini pelaku benar-benar menghendaki </w:t>
      </w:r>
      <w:r w:rsidRPr="0052783D">
        <w:rPr>
          <w:i/>
          <w:iCs/>
        </w:rPr>
        <w:t xml:space="preserve">(willens) </w:t>
      </w:r>
      <w:r w:rsidRPr="0052783D">
        <w:t xml:space="preserve">dan mengetahui </w:t>
      </w:r>
      <w:r w:rsidRPr="0052783D">
        <w:rPr>
          <w:i/>
          <w:iCs/>
        </w:rPr>
        <w:t xml:space="preserve">(wetens) </w:t>
      </w:r>
      <w:r w:rsidRPr="0052783D">
        <w:t>atas perbuatan dan akibat dari perbuatan yang pelaku perbuatan. Diberi contoh A merasa dipermalukan oleh B, oleh karena itu A memiliki dendam khusus terhadap B, sehingga A memiliki rencana untuk mencelakai B, suatu hati A membawa sebilah pisau dan menikam B, menyebabkan B tewas, maka perbuatan A tersebut dapat dikatakan adalah perbuatan yang benar-benar ia kehendaki. Matinya B akibat tikaman pisau A juga dikehndaki olehnya.</w:t>
      </w:r>
    </w:p>
    <w:p w:rsidR="00412149" w:rsidRPr="0052783D" w:rsidRDefault="00412149" w:rsidP="00412149">
      <w:pPr>
        <w:autoSpaceDE w:val="0"/>
        <w:autoSpaceDN w:val="0"/>
        <w:adjustRightInd w:val="0"/>
        <w:spacing w:line="480" w:lineRule="auto"/>
        <w:ind w:firstLine="720"/>
        <w:jc w:val="both"/>
        <w:rPr>
          <w:color w:val="000000"/>
        </w:rPr>
      </w:pPr>
      <w:r w:rsidRPr="0052783D">
        <w:t xml:space="preserve">Hal mengetahui dan menghendaki ini harus dilihat dari sudut pandang kesalahan normatif, yaitu berdasarkan peristiwa-peristiwa konkret orang-orang akan menilai apakah perbuuatan tersebut memang dikehendaki dan diketahui oleh pelakunya. Kesalahan dengan kesengajaan sebagai maksud sipelaku dapat dipertanggungjawabkan, kesangjaan sebagi maksud ini adalah bentuk yang mudah dimengerti oleh khalayak masyarakat. Apabila kesengajaan dengan maksud ini ada pada suatu tindak pidana dimana tidak ada yang menyangkal maka pelaku </w:t>
      </w:r>
      <w:r w:rsidRPr="0052783D">
        <w:lastRenderedPageBreak/>
        <w:t>pantas dikenakan hukuman pidana yang lebih berat apabila dapat dibuktikan bahwa dalm perbuatan yang dilakukan oleh pelaku benar bear suatu perbuataan yang disengaja dengan maksud, dapat dikatan sipelaku benar-benarmenghendaki dan ingin mencapai akibat yang menjadi pokok alasan diadakannya ancaman hukum pidana.</w:t>
      </w:r>
    </w:p>
    <w:p w:rsidR="00412149" w:rsidRPr="0052783D" w:rsidRDefault="00412149" w:rsidP="00412149">
      <w:pPr>
        <w:numPr>
          <w:ilvl w:val="3"/>
          <w:numId w:val="32"/>
        </w:numPr>
        <w:autoSpaceDE w:val="0"/>
        <w:autoSpaceDN w:val="0"/>
        <w:adjustRightInd w:val="0"/>
        <w:spacing w:line="456" w:lineRule="auto"/>
        <w:ind w:left="360"/>
        <w:rPr>
          <w:color w:val="000000"/>
        </w:rPr>
      </w:pPr>
      <w:r w:rsidRPr="0052783D">
        <w:rPr>
          <w:color w:val="000000"/>
        </w:rPr>
        <w:t xml:space="preserve">Sengaja sebagi suatu keharusan </w:t>
      </w:r>
    </w:p>
    <w:p w:rsidR="00412149" w:rsidRPr="0052783D" w:rsidRDefault="00412149" w:rsidP="00412149">
      <w:pPr>
        <w:autoSpaceDE w:val="0"/>
        <w:autoSpaceDN w:val="0"/>
        <w:adjustRightInd w:val="0"/>
        <w:spacing w:line="456" w:lineRule="auto"/>
        <w:ind w:firstLine="720"/>
        <w:jc w:val="both"/>
      </w:pPr>
      <w:r w:rsidRPr="0052783D">
        <w:rPr>
          <w:color w:val="000000"/>
        </w:rPr>
        <w:t xml:space="preserve">Kesangajan semacam ini terjadi apabila sipelaku dengan perbuatannya tidak bertujuan untuk mencapi akibat dari </w:t>
      </w:r>
      <w:r w:rsidRPr="0052783D">
        <w:t>perbuatanya, tetapi ia melakukan perbuatan itu sebagai keharusan untuk mencapai tujuan yang lain. Artinya kesangajan dalam bentuk ini, pelaku menyadari perbuatan yang ia kehendaki namun pelaku tidak menghendaki akibat dari perbuatan yang telah ia perbuat.</w:t>
      </w:r>
    </w:p>
    <w:p w:rsidR="00412149" w:rsidRPr="0052783D" w:rsidRDefault="00412149" w:rsidP="00412149">
      <w:pPr>
        <w:numPr>
          <w:ilvl w:val="3"/>
          <w:numId w:val="32"/>
        </w:numPr>
        <w:autoSpaceDE w:val="0"/>
        <w:autoSpaceDN w:val="0"/>
        <w:adjustRightInd w:val="0"/>
        <w:spacing w:line="456" w:lineRule="auto"/>
        <w:ind w:left="360"/>
        <w:jc w:val="both"/>
        <w:rPr>
          <w:color w:val="000000"/>
        </w:rPr>
      </w:pPr>
      <w:r w:rsidRPr="0052783D">
        <w:rPr>
          <w:color w:val="000000"/>
        </w:rPr>
        <w:t xml:space="preserve">Sengaja Sebagi kemungkinan </w:t>
      </w:r>
    </w:p>
    <w:p w:rsidR="00412149" w:rsidRPr="0052783D" w:rsidRDefault="00412149" w:rsidP="00412149">
      <w:pPr>
        <w:autoSpaceDE w:val="0"/>
        <w:autoSpaceDN w:val="0"/>
        <w:adjustRightInd w:val="0"/>
        <w:spacing w:line="456" w:lineRule="auto"/>
        <w:ind w:firstLine="720"/>
        <w:jc w:val="both"/>
      </w:pPr>
      <w:r w:rsidRPr="0052783D">
        <w:rPr>
          <w:color w:val="000000"/>
        </w:rPr>
        <w:t xml:space="preserve">Sengaja sebagai kemungkinan, pelaku sebenarnya tidak menghendaki akibat perbuatanya itu, tetapi pelaku sebelumnya telah mengethaui bahwa akibat itu kemungkinan juga dapat terjadi, namun pelaku tetap melakukan perbuatannya dengan mengambil resiko tersebut. </w:t>
      </w:r>
      <w:r w:rsidRPr="0052783D">
        <w:rPr>
          <w:i/>
          <w:iCs/>
          <w:color w:val="000000"/>
        </w:rPr>
        <w:t xml:space="preserve">Scaffrmeister </w:t>
      </w:r>
      <w:r w:rsidRPr="0052783D">
        <w:rPr>
          <w:color w:val="000000"/>
        </w:rPr>
        <w:t xml:space="preserve">mengemukakan contoh bahwa ada seorang pengemudi yang menjalankan mobilnya kearah petugas polisi yang sedang memberi tanda berhenti. Pengemudi tetap memacu mobil dengan harapan petugas kepolisian tersebut melompat </w:t>
      </w:r>
      <w:r w:rsidRPr="0052783D">
        <w:t>kesamping, padahal pengemudi menyadari resiko dimanda petugas kepolisian dapat saja tertabrak mati atau melompat kesamping.</w:t>
      </w:r>
      <w:r w:rsidRPr="0052783D">
        <w:rPr>
          <w:rStyle w:val="FootnoteReference"/>
        </w:rPr>
        <w:footnoteReference w:id="35"/>
      </w:r>
    </w:p>
    <w:p w:rsidR="00412149" w:rsidRPr="0052783D" w:rsidRDefault="00412149" w:rsidP="00412149">
      <w:pPr>
        <w:numPr>
          <w:ilvl w:val="0"/>
          <w:numId w:val="32"/>
        </w:numPr>
        <w:autoSpaceDE w:val="0"/>
        <w:autoSpaceDN w:val="0"/>
        <w:adjustRightInd w:val="0"/>
        <w:spacing w:line="456" w:lineRule="auto"/>
        <w:ind w:left="360"/>
        <w:jc w:val="both"/>
        <w:rPr>
          <w:color w:val="000000"/>
          <w:lang w:eastAsia="id-ID"/>
        </w:rPr>
      </w:pPr>
      <w:r w:rsidRPr="0052783D">
        <w:t>Kealpaan</w:t>
      </w:r>
    </w:p>
    <w:p w:rsidR="00412149" w:rsidRPr="0052783D" w:rsidRDefault="00412149" w:rsidP="00412149">
      <w:pPr>
        <w:autoSpaceDE w:val="0"/>
        <w:autoSpaceDN w:val="0"/>
        <w:adjustRightInd w:val="0"/>
        <w:spacing w:line="456" w:lineRule="auto"/>
        <w:ind w:firstLine="720"/>
        <w:jc w:val="both"/>
      </w:pPr>
      <w:r w:rsidRPr="0052783D">
        <w:lastRenderedPageBreak/>
        <w:t>Pasal-pasal KUHP  tidak memberikan definisi mengenai apa yang diamksud dengan kealpaan sehingga untuk mengerti apa yang dimaksud dengan kealpaan maka memerlukan pendapat para ahli hukum. Kelalaian merupakan salah satu bentuk kesalahan yang timbul karena pelakunya tidak memenuhi standar yang telah ditentukan, kelalian itu terjadi karena perilaku dari orang itu sendiri.</w:t>
      </w:r>
      <w:r w:rsidRPr="0052783D">
        <w:rPr>
          <w:rStyle w:val="FootnoteReference"/>
        </w:rPr>
        <w:footnoteReference w:id="36"/>
      </w:r>
    </w:p>
    <w:p w:rsidR="00412149" w:rsidRPr="0052783D" w:rsidRDefault="00412149" w:rsidP="00412149">
      <w:pPr>
        <w:autoSpaceDE w:val="0"/>
        <w:autoSpaceDN w:val="0"/>
        <w:adjustRightInd w:val="0"/>
        <w:spacing w:line="456" w:lineRule="auto"/>
        <w:ind w:firstLine="720"/>
        <w:jc w:val="both"/>
      </w:pPr>
      <w:r w:rsidRPr="0052783D">
        <w:t xml:space="preserve">Moeljatno mengatakan bahwa kealpaan adalah suatu struktur </w:t>
      </w:r>
      <w:r w:rsidRPr="0052783D">
        <w:rPr>
          <w:i/>
          <w:iCs/>
        </w:rPr>
        <w:t xml:space="preserve">gecompliceerd </w:t>
      </w:r>
      <w:r w:rsidRPr="0052783D">
        <w:t>yang disatu sisi mengarah kepada perbuatan seseorang secara konkret sedangkan disisi lain mengarah kepada keadaan batin seseorang. Kelalain terbagi menjadi dua yaitu kelalaian yang ia sadari (alpa) dan kelalain yang ia tidak sadari (lalai).</w:t>
      </w:r>
      <w:r w:rsidRPr="0052783D">
        <w:rPr>
          <w:rStyle w:val="FootnoteReference"/>
        </w:rPr>
        <w:footnoteReference w:id="37"/>
      </w:r>
    </w:p>
    <w:p w:rsidR="00412149" w:rsidRPr="0052783D" w:rsidRDefault="00412149" w:rsidP="00412149">
      <w:pPr>
        <w:autoSpaceDE w:val="0"/>
        <w:autoSpaceDN w:val="0"/>
        <w:adjustRightInd w:val="0"/>
        <w:spacing w:line="456" w:lineRule="auto"/>
        <w:ind w:firstLine="720"/>
        <w:jc w:val="both"/>
      </w:pPr>
      <w:r w:rsidRPr="0052783D">
        <w:t>Kelalaian yang ia sadari atau alpa adalah kelalain yang ia sadari, dimana pelaku menyadari dengan adanya resiko namun tetap melakukan dengan mengambil resiko dan berharap akibat buruk atau resiko buruk tidak akan terjadi. Sedangkan yang dimaksud dengan kelalaiam yang tidak disadari atau lalaiadalah seseornag tidak menyadari adanya resiko atau kejadian yang buruk akibat dari perbuatan ia lakukan pelaku berbuat demikian dikarenan anatar lain karena kurang berpikir atau juga bisa terjadi karena pelaku lengah denagn adanya resiko yang buruk.</w:t>
      </w:r>
      <w:r w:rsidRPr="0052783D">
        <w:rPr>
          <w:rStyle w:val="FootnoteReference"/>
        </w:rPr>
        <w:footnoteReference w:id="38"/>
      </w:r>
    </w:p>
    <w:p w:rsidR="00412149" w:rsidRPr="0052783D" w:rsidRDefault="00412149" w:rsidP="00412149">
      <w:pPr>
        <w:autoSpaceDE w:val="0"/>
        <w:autoSpaceDN w:val="0"/>
        <w:adjustRightInd w:val="0"/>
        <w:spacing w:line="480" w:lineRule="auto"/>
        <w:ind w:firstLine="720"/>
        <w:jc w:val="both"/>
      </w:pPr>
      <w:r w:rsidRPr="0052783D">
        <w:t xml:space="preserve">Kelalain yang disadari adalah kelalaian yang disadri oleh seseorang apabila ia tidak melakukan suatu perbuatan maka akan timbul suatu akibat yang dilarang oleh hukum pidana, sedangkan yang dimaksud dengan kealpaan yang ia tidak sadri adalah pelaku tidak memikirkan akibat dari perbuatan yang ia lakukan </w:t>
      </w:r>
      <w:r w:rsidRPr="0052783D">
        <w:lastRenderedPageBreak/>
        <w:t>dan apabila ia memikirkan akibat dari perbuatan itu maka ia tidak akan melakukannya.</w:t>
      </w:r>
      <w:r w:rsidRPr="0052783D">
        <w:rPr>
          <w:rStyle w:val="FootnoteReference"/>
        </w:rPr>
        <w:footnoteReference w:id="39"/>
      </w:r>
    </w:p>
    <w:p w:rsidR="00412149" w:rsidRPr="0052783D" w:rsidRDefault="00412149" w:rsidP="00412149">
      <w:pPr>
        <w:numPr>
          <w:ilvl w:val="4"/>
          <w:numId w:val="13"/>
        </w:numPr>
        <w:tabs>
          <w:tab w:val="clear" w:pos="3600"/>
          <w:tab w:val="num" w:pos="360"/>
        </w:tabs>
        <w:autoSpaceDE w:val="0"/>
        <w:autoSpaceDN w:val="0"/>
        <w:adjustRightInd w:val="0"/>
        <w:spacing w:line="480" w:lineRule="auto"/>
        <w:ind w:left="360"/>
        <w:rPr>
          <w:color w:val="000000"/>
        </w:rPr>
      </w:pPr>
      <w:r w:rsidRPr="0052783D">
        <w:rPr>
          <w:color w:val="000000"/>
        </w:rPr>
        <w:t xml:space="preserve">Adanya pembuat yang dapat bertanggung jawab </w:t>
      </w:r>
    </w:p>
    <w:p w:rsidR="00412149" w:rsidRPr="0052783D" w:rsidRDefault="00412149" w:rsidP="00412149">
      <w:pPr>
        <w:autoSpaceDE w:val="0"/>
        <w:autoSpaceDN w:val="0"/>
        <w:adjustRightInd w:val="0"/>
        <w:spacing w:line="456" w:lineRule="auto"/>
        <w:ind w:firstLine="720"/>
        <w:jc w:val="both"/>
      </w:pPr>
      <w:r w:rsidRPr="0052783D">
        <w:t>Kemampuan bertanggungjawab selalu berhubungan dengan keadaan psykis pembuat. Kemapuan bertanggungjawab ini selalu dihubungkan dengan pertanggungjawaban pidana, hal ini yang menjadikan kemampuan bertanggung jawab menjadi salah satu unsur pertanggungjawaban pidana. Kemampuan bertanggung jawab merupakan dasar untuk menentukan pemidanaan kepada pembuat. Kemampuan bertanggung jawab ini harus dibuktikan ada tidaknya oleh hakim, karena apabila seseorang terbukti tidak memiliki kemampuan bertanggung jawab hal ini menjadi dasar tidak dipertanggungjawabkannya pembuat, artinya pembuat perbuatan tidka dapat dipidana atas suatu kejadian tindak pidana.</w:t>
      </w:r>
      <w:r w:rsidRPr="0052783D">
        <w:rPr>
          <w:rStyle w:val="FootnoteReference"/>
        </w:rPr>
        <w:footnoteReference w:id="40"/>
      </w:r>
    </w:p>
    <w:p w:rsidR="00412149" w:rsidRPr="0052783D" w:rsidRDefault="00412149" w:rsidP="00412149">
      <w:pPr>
        <w:autoSpaceDE w:val="0"/>
        <w:autoSpaceDN w:val="0"/>
        <w:adjustRightInd w:val="0"/>
        <w:spacing w:line="432" w:lineRule="auto"/>
        <w:ind w:firstLine="720"/>
        <w:jc w:val="both"/>
      </w:pPr>
      <w:r w:rsidRPr="0052783D">
        <w:t>Andi Zainal Abidin mengatakan bahwa kebanyakan Undang-Undang merumuskan syarat kesalahan secara negatif. KUHP tidak mengatur tentang kemampuan bertanggung jawab namun yang diatur dalam KUHP sendiri justru kebalikan dari kemampuan bertanggung jawab.</w:t>
      </w:r>
      <w:r w:rsidRPr="0052783D">
        <w:rPr>
          <w:rStyle w:val="FootnoteReference"/>
        </w:rPr>
        <w:footnoteReference w:id="41"/>
      </w:r>
      <w:r w:rsidRPr="0052783D">
        <w:t xml:space="preserve"> Pasal yang mengatur tentang kebalikan dari kemampuan bertanggung jawab adalah Pasal 44 KUHP yang berbunyi :</w:t>
      </w:r>
    </w:p>
    <w:p w:rsidR="00412149" w:rsidRPr="0052783D" w:rsidRDefault="00412149" w:rsidP="00412149">
      <w:pPr>
        <w:numPr>
          <w:ilvl w:val="4"/>
          <w:numId w:val="24"/>
        </w:numPr>
        <w:autoSpaceDE w:val="0"/>
        <w:autoSpaceDN w:val="0"/>
        <w:adjustRightInd w:val="0"/>
        <w:spacing w:line="216" w:lineRule="auto"/>
        <w:ind w:left="1077" w:hanging="357"/>
        <w:jc w:val="both"/>
        <w:rPr>
          <w:color w:val="000000"/>
        </w:rPr>
      </w:pPr>
      <w:r w:rsidRPr="0052783D">
        <w:rPr>
          <w:color w:val="000000"/>
        </w:rPr>
        <w:t xml:space="preserve">Barang siapa melakukan perbuatanyang tidak dapat dipertanggung jawabkan padanya, disebabkan karena jiwanya cacat dalam tumbuhnya </w:t>
      </w:r>
      <w:r w:rsidRPr="0052783D">
        <w:rPr>
          <w:i/>
          <w:iCs/>
          <w:color w:val="000000"/>
        </w:rPr>
        <w:t xml:space="preserve">(gebrekkige ontiwikkeling) </w:t>
      </w:r>
      <w:r w:rsidRPr="0052783D">
        <w:rPr>
          <w:color w:val="000000"/>
        </w:rPr>
        <w:t xml:space="preserve">atau terganggu karena penyakit, tidak dipidana </w:t>
      </w:r>
    </w:p>
    <w:p w:rsidR="00412149" w:rsidRPr="0052783D" w:rsidRDefault="00412149" w:rsidP="00412149">
      <w:pPr>
        <w:numPr>
          <w:ilvl w:val="4"/>
          <w:numId w:val="24"/>
        </w:numPr>
        <w:autoSpaceDE w:val="0"/>
        <w:autoSpaceDN w:val="0"/>
        <w:adjustRightInd w:val="0"/>
        <w:spacing w:line="216" w:lineRule="auto"/>
        <w:ind w:left="1077" w:hanging="357"/>
        <w:jc w:val="both"/>
        <w:rPr>
          <w:color w:val="000000"/>
        </w:rPr>
      </w:pPr>
      <w:r w:rsidRPr="0052783D">
        <w:rPr>
          <w:color w:val="000000"/>
        </w:rPr>
        <w:t xml:space="preserve">Jika ternyata bahwa perbuatan tidak dapat dipertanggung jawabkan padanya disebabkan karena jiwanya cacat dalam tumbuhnya atau terganggu karena penyakit, maka hakim dapat memerintahkan supaya orang itu dimasukkan kedalam rumah sakit jiwa, paling lama satu tahun sebagai waktu percobaan. </w:t>
      </w:r>
    </w:p>
    <w:p w:rsidR="00412149" w:rsidRPr="0052783D" w:rsidRDefault="00412149" w:rsidP="00412149">
      <w:pPr>
        <w:autoSpaceDE w:val="0"/>
        <w:autoSpaceDN w:val="0"/>
        <w:adjustRightInd w:val="0"/>
        <w:ind w:left="1095"/>
        <w:jc w:val="both"/>
        <w:rPr>
          <w:color w:val="000000"/>
        </w:rPr>
      </w:pPr>
    </w:p>
    <w:p w:rsidR="00412149" w:rsidRPr="0052783D" w:rsidRDefault="00412149" w:rsidP="00412149">
      <w:pPr>
        <w:autoSpaceDE w:val="0"/>
        <w:autoSpaceDN w:val="0"/>
        <w:adjustRightInd w:val="0"/>
        <w:spacing w:line="480" w:lineRule="auto"/>
        <w:ind w:firstLine="720"/>
        <w:jc w:val="both"/>
      </w:pPr>
      <w:r w:rsidRPr="0052783D">
        <w:lastRenderedPageBreak/>
        <w:t>Menurut Pasal 44 KUHP bahwa seseorang yang melakukan tindak pidana tidak dapat bertanggung jawab atas berbuatan yang telah ia lakukan apabila tidak memiliki unsur kemampuan bertanggung jawab, ketidak mampuan untuk bertanggung jawab apabila didalam diri pelaku terdapat kesalahan, kesalahan tersebut ada 2 yaitu :</w:t>
      </w:r>
    </w:p>
    <w:p w:rsidR="00412149" w:rsidRPr="0052783D" w:rsidRDefault="00412149" w:rsidP="00412149">
      <w:pPr>
        <w:numPr>
          <w:ilvl w:val="6"/>
          <w:numId w:val="24"/>
        </w:numPr>
        <w:autoSpaceDE w:val="0"/>
        <w:autoSpaceDN w:val="0"/>
        <w:adjustRightInd w:val="0"/>
        <w:ind w:left="1080"/>
        <w:jc w:val="both"/>
        <w:rPr>
          <w:color w:val="000000"/>
        </w:rPr>
      </w:pPr>
      <w:r w:rsidRPr="0052783D">
        <w:rPr>
          <w:color w:val="000000"/>
        </w:rPr>
        <w:t xml:space="preserve">Dalam masa pertumbuhan pelaku, pelaku mengalami cacat mental, sehingga hal itu mempengaruhi pelaku untuk membedakan anatara perbuatan yang baik adan buruk. </w:t>
      </w:r>
    </w:p>
    <w:p w:rsidR="00412149" w:rsidRPr="0052783D" w:rsidRDefault="00412149" w:rsidP="00412149">
      <w:pPr>
        <w:numPr>
          <w:ilvl w:val="6"/>
          <w:numId w:val="24"/>
        </w:numPr>
        <w:autoSpaceDE w:val="0"/>
        <w:autoSpaceDN w:val="0"/>
        <w:adjustRightInd w:val="0"/>
        <w:ind w:left="1080"/>
        <w:jc w:val="both"/>
        <w:rPr>
          <w:color w:val="000000"/>
        </w:rPr>
      </w:pPr>
      <w:r w:rsidRPr="0052783D">
        <w:rPr>
          <w:color w:val="000000"/>
        </w:rPr>
        <w:t>Jika jiwa pelaku mengalami gangguan kenormalan yang disebbakna suatu penyakit, sehingga akalnya kurang berfungsi secara optimal atau akalnya tidak berfungsi secara optimal untuk membedakan hall-hal yang baik dan buruk.</w:t>
      </w:r>
      <w:r w:rsidRPr="0052783D">
        <w:rPr>
          <w:rStyle w:val="FootnoteReference"/>
          <w:color w:val="000000"/>
        </w:rPr>
        <w:footnoteReference w:id="42"/>
      </w:r>
    </w:p>
    <w:p w:rsidR="00412149" w:rsidRPr="0052783D" w:rsidRDefault="00412149" w:rsidP="00412149">
      <w:pPr>
        <w:autoSpaceDE w:val="0"/>
        <w:autoSpaceDN w:val="0"/>
        <w:adjustRightInd w:val="0"/>
        <w:ind w:left="1080"/>
        <w:jc w:val="both"/>
        <w:rPr>
          <w:color w:val="000000"/>
        </w:rPr>
      </w:pPr>
    </w:p>
    <w:p w:rsidR="00412149" w:rsidRPr="0052783D" w:rsidRDefault="00412149" w:rsidP="00412149">
      <w:pPr>
        <w:autoSpaceDE w:val="0"/>
        <w:autoSpaceDN w:val="0"/>
        <w:adjustRightInd w:val="0"/>
        <w:spacing w:line="480" w:lineRule="auto"/>
        <w:ind w:firstLine="720"/>
        <w:jc w:val="both"/>
      </w:pPr>
      <w:r w:rsidRPr="0052783D">
        <w:t xml:space="preserve">Kemampuan bertanggung jawab juga berhubungan dengan umur tertentu bagi pelaku tindak pidana. Artinya hanya pelaku yang memenuhi batas umur tertentu yang memilki kemampuan bertanggung jawab serta memilki kewajiban pertanggung jawaban atas perbuatan yang telah dilakukan, hal ini dikarenakan karena pada umur tertentu secara </w:t>
      </w:r>
      <w:r w:rsidRPr="0052783D">
        <w:rPr>
          <w:i/>
          <w:iCs/>
        </w:rPr>
        <w:t xml:space="preserve">psycologi </w:t>
      </w:r>
      <w:r w:rsidRPr="0052783D">
        <w:t xml:space="preserve">dapat mempengaruhi seseorang untuk melakukan suatu perbuatan. </w:t>
      </w:r>
    </w:p>
    <w:p w:rsidR="00412149" w:rsidRPr="0052783D" w:rsidRDefault="00412149" w:rsidP="00412149">
      <w:pPr>
        <w:autoSpaceDE w:val="0"/>
        <w:autoSpaceDN w:val="0"/>
        <w:adjustRightInd w:val="0"/>
        <w:spacing w:line="480" w:lineRule="auto"/>
        <w:ind w:firstLine="720"/>
        <w:jc w:val="both"/>
      </w:pPr>
      <w:r w:rsidRPr="0052783D">
        <w:t>Pada dasarnya anak pada umur tertentu belum dapat menyadari dengan baik apa yang telah dilakukan, artinya anak pada umur tertentu juga tidak dapat memisahkan mana yang baik dan mana yang salah tentu juga hal ini mempengaruhi anak tidak dapat menginsafkan perbuatannya. Apabila anak pada tertentu melakukan tindak pidana dan oleh karena perbuatannya dilakukan proses pidana makan secara psycologi anak tersebut akan terganggu dimasa dewasanya.</w:t>
      </w:r>
      <w:r w:rsidRPr="0052783D">
        <w:rPr>
          <w:rStyle w:val="FootnoteReference"/>
        </w:rPr>
        <w:footnoteReference w:id="43"/>
      </w:r>
    </w:p>
    <w:p w:rsidR="00412149" w:rsidRPr="0052783D" w:rsidRDefault="00412149" w:rsidP="00412149">
      <w:pPr>
        <w:autoSpaceDE w:val="0"/>
        <w:autoSpaceDN w:val="0"/>
        <w:adjustRightInd w:val="0"/>
        <w:spacing w:line="480" w:lineRule="auto"/>
        <w:ind w:firstLine="720"/>
        <w:jc w:val="both"/>
      </w:pPr>
      <w:r w:rsidRPr="0052783D">
        <w:lastRenderedPageBreak/>
        <w:t>Hakim dalam proses pemidanaannya wajib memcari dan membuktikan apakah pelaku memiliki unsur kemampuan bertanggung jawab, sebab apabila pelaku tidak memiliki kemampuan bertanggung jawab baik karena usia yang belum cukup umur, atau dikarenakan keadaan psykologi seseorang terganggu maka orang tersebut tidak dapat diminta pertanggung jawabanya.</w:t>
      </w:r>
      <w:r w:rsidRPr="0052783D">
        <w:rPr>
          <w:rStyle w:val="FootnoteReference"/>
        </w:rPr>
        <w:footnoteReference w:id="44"/>
      </w:r>
    </w:p>
    <w:p w:rsidR="00412149" w:rsidRPr="0052783D" w:rsidRDefault="00412149" w:rsidP="00412149">
      <w:pPr>
        <w:numPr>
          <w:ilvl w:val="4"/>
          <w:numId w:val="13"/>
        </w:numPr>
        <w:tabs>
          <w:tab w:val="clear" w:pos="3600"/>
          <w:tab w:val="num" w:pos="360"/>
        </w:tabs>
        <w:autoSpaceDE w:val="0"/>
        <w:autoSpaceDN w:val="0"/>
        <w:adjustRightInd w:val="0"/>
        <w:spacing w:line="432" w:lineRule="auto"/>
        <w:ind w:left="360"/>
        <w:rPr>
          <w:color w:val="000000"/>
        </w:rPr>
      </w:pPr>
      <w:r w:rsidRPr="0052783D">
        <w:rPr>
          <w:color w:val="000000"/>
        </w:rPr>
        <w:t xml:space="preserve">Tidak ada alasan pemaaf </w:t>
      </w:r>
    </w:p>
    <w:p w:rsidR="00412149" w:rsidRPr="0052783D" w:rsidRDefault="00412149" w:rsidP="00412149">
      <w:pPr>
        <w:autoSpaceDE w:val="0"/>
        <w:autoSpaceDN w:val="0"/>
        <w:adjustRightInd w:val="0"/>
        <w:spacing w:line="432" w:lineRule="auto"/>
        <w:ind w:firstLine="720"/>
        <w:jc w:val="both"/>
      </w:pPr>
      <w:r w:rsidRPr="0052783D">
        <w:t>Seorang pelaku tindak pidana dalam keadaan tertentu tidak dapat melakukan tindakan lain selain melakukan perbuatan tindak pidana, meskipun hal itu tidak di inginkan. Sehingga dengan perbuatan tersebut pelaku nya harus menghadi jalur hukum. Hal itu tidak dihindari oleh pelaku meskipun hal itu tidak diinginkan oleh dirinya sendiri. Hal itu dilakukan oleh seseorang karena faktor-faktor dari luar dirinya.</w:t>
      </w:r>
      <w:r w:rsidRPr="0052783D">
        <w:rPr>
          <w:rStyle w:val="FootnoteReference"/>
        </w:rPr>
        <w:footnoteReference w:id="45"/>
      </w:r>
    </w:p>
    <w:p w:rsidR="00412149" w:rsidRPr="0052783D" w:rsidRDefault="00412149" w:rsidP="00412149">
      <w:pPr>
        <w:autoSpaceDE w:val="0"/>
        <w:autoSpaceDN w:val="0"/>
        <w:adjustRightInd w:val="0"/>
        <w:spacing w:line="432" w:lineRule="auto"/>
        <w:ind w:firstLine="720"/>
        <w:jc w:val="both"/>
        <w:rPr>
          <w:color w:val="000000"/>
          <w:lang w:eastAsia="id-ID"/>
        </w:rPr>
      </w:pPr>
      <w:r w:rsidRPr="0052783D">
        <w:t>Faktor-faktor dari luar dirinya atau batinnya itulah yang menyebabkan pembuat tindak oidana tidak dapat berbuat lain yang mengakibatkan kesalaahannya menjadi terhapus. Artinya, berkaitan dengan hal ini pembuat tindak pidana terdapat alasan penghapusan pidana, sehingga pertanggujawaban berkaitan dengan hal ini ditunggukan smapai dapat dipastikan ada tidaknya unsur alasan pemaaf dalam diri pelaku pembuat tindak pidana tersebut. Sekalipun pelaku pembuat tindak pidana dapat dicela namun celaan tersebut tidak dapat dilanjutkan kepadanaya karena pembuat tindak pidana tidak dapat berbuat lain selain melakukan tindak pidana tersebut.</w:t>
      </w:r>
      <w:r w:rsidRPr="0052783D">
        <w:rPr>
          <w:rStyle w:val="FootnoteReference"/>
        </w:rPr>
        <w:footnoteReference w:id="46"/>
      </w:r>
    </w:p>
    <w:p w:rsidR="00412149" w:rsidRPr="0052783D" w:rsidRDefault="00412149" w:rsidP="00412149">
      <w:pPr>
        <w:autoSpaceDE w:val="0"/>
        <w:autoSpaceDN w:val="0"/>
        <w:adjustRightInd w:val="0"/>
        <w:spacing w:line="480" w:lineRule="auto"/>
        <w:ind w:firstLine="720"/>
        <w:jc w:val="both"/>
      </w:pPr>
      <w:r w:rsidRPr="0052783D">
        <w:t xml:space="preserve">Alasan pembenar dalam doktrin hukum pidana adalah suatu alasan yang menghapus sifat melawan hukumnya suatu perbuatan. Alasan pembenar dan </w:t>
      </w:r>
      <w:r w:rsidRPr="0052783D">
        <w:lastRenderedPageBreak/>
        <w:t>alasan pemaaf ini dibedakan karena keduanya memiliki fungsi yang berbeda. Adanya perbedaan ini karena alasan pembenar adalah suatu alasan “pembenaran” atas suatu tindak pidana yang melawan hukum sedangkan alasan pemaaf berujung pada pemaafan terhadap seseorang sekalipun telah melakukan pelanggar hukum atas tindak pidana yang telah diperbuat.</w:t>
      </w:r>
      <w:r w:rsidRPr="0052783D">
        <w:rPr>
          <w:rStyle w:val="FootnoteReference"/>
        </w:rPr>
        <w:footnoteReference w:id="47"/>
      </w:r>
    </w:p>
    <w:p w:rsidR="00412149" w:rsidRPr="0052783D" w:rsidRDefault="00412149" w:rsidP="00412149">
      <w:pPr>
        <w:autoSpaceDE w:val="0"/>
        <w:autoSpaceDN w:val="0"/>
        <w:adjustRightInd w:val="0"/>
        <w:spacing w:line="480" w:lineRule="auto"/>
        <w:ind w:firstLine="720"/>
        <w:jc w:val="both"/>
      </w:pPr>
      <w:r w:rsidRPr="0052783D">
        <w:t xml:space="preserve">Dalam hukum pidana yang termasuk alasan pembenar seperti keadaaan darurat, pembelaan terpaksa, Menjalankan peraturan perundang-undangan, menjalankan perintah jabatan yang sah. Keadaan darurat merupakan salah satu alasan pembenar, yaitu suatu alsan karena seseorang menghadapi dilema situasi untuk memilih suatu tindakan. Keadaan darurat ini sebagai salah satu bentuk </w:t>
      </w:r>
      <w:r w:rsidRPr="0052783D">
        <w:rPr>
          <w:i/>
          <w:iCs/>
        </w:rPr>
        <w:t xml:space="preserve">via compulsive </w:t>
      </w:r>
      <w:r w:rsidRPr="0052783D">
        <w:t xml:space="preserve">terjadi dalam tiga kemungkinan. Kemungkinan </w:t>
      </w:r>
      <w:r w:rsidRPr="0052783D">
        <w:rPr>
          <w:i/>
          <w:iCs/>
        </w:rPr>
        <w:t xml:space="preserve">Pertama </w:t>
      </w:r>
      <w:r w:rsidRPr="0052783D">
        <w:t xml:space="preserve">terjepit diama seseorang memilih diantara dua kepentingan yang sama-sama penting, diberi contoh seseorang yang berada ditengah laut bersama ketiga orang temannya, alat penyelamat saat itu hanyalah satu papan yang hanya dapat menampung dua orang saja, dalam hal ini seseorang tidak dapat silahkan apabila salah satu teman tersebut tidak dapat diselamatkan. Kemungkinan yang </w:t>
      </w:r>
      <w:r w:rsidRPr="0052783D">
        <w:rPr>
          <w:i/>
          <w:iCs/>
        </w:rPr>
        <w:t xml:space="preserve">Kedua </w:t>
      </w:r>
      <w:r w:rsidRPr="0052783D">
        <w:t>yaitu seseorang terjepit diantara kepentingan dan kewajiban. Kemungkinan yang ketiga adalah seseorang ditempatkan pada situasi terjepit diantara dua kewajiban.</w:t>
      </w:r>
      <w:r w:rsidRPr="0052783D">
        <w:rPr>
          <w:rStyle w:val="FootnoteReference"/>
        </w:rPr>
        <w:footnoteReference w:id="48"/>
      </w:r>
    </w:p>
    <w:p w:rsidR="00412149" w:rsidRPr="0052783D" w:rsidRDefault="00412149" w:rsidP="00412149">
      <w:pPr>
        <w:autoSpaceDE w:val="0"/>
        <w:autoSpaceDN w:val="0"/>
        <w:adjustRightInd w:val="0"/>
        <w:spacing w:line="480" w:lineRule="auto"/>
        <w:ind w:firstLine="720"/>
        <w:jc w:val="both"/>
      </w:pPr>
      <w:r w:rsidRPr="0052783D">
        <w:t xml:space="preserve">Pembelaan terpaksa diatur dalam Pasal 49 ayat (1) KUHP ditentukan syarat-syarat dimana melakukan suatu delik untuk membela diri dapat dibenarkan. Untuk itu undang-undang menentukan syarat-syarat yang sangat ketat, meneurut Pasal 49 ayat (1) KUHP untuk pepbelaan terpaksa disyararatkan adanya serangan </w:t>
      </w:r>
      <w:r w:rsidRPr="0052783D">
        <w:lastRenderedPageBreak/>
        <w:t>mendadak atau seketika itu terhadap raga, kehormatan kesusilaan atau harta benda, serangan itu bersifat melawan hukum, dalam hal ini pembelaan adalah suatu keharusan. Pembelaan terpaksa ini dimaksudkan adalah pembelaan yang dilakukan ketika ada suatu serangan yang akan terjadi. Pembelaan terpaksa ini terjadi apabila seseorang tidak melakukan pembelaan diri maka suatu hal yang buruk akan terjadi atau apabila tidak melakukan pembelaan makan menepatkan seseorang dalam keadaan yang meugikan dan membahayakan.</w:t>
      </w:r>
      <w:r w:rsidRPr="0052783D">
        <w:rPr>
          <w:rStyle w:val="FootnoteReference"/>
        </w:rPr>
        <w:footnoteReference w:id="49"/>
      </w:r>
    </w:p>
    <w:p w:rsidR="00412149" w:rsidRPr="0052783D" w:rsidRDefault="00412149" w:rsidP="00412149">
      <w:pPr>
        <w:pStyle w:val="BodyText"/>
        <w:spacing w:after="0" w:line="504" w:lineRule="auto"/>
        <w:ind w:firstLine="720"/>
        <w:jc w:val="both"/>
      </w:pPr>
      <w:r w:rsidRPr="0052783D">
        <w:t>Pelaku tindak pidana penggelapan dalam jabatan harus diberikan sanksi atas perbuatan tersebut atau dengan kata lain harus dilakukan penegakan  hukum terhadap pelaku penggelapan dalam jabatan. Secara konseptional, 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p>
    <w:p w:rsidR="00412149" w:rsidRPr="0052783D" w:rsidRDefault="00412149" w:rsidP="00412149">
      <w:pPr>
        <w:autoSpaceDE w:val="0"/>
        <w:autoSpaceDN w:val="0"/>
        <w:adjustRightInd w:val="0"/>
        <w:spacing w:line="456" w:lineRule="auto"/>
        <w:ind w:firstLine="748"/>
        <w:jc w:val="both"/>
      </w:pPr>
      <w:r w:rsidRPr="0052783D">
        <w:rPr>
          <w:lang w:val="en-GB" w:eastAsia="en-GB"/>
        </w:rPr>
        <w:t xml:space="preserve">Dihubungkan dengan pertanggungjawaban pidana terhadap pelaku tindak pidana </w:t>
      </w:r>
      <w:r w:rsidRPr="0052783D">
        <w:t xml:space="preserve">penggelapam dalam jabatan berdasarkan putusan Pengadilan Negeri Medan </w:t>
      </w:r>
      <w:r w:rsidRPr="0052783D">
        <w:rPr>
          <w:color w:val="000000"/>
        </w:rPr>
        <w:t xml:space="preserve">Putusan </w:t>
      </w:r>
      <w:r w:rsidRPr="0052783D">
        <w:rPr>
          <w:bCs/>
          <w:lang w:val="id-ID"/>
        </w:rPr>
        <w:t>Nomor</w:t>
      </w:r>
      <w:r w:rsidRPr="0052783D">
        <w:rPr>
          <w:lang w:val="id-ID" w:eastAsia="id-ID"/>
        </w:rPr>
        <w:t>2218/Pid.B/2023/PN Mdn</w:t>
      </w:r>
      <w:r w:rsidRPr="0052783D">
        <w:rPr>
          <w:lang w:val="en-GB" w:eastAsia="en-GB"/>
        </w:rPr>
        <w:t xml:space="preserve">, maka sanksi pidana bagi orang yang melakukan kejahatan tersebut adalah sebagaimana diatur dalam </w:t>
      </w:r>
      <w:r w:rsidRPr="0052783D">
        <w:t>Pasal 374 KUHP. S</w:t>
      </w:r>
      <w:r w:rsidRPr="0052783D">
        <w:rPr>
          <w:lang w:val="en-ID" w:eastAsia="en-ID"/>
        </w:rPr>
        <w:t>emua unsur dari Pasal 374 KUHP telah terbukti, maka Terdakwa haruslah dinyatakan telah terbukti secara sah dan meyakinkan melakukan tindak pidana sebagaimana didakwakan dalam dakwaan pertama sehingga terdakwa dipidana penjara selama 3 (tiga) tahun.</w:t>
      </w:r>
    </w:p>
    <w:p w:rsidR="00412149" w:rsidRPr="0052783D" w:rsidRDefault="00412149" w:rsidP="00412149">
      <w:pPr>
        <w:autoSpaceDE w:val="0"/>
        <w:autoSpaceDN w:val="0"/>
        <w:adjustRightInd w:val="0"/>
        <w:spacing w:line="480" w:lineRule="auto"/>
        <w:ind w:firstLine="720"/>
        <w:jc w:val="both"/>
        <w:rPr>
          <w:lang w:val="id-ID" w:eastAsia="id-ID"/>
        </w:rPr>
      </w:pPr>
      <w:r w:rsidRPr="0052783D">
        <w:rPr>
          <w:lang w:val="id-ID" w:eastAsia="id-ID"/>
        </w:rPr>
        <w:lastRenderedPageBreak/>
        <w:t xml:space="preserve">Berdasarkan putusan yang  menyatakan terdakwa telah terbukti secara sah melakukan tindak pidana </w:t>
      </w:r>
      <w:r w:rsidRPr="0052783D">
        <w:rPr>
          <w:iCs/>
          <w:lang w:val="id-ID" w:eastAsia="id-ID"/>
        </w:rPr>
        <w:t>p</w:t>
      </w:r>
      <w:r w:rsidRPr="0052783D">
        <w:rPr>
          <w:lang w:val="id-ID" w:eastAsia="id-ID"/>
        </w:rPr>
        <w:t xml:space="preserve">enggelapan yang dilakukan oleh orang yang menguasai barang itu karena ada hubungan kerja sebagaimana diatur dan diancam dalam Pasal 374 KUHP. Hakim Menjatuhkan pidana terhadap terdakwa dengan pidana penjara selama </w:t>
      </w:r>
      <w:r w:rsidRPr="0052783D">
        <w:rPr>
          <w:lang w:val="en-ID" w:eastAsia="en-ID"/>
        </w:rPr>
        <w:t>3 (tiga) tahun</w:t>
      </w:r>
      <w:r w:rsidRPr="0052783D">
        <w:rPr>
          <w:lang w:val="id-ID" w:eastAsia="id-ID"/>
        </w:rPr>
        <w:t>.</w:t>
      </w:r>
    </w:p>
    <w:p w:rsidR="00412149" w:rsidRPr="0052783D" w:rsidRDefault="00412149" w:rsidP="00412149">
      <w:pPr>
        <w:autoSpaceDE w:val="0"/>
        <w:autoSpaceDN w:val="0"/>
        <w:adjustRightInd w:val="0"/>
        <w:spacing w:line="480" w:lineRule="auto"/>
        <w:ind w:firstLine="720"/>
        <w:jc w:val="both"/>
        <w:rPr>
          <w:lang w:val="id-ID" w:eastAsia="id-ID"/>
        </w:rPr>
      </w:pPr>
      <w:r w:rsidRPr="0052783D">
        <w:rPr>
          <w:lang w:val="id-ID" w:eastAsia="id-ID"/>
        </w:rPr>
        <w:t>Pasal yang diterapkan jaksa penuntut umum sudah benar yaitu melanggar Pasal 374 KUHP. Putusan Pengadilan Negeri</w:t>
      </w:r>
      <w:r w:rsidRPr="0052783D">
        <w:rPr>
          <w:lang w:eastAsia="id-ID"/>
        </w:rPr>
        <w:t xml:space="preserve"> Medan</w:t>
      </w:r>
      <w:r w:rsidRPr="0052783D">
        <w:rPr>
          <w:lang w:val="id-ID" w:eastAsia="id-ID"/>
        </w:rPr>
        <w:t xml:space="preserve"> termasuk kedalam penggelapan dalam pemberatan. Unsur-unsur yang memberatkan sebagaimana yang dimaksud dalam Pasal 374 KUHP ialah karena tindak pidana penggelapan itu telah dilakukan atas benda yang berada pada pelaku:</w:t>
      </w:r>
    </w:p>
    <w:p w:rsidR="00412149" w:rsidRPr="0052783D" w:rsidRDefault="00412149" w:rsidP="00412149">
      <w:pPr>
        <w:numPr>
          <w:ilvl w:val="0"/>
          <w:numId w:val="37"/>
        </w:numPr>
        <w:autoSpaceDE w:val="0"/>
        <w:autoSpaceDN w:val="0"/>
        <w:adjustRightInd w:val="0"/>
        <w:spacing w:line="480" w:lineRule="auto"/>
        <w:ind w:left="360"/>
        <w:rPr>
          <w:lang w:val="id-ID" w:eastAsia="id-ID"/>
        </w:rPr>
      </w:pPr>
      <w:r w:rsidRPr="0052783D">
        <w:rPr>
          <w:lang w:val="id-ID" w:eastAsia="id-ID"/>
        </w:rPr>
        <w:t>Karena hubungan kerja pribadinya.</w:t>
      </w:r>
    </w:p>
    <w:p w:rsidR="00412149" w:rsidRPr="0052783D" w:rsidRDefault="00412149" w:rsidP="00412149">
      <w:pPr>
        <w:numPr>
          <w:ilvl w:val="0"/>
          <w:numId w:val="37"/>
        </w:numPr>
        <w:autoSpaceDE w:val="0"/>
        <w:autoSpaceDN w:val="0"/>
        <w:adjustRightInd w:val="0"/>
        <w:spacing w:line="480" w:lineRule="auto"/>
        <w:ind w:left="360"/>
        <w:rPr>
          <w:lang w:val="id-ID" w:eastAsia="id-ID"/>
        </w:rPr>
      </w:pPr>
      <w:r w:rsidRPr="0052783D">
        <w:rPr>
          <w:lang w:val="id-ID" w:eastAsia="id-ID"/>
        </w:rPr>
        <w:t>Karena pekerjaannya.</w:t>
      </w:r>
    </w:p>
    <w:p w:rsidR="00412149" w:rsidRPr="0052783D" w:rsidRDefault="00412149" w:rsidP="00412149">
      <w:pPr>
        <w:numPr>
          <w:ilvl w:val="0"/>
          <w:numId w:val="37"/>
        </w:numPr>
        <w:autoSpaceDE w:val="0"/>
        <w:autoSpaceDN w:val="0"/>
        <w:adjustRightInd w:val="0"/>
        <w:spacing w:line="480" w:lineRule="auto"/>
        <w:ind w:left="360"/>
        <w:rPr>
          <w:lang w:val="id-ID" w:eastAsia="id-ID"/>
        </w:rPr>
      </w:pPr>
      <w:r w:rsidRPr="0052783D">
        <w:rPr>
          <w:lang w:val="id-ID" w:eastAsia="id-ID"/>
        </w:rPr>
        <w:t>Karena mendapat imbalan uang.</w:t>
      </w:r>
    </w:p>
    <w:p w:rsidR="00412149" w:rsidRPr="0052783D" w:rsidRDefault="00412149" w:rsidP="00412149">
      <w:pPr>
        <w:autoSpaceDE w:val="0"/>
        <w:autoSpaceDN w:val="0"/>
        <w:adjustRightInd w:val="0"/>
        <w:spacing w:line="480" w:lineRule="auto"/>
        <w:ind w:firstLine="720"/>
        <w:jc w:val="both"/>
        <w:rPr>
          <w:lang w:val="id-ID" w:eastAsia="id-ID"/>
        </w:rPr>
      </w:pPr>
      <w:r w:rsidRPr="0052783D">
        <w:rPr>
          <w:lang w:val="id-ID" w:eastAsia="id-ID"/>
        </w:rPr>
        <w:t xml:space="preserve">Tindak pidana penggelapan dalam putusan Pengadilan Negeri </w:t>
      </w:r>
      <w:r w:rsidRPr="0052783D">
        <w:rPr>
          <w:lang w:eastAsia="id-ID"/>
        </w:rPr>
        <w:t xml:space="preserve">Medan </w:t>
      </w:r>
      <w:r w:rsidRPr="0052783D">
        <w:rPr>
          <w:lang w:val="id-ID" w:eastAsia="id-ID"/>
        </w:rPr>
        <w:t xml:space="preserve">dengan terdakwa yang tidak menyerahkan uang setoran dan dipergunakan untuk kepentingan pribadi, maka </w:t>
      </w:r>
      <w:r w:rsidRPr="0052783D">
        <w:t>terdakwa</w:t>
      </w:r>
      <w:r w:rsidRPr="0052783D">
        <w:rPr>
          <w:lang w:val="id-ID" w:eastAsia="id-ID"/>
        </w:rPr>
        <w:t>telah melakukan kejahatan penggelapan seperti yang diatur didalam Pasal 374 KUHP.</w:t>
      </w:r>
      <w:bookmarkStart w:id="2" w:name="_Hlk139386267"/>
    </w:p>
    <w:p w:rsidR="00412149" w:rsidRPr="0052783D" w:rsidRDefault="00412149" w:rsidP="00412149">
      <w:pPr>
        <w:numPr>
          <w:ilvl w:val="3"/>
          <w:numId w:val="41"/>
        </w:numPr>
        <w:tabs>
          <w:tab w:val="clear" w:pos="2880"/>
        </w:tabs>
        <w:autoSpaceDE w:val="0"/>
        <w:autoSpaceDN w:val="0"/>
        <w:adjustRightInd w:val="0"/>
        <w:spacing w:line="480" w:lineRule="auto"/>
        <w:ind w:left="360"/>
        <w:jc w:val="both"/>
        <w:rPr>
          <w:b/>
          <w:bCs/>
          <w:color w:val="000000"/>
        </w:rPr>
      </w:pPr>
      <w:r w:rsidRPr="0052783D">
        <w:rPr>
          <w:b/>
          <w:color w:val="000000"/>
        </w:rPr>
        <w:t xml:space="preserve">Pertimbangan Hakim Dalam Memutus Perkara </w:t>
      </w:r>
      <w:r w:rsidRPr="0052783D">
        <w:rPr>
          <w:b/>
          <w:bCs/>
          <w:lang w:val="id-ID"/>
        </w:rPr>
        <w:t>Tindak Pidana Penggelapan Dalam Jabatan Secara Berlanjut</w:t>
      </w:r>
      <w:r w:rsidRPr="0052783D">
        <w:rPr>
          <w:b/>
        </w:rPr>
        <w:t xml:space="preserve"> Sesuai</w:t>
      </w:r>
      <w:r w:rsidRPr="0052783D">
        <w:rPr>
          <w:b/>
          <w:color w:val="000000"/>
        </w:rPr>
        <w:t xml:space="preserve"> Putusan Nomor </w:t>
      </w:r>
      <w:r w:rsidRPr="0052783D">
        <w:rPr>
          <w:b/>
          <w:lang w:val="id-ID" w:eastAsia="id-ID"/>
        </w:rPr>
        <w:t>2218/Pid.B/2023/PN Mdn</w:t>
      </w:r>
      <w:bookmarkEnd w:id="2"/>
    </w:p>
    <w:p w:rsidR="00412149" w:rsidRPr="0052783D" w:rsidRDefault="00412149" w:rsidP="00412149">
      <w:pPr>
        <w:spacing w:line="480" w:lineRule="auto"/>
        <w:ind w:firstLine="709"/>
        <w:jc w:val="both"/>
        <w:rPr>
          <w:color w:val="000000"/>
        </w:rPr>
      </w:pPr>
      <w:r w:rsidRPr="0052783D">
        <w:rPr>
          <w:bCs/>
          <w:color w:val="000000"/>
        </w:rPr>
        <w:t xml:space="preserve">Mengetahui pertimbangan hukum hakim dalam </w:t>
      </w:r>
      <w:r w:rsidRPr="0052783D">
        <w:rPr>
          <w:color w:val="000000"/>
        </w:rPr>
        <w:t xml:space="preserve">penerapan hukum terhadap pelaku tidak pidana penggelapan, maka dikemukakan Putusan Pengadilan Negeri Medan </w:t>
      </w:r>
      <w:r w:rsidRPr="0052783D">
        <w:t xml:space="preserve">Nomor </w:t>
      </w:r>
      <w:r w:rsidRPr="0052783D">
        <w:rPr>
          <w:lang w:val="id-ID" w:eastAsia="id-ID"/>
        </w:rPr>
        <w:t>2218/Pid.B/2023/PN Mdn</w:t>
      </w:r>
      <w:r w:rsidRPr="0052783D">
        <w:rPr>
          <w:color w:val="000000"/>
        </w:rPr>
        <w:t>.</w:t>
      </w:r>
    </w:p>
    <w:p w:rsidR="00412149" w:rsidRPr="0052783D" w:rsidRDefault="00412149" w:rsidP="00412149">
      <w:pPr>
        <w:numPr>
          <w:ilvl w:val="4"/>
          <w:numId w:val="41"/>
        </w:numPr>
        <w:tabs>
          <w:tab w:val="clear" w:pos="3600"/>
        </w:tabs>
        <w:spacing w:line="480" w:lineRule="auto"/>
        <w:ind w:left="360"/>
        <w:jc w:val="both"/>
        <w:rPr>
          <w:b/>
          <w:color w:val="000000"/>
        </w:rPr>
      </w:pPr>
      <w:r w:rsidRPr="0052783D">
        <w:rPr>
          <w:b/>
          <w:color w:val="000000"/>
        </w:rPr>
        <w:lastRenderedPageBreak/>
        <w:t>Kronologis Kasus</w:t>
      </w:r>
    </w:p>
    <w:p w:rsidR="00412149" w:rsidRPr="0052783D" w:rsidRDefault="00412149" w:rsidP="00412149">
      <w:pPr>
        <w:autoSpaceDE w:val="0"/>
        <w:autoSpaceDN w:val="0"/>
        <w:adjustRightInd w:val="0"/>
        <w:spacing w:line="480" w:lineRule="auto"/>
        <w:ind w:firstLine="720"/>
        <w:jc w:val="both"/>
        <w:rPr>
          <w:iCs/>
        </w:rPr>
      </w:pPr>
      <w:r w:rsidRPr="0052783D">
        <w:rPr>
          <w:lang w:eastAsia="id-ID"/>
        </w:rPr>
        <w:t>T</w:t>
      </w:r>
      <w:r w:rsidRPr="0052783D">
        <w:rPr>
          <w:lang w:val="id-ID" w:eastAsia="id-ID"/>
        </w:rPr>
        <w:t xml:space="preserve">erdakwa </w:t>
      </w:r>
      <w:r w:rsidRPr="0052783D">
        <w:rPr>
          <w:lang w:eastAsia="id-ID"/>
        </w:rPr>
        <w:t xml:space="preserve">dalam kasus tindak pidana penggelapan ini adalah </w:t>
      </w:r>
      <w:r w:rsidRPr="0052783D">
        <w:rPr>
          <w:bCs/>
        </w:rPr>
        <w:t xml:space="preserve">Edi Alias Acun </w:t>
      </w:r>
      <w:r w:rsidRPr="0052783D">
        <w:t xml:space="preserve">pada bulan September tahun 2020, </w:t>
      </w:r>
      <w:r w:rsidRPr="0052783D">
        <w:rPr>
          <w:iCs/>
        </w:rPr>
        <w:t xml:space="preserve">kedua </w:t>
      </w:r>
      <w:r w:rsidRPr="0052783D">
        <w:t xml:space="preserve">Tahun 2022 dan </w:t>
      </w:r>
      <w:r w:rsidRPr="0052783D">
        <w:rPr>
          <w:iCs/>
        </w:rPr>
        <w:t xml:space="preserve">ketiga </w:t>
      </w:r>
      <w:r w:rsidRPr="0052783D">
        <w:t>pada tahun 2023 bertempat di Toko Pratama Jaya yang berada di Jalan Sutrisno Nomor 55, Kelurahan Sei Rengas I, Kecamatan Medan Kota,Kota Medan atau setidak- tidaknya pada suatu tempat yang masih termasuk dalam daerah hukum Pengadilan Negeri Medan, “d</w:t>
      </w:r>
      <w:r w:rsidRPr="0052783D">
        <w:rPr>
          <w:iCs/>
        </w:rPr>
        <w:t>engan sengaja dan melawan hukum memiliki barang sesuatu yang seluruhnya atau sebagian adalah kepunyaan orang lain, tetapi yang ada dalam kekuasaannya bukan karena kejahatan yang dilakukan oleh orang yang penguasaannya terhadap barang disebabkan karena ada hubungan kerja atau karena pencarian atau karena mendapat upah untuk itu”</w:t>
      </w:r>
    </w:p>
    <w:p w:rsidR="00412149" w:rsidRPr="0052783D" w:rsidRDefault="00412149" w:rsidP="00412149">
      <w:pPr>
        <w:autoSpaceDE w:val="0"/>
        <w:autoSpaceDN w:val="0"/>
        <w:adjustRightInd w:val="0"/>
        <w:spacing w:line="480" w:lineRule="auto"/>
        <w:ind w:firstLine="720"/>
        <w:jc w:val="both"/>
      </w:pPr>
      <w:r w:rsidRPr="0052783D">
        <w:t xml:space="preserve">Terdakwa melakukan perbuatan tersebut dengan cara sejak tahun 2008 terdakwa bekerja di Toko Pratama Jaya milik saksi korban Hendra Moksa yang bergerak di bidang penjualan spearpart mobil dimana tugas dan tanggung jawab terdakwa yaitu menawarkan barang ke toko-toko sekaligus mengorder barang pesanan di daerah Kota Medan dan luar kota, menagih pembayaran serta menyetorkannya kepada saksi Chatherine yang merupakan admin toko. Pada saat terdakwa melakukan penagihan kepada toko-toko yang mengorder spearpart ada beberapa toko yang melakukan pembayaran secara transfer maka terdakwa mengatakan dengan alasan agar mentransfer ke rekening pribadi terdakwa yaitu Bank BCA dengan nomor rekening 2970279973 atas nama Edi dikarenakan nantinya terdakwa yang akan menyetorkannya namun terlebih dahulu terdakwa mau hitungan bonus sehingga toko-toko percaya dan melakukan transfer ke </w:t>
      </w:r>
      <w:r w:rsidRPr="0052783D">
        <w:lastRenderedPageBreak/>
        <w:t>rekening pribadi terdakwa tanpa sepengetahuan saksi korban Hendra Moksa sebagai pemilik Toko Paratama Jaya.</w:t>
      </w:r>
    </w:p>
    <w:p w:rsidR="00412149" w:rsidRPr="0052783D" w:rsidRDefault="00412149" w:rsidP="00412149">
      <w:pPr>
        <w:autoSpaceDE w:val="0"/>
        <w:autoSpaceDN w:val="0"/>
        <w:adjustRightInd w:val="0"/>
        <w:spacing w:line="480" w:lineRule="auto"/>
        <w:ind w:firstLine="720"/>
        <w:jc w:val="both"/>
      </w:pPr>
      <w:r w:rsidRPr="0052783D">
        <w:t>Toko yang melakukan pembayaran secara tunai setelah terdakwa menerimanya dari toko namun sebagian uang tersebut tidak terdakwa setorkan ke toko Pratama Jaya atau admin saksi Chatherine dan terdakwa memakainya tanpa seijin dari saksi korban atau admin dan untuk menutupi kecurigaan terdakwa mengatakan bahwa toko belum melakukan pembayaran.</w:t>
      </w:r>
    </w:p>
    <w:p w:rsidR="00412149" w:rsidRPr="0052783D" w:rsidRDefault="00412149" w:rsidP="00412149">
      <w:pPr>
        <w:autoSpaceDE w:val="0"/>
        <w:autoSpaceDN w:val="0"/>
        <w:adjustRightInd w:val="0"/>
        <w:spacing w:line="480" w:lineRule="auto"/>
        <w:ind w:firstLine="720"/>
        <w:jc w:val="both"/>
      </w:pPr>
      <w:r w:rsidRPr="0052783D">
        <w:t xml:space="preserve">Bulan September 2020 saksi Chatherine melakukan audit tagihan toko- toko yang belum membayar pelunasan sebesar Rp.292.580.230,- (dua ratus sembilan puluh dua juta lima ratus delapan puluh ribu dua ratus tiga puluh rupiah) sehingga saksi Chatherine menghubungi pihak-pihak toko luar kota untuk menanyakan perihal pelunasan yang sudah jatuh tempo namun pihak toko yang ada di luar kota mengatakan sudah membayar lunas kepada terdakwa selaku sales secara cash dan transfer sehingga saksi Chatherine mengkonfirmasi kepada terdakwa namun terdakwa mengatakan nanti dipotongkan ke gaji atau omset. Kemudian pada tahun 2022 terdakwa melakukan tagihan kepada customer yang tidak disetorkan kepada Toko Pratama Jaya sebesar Rp.284.178.050,- (dua ratus delapan puluh empat juta seratus tujuh puluh delapan ribu lima puluh rupiah) dan pada Tahun 2023 terdakwa melakukan tagihan kepada customer yang tidak disetorkan kepadan Toko Pratama Jaya sebesar Rp.100.492.862 (seratus juta empat ratus Sembilan puluh dua ribu delapan ratus enam puluh dua rupiah) serta barang-barang return/kembali yang ternyata tidak return / kembali sebesar </w:t>
      </w:r>
      <w:r w:rsidRPr="0052783D">
        <w:lastRenderedPageBreak/>
        <w:t>Rp.11.785.500,- (sebelas juta tujuh ratus delapan puluh lima ribu lima ratus rupiah).</w:t>
      </w:r>
    </w:p>
    <w:p w:rsidR="00412149" w:rsidRPr="0052783D" w:rsidRDefault="00412149" w:rsidP="00412149">
      <w:pPr>
        <w:autoSpaceDE w:val="0"/>
        <w:autoSpaceDN w:val="0"/>
        <w:adjustRightInd w:val="0"/>
        <w:spacing w:line="480" w:lineRule="auto"/>
        <w:ind w:firstLine="720"/>
        <w:jc w:val="both"/>
        <w:rPr>
          <w:lang w:val="en-ID" w:eastAsia="en-ID"/>
        </w:rPr>
      </w:pPr>
      <w:r w:rsidRPr="0052783D">
        <w:t>Total tagihan yang tidak disetorkan terdakwa kepada Toko Pratama Jaya dari Tahun 2020 sampai tahun 2023 sebesar Rp.689.036.642,- (enam ratus delapan puluh sembilan juta tiga puluh enam ribu enam ratus empat puluh dua rupiah) dan dikurangi omset / komisi yang diberikan oleh Toko Pratama Jaya kepada terdakwa sebesar Rp.290.424.176,- (dua ratus sembilan puluh juta empat ratus dua puluh empat ribu seratus tujuh puluh enam rupiah) sehingga sisa uang tagihan yang belum disetorkan terdakwa sebesar Rp.398.612.466,- (tiga ratus sembilan puluh delapan juta enam ratus dua belas ribu empat ratus enam puluh enam rupiah) sehingga saksi korban Hendra Moksa melaporkan perbuatan terdakwa ke Polrestabes Medan untuk diproses lebih lanjut.</w:t>
      </w:r>
    </w:p>
    <w:p w:rsidR="00412149" w:rsidRPr="0052783D" w:rsidRDefault="00412149" w:rsidP="00412149">
      <w:pPr>
        <w:numPr>
          <w:ilvl w:val="1"/>
          <w:numId w:val="41"/>
        </w:numPr>
        <w:tabs>
          <w:tab w:val="clear" w:pos="1440"/>
          <w:tab w:val="num" w:pos="360"/>
          <w:tab w:val="left" w:pos="426"/>
        </w:tabs>
        <w:spacing w:line="480" w:lineRule="auto"/>
        <w:ind w:left="360"/>
        <w:jc w:val="both"/>
        <w:rPr>
          <w:b/>
          <w:color w:val="000000"/>
        </w:rPr>
      </w:pPr>
      <w:r w:rsidRPr="0052783D">
        <w:rPr>
          <w:b/>
          <w:color w:val="000000"/>
        </w:rPr>
        <w:t>Dakwaan Jaksa Penuntut Umum</w:t>
      </w:r>
    </w:p>
    <w:p w:rsidR="00412149" w:rsidRPr="0052783D" w:rsidRDefault="00412149" w:rsidP="00412149">
      <w:pPr>
        <w:spacing w:line="480" w:lineRule="auto"/>
        <w:ind w:firstLine="720"/>
        <w:jc w:val="both"/>
      </w:pPr>
      <w:r w:rsidRPr="0052783D">
        <w:rPr>
          <w:lang w:val="id-ID"/>
        </w:rPr>
        <w:t>Terdakwa didakwa oleh Penuntut Umum dengan surat dakwaan</w:t>
      </w:r>
      <w:r w:rsidRPr="0052783D">
        <w:t xml:space="preserve"> alternatif yaitu :</w:t>
      </w:r>
    </w:p>
    <w:p w:rsidR="00412149" w:rsidRPr="0052783D" w:rsidRDefault="00412149" w:rsidP="00412149">
      <w:pPr>
        <w:numPr>
          <w:ilvl w:val="0"/>
          <w:numId w:val="38"/>
        </w:numPr>
        <w:autoSpaceDE w:val="0"/>
        <w:autoSpaceDN w:val="0"/>
        <w:adjustRightInd w:val="0"/>
        <w:spacing w:line="480" w:lineRule="auto"/>
        <w:ind w:left="360"/>
        <w:jc w:val="both"/>
      </w:pPr>
      <w:r w:rsidRPr="0052783D">
        <w:t>Perbuatan  terdakwa sebagaimana diatur dan diancam pidana dalam Pasal 374 KUHPidana.</w:t>
      </w:r>
    </w:p>
    <w:p w:rsidR="00412149" w:rsidRPr="0052783D" w:rsidRDefault="00412149" w:rsidP="00412149">
      <w:pPr>
        <w:numPr>
          <w:ilvl w:val="0"/>
          <w:numId w:val="38"/>
        </w:numPr>
        <w:autoSpaceDE w:val="0"/>
        <w:autoSpaceDN w:val="0"/>
        <w:adjustRightInd w:val="0"/>
        <w:spacing w:line="480" w:lineRule="auto"/>
        <w:ind w:left="360"/>
        <w:jc w:val="both"/>
      </w:pPr>
      <w:r w:rsidRPr="0052783D">
        <w:rPr>
          <w:bCs/>
        </w:rPr>
        <w:t xml:space="preserve">Perbuatan </w:t>
      </w:r>
      <w:r w:rsidRPr="0052783D">
        <w:t>terdakwa sebagaimana diatur dan diancam pidana dalam Pasal 372 KUHPidana</w:t>
      </w:r>
      <w:r w:rsidRPr="0052783D">
        <w:rPr>
          <w:bCs/>
        </w:rPr>
        <w:t>.</w:t>
      </w:r>
    </w:p>
    <w:p w:rsidR="00412149" w:rsidRPr="0052783D" w:rsidRDefault="00412149" w:rsidP="00412149">
      <w:pPr>
        <w:numPr>
          <w:ilvl w:val="0"/>
          <w:numId w:val="38"/>
        </w:numPr>
        <w:autoSpaceDE w:val="0"/>
        <w:autoSpaceDN w:val="0"/>
        <w:adjustRightInd w:val="0"/>
        <w:spacing w:line="480" w:lineRule="auto"/>
        <w:ind w:left="360"/>
        <w:jc w:val="both"/>
      </w:pPr>
      <w:r w:rsidRPr="0052783D">
        <w:t>Perbuatan terdakwa sebagaimana diatur dan diancam pidana dalam Pasal 378 KUHPidana</w:t>
      </w:r>
    </w:p>
    <w:p w:rsidR="00412149" w:rsidRPr="0052783D" w:rsidRDefault="00412149" w:rsidP="00412149">
      <w:pPr>
        <w:numPr>
          <w:ilvl w:val="1"/>
          <w:numId w:val="41"/>
        </w:numPr>
        <w:tabs>
          <w:tab w:val="clear" w:pos="1440"/>
          <w:tab w:val="num" w:pos="360"/>
          <w:tab w:val="left" w:pos="426"/>
        </w:tabs>
        <w:spacing w:line="480" w:lineRule="auto"/>
        <w:ind w:left="360"/>
        <w:jc w:val="both"/>
        <w:rPr>
          <w:b/>
          <w:color w:val="000000"/>
        </w:rPr>
      </w:pPr>
      <w:r w:rsidRPr="0052783D">
        <w:rPr>
          <w:b/>
          <w:color w:val="000000"/>
        </w:rPr>
        <w:t>Tuntutan Jaksa Penuntut Umum.</w:t>
      </w:r>
    </w:p>
    <w:p w:rsidR="00412149" w:rsidRPr="0052783D" w:rsidRDefault="00412149" w:rsidP="00412149">
      <w:pPr>
        <w:autoSpaceDE w:val="0"/>
        <w:autoSpaceDN w:val="0"/>
        <w:adjustRightInd w:val="0"/>
        <w:spacing w:line="480" w:lineRule="auto"/>
        <w:ind w:firstLine="720"/>
        <w:jc w:val="both"/>
        <w:rPr>
          <w:lang w:eastAsia="id-ID"/>
        </w:rPr>
      </w:pPr>
      <w:r w:rsidRPr="0052783D">
        <w:rPr>
          <w:lang w:val="id-ID" w:eastAsia="id-ID"/>
        </w:rPr>
        <w:lastRenderedPageBreak/>
        <w:t xml:space="preserve">Tuntutan Pidana (requisitoir) Penuntut Umum yang pada pokoknya memohon agar Majelis Hakim Pengadilan </w:t>
      </w:r>
      <w:r w:rsidRPr="0052783D">
        <w:rPr>
          <w:lang w:eastAsia="id-ID"/>
        </w:rPr>
        <w:t xml:space="preserve">Negeri Medan </w:t>
      </w:r>
      <w:r w:rsidRPr="0052783D">
        <w:rPr>
          <w:lang w:val="id-ID" w:eastAsia="id-ID"/>
        </w:rPr>
        <w:t>yang memeriksa dan mengadili perkara ini memutuskan:</w:t>
      </w:r>
    </w:p>
    <w:p w:rsidR="00412149" w:rsidRPr="0052783D" w:rsidRDefault="00412149" w:rsidP="00412149">
      <w:pPr>
        <w:numPr>
          <w:ilvl w:val="7"/>
          <w:numId w:val="16"/>
        </w:numPr>
        <w:tabs>
          <w:tab w:val="clear" w:pos="5760"/>
          <w:tab w:val="num" w:pos="360"/>
        </w:tabs>
        <w:autoSpaceDE w:val="0"/>
        <w:autoSpaceDN w:val="0"/>
        <w:adjustRightInd w:val="0"/>
        <w:spacing w:line="480" w:lineRule="auto"/>
        <w:ind w:left="360"/>
        <w:jc w:val="both"/>
      </w:pPr>
      <w:r w:rsidRPr="0052783D">
        <w:t xml:space="preserve">Menyatakan terdakwa Edi Alias Acun terbukti secara sah dan meyakinkan bersalah telah melakukan tindak pidana </w:t>
      </w:r>
      <w:r w:rsidRPr="0052783D">
        <w:rPr>
          <w:iCs/>
        </w:rPr>
        <w:t xml:space="preserve">penggelapan dalamjabatan </w:t>
      </w:r>
      <w:r w:rsidRPr="0052783D">
        <w:t>sebagaimana diatur dan diancam pidana melanggar Pasal 374 KUHPidana dalam dakwaan Alternatif Pertama.</w:t>
      </w:r>
    </w:p>
    <w:p w:rsidR="00412149" w:rsidRPr="0052783D" w:rsidRDefault="00412149" w:rsidP="00412149">
      <w:pPr>
        <w:numPr>
          <w:ilvl w:val="7"/>
          <w:numId w:val="16"/>
        </w:numPr>
        <w:tabs>
          <w:tab w:val="clear" w:pos="5760"/>
          <w:tab w:val="num" w:pos="360"/>
        </w:tabs>
        <w:autoSpaceDE w:val="0"/>
        <w:autoSpaceDN w:val="0"/>
        <w:adjustRightInd w:val="0"/>
        <w:spacing w:line="480" w:lineRule="auto"/>
        <w:ind w:left="360"/>
        <w:jc w:val="both"/>
      </w:pPr>
      <w:r w:rsidRPr="0052783D">
        <w:t>Menjatuhkan pidana terhadap terdakwa Edi Alias Acun oleh karena itu dengan pidana penjara selama 3 (tiga) Tahun dan 6 (enam) bulan dikurangi masa penahanan sementara yang telah dijalani terdakwa dengan perintah terdakwa tetap ditahan;</w:t>
      </w:r>
    </w:p>
    <w:p w:rsidR="00412149" w:rsidRPr="0052783D" w:rsidRDefault="00412149" w:rsidP="00412149">
      <w:pPr>
        <w:numPr>
          <w:ilvl w:val="7"/>
          <w:numId w:val="16"/>
        </w:numPr>
        <w:tabs>
          <w:tab w:val="clear" w:pos="5760"/>
          <w:tab w:val="num" w:pos="360"/>
        </w:tabs>
        <w:autoSpaceDE w:val="0"/>
        <w:autoSpaceDN w:val="0"/>
        <w:adjustRightInd w:val="0"/>
        <w:spacing w:line="480" w:lineRule="auto"/>
        <w:ind w:left="360"/>
        <w:jc w:val="both"/>
      </w:pPr>
      <w:r w:rsidRPr="0052783D">
        <w:t>Menetapkan agar terdakwa membayar biaya perkara sebesar Rp. 5.000,- (lima ribu rupiah)</w:t>
      </w:r>
    </w:p>
    <w:p w:rsidR="00412149" w:rsidRPr="0052783D" w:rsidRDefault="00412149" w:rsidP="00412149">
      <w:pPr>
        <w:numPr>
          <w:ilvl w:val="1"/>
          <w:numId w:val="41"/>
        </w:numPr>
        <w:tabs>
          <w:tab w:val="clear" w:pos="1440"/>
          <w:tab w:val="num" w:pos="360"/>
        </w:tabs>
        <w:spacing w:line="480" w:lineRule="auto"/>
        <w:ind w:left="360"/>
        <w:jc w:val="both"/>
        <w:rPr>
          <w:b/>
          <w:color w:val="000000"/>
        </w:rPr>
      </w:pPr>
      <w:r w:rsidRPr="0052783D">
        <w:rPr>
          <w:b/>
          <w:color w:val="000000"/>
        </w:rPr>
        <w:t>Amar/Diktum Putusan.</w:t>
      </w:r>
    </w:p>
    <w:p w:rsidR="00412149" w:rsidRPr="0052783D" w:rsidRDefault="00412149" w:rsidP="00412149">
      <w:pPr>
        <w:spacing w:line="480" w:lineRule="auto"/>
        <w:ind w:firstLine="720"/>
        <w:jc w:val="both"/>
      </w:pPr>
      <w:r w:rsidRPr="0052783D">
        <w:t>B</w:t>
      </w:r>
      <w:r w:rsidRPr="0052783D">
        <w:rPr>
          <w:lang w:val="id-ID"/>
        </w:rPr>
        <w:t xml:space="preserve">erdasarkan </w:t>
      </w:r>
      <w:r w:rsidRPr="0052783D">
        <w:t xml:space="preserve">tuntutan Jaksa Penuntut Umum, maka majelis hakim </w:t>
      </w:r>
      <w:r w:rsidRPr="0052783D">
        <w:rPr>
          <w:lang w:val="id-ID"/>
        </w:rPr>
        <w:t>Pengadilan Negeri</w:t>
      </w:r>
      <w:r w:rsidRPr="0052783D">
        <w:t xml:space="preserve"> Medan memberi </w:t>
      </w:r>
      <w:r w:rsidRPr="0052783D">
        <w:rPr>
          <w:bCs/>
          <w:lang w:val="id-ID"/>
        </w:rPr>
        <w:t>Putusan Nomor</w:t>
      </w:r>
      <w:r w:rsidRPr="0052783D">
        <w:t>30/Pid.B/2022/PN Mdn</w:t>
      </w:r>
      <w:r w:rsidRPr="0052783D">
        <w:rPr>
          <w:bCs/>
          <w:lang w:val="id-ID" w:eastAsia="id-ID"/>
        </w:rPr>
        <w:t xml:space="preserve"> Mdn</w:t>
      </w:r>
      <w:r w:rsidRPr="0052783D">
        <w:t xml:space="preserve"> yang amar selengkapnya sebagai berikut:</w:t>
      </w:r>
    </w:p>
    <w:p w:rsidR="00412149" w:rsidRPr="0052783D" w:rsidRDefault="00412149" w:rsidP="00412149">
      <w:pPr>
        <w:numPr>
          <w:ilvl w:val="4"/>
          <w:numId w:val="14"/>
        </w:numPr>
        <w:tabs>
          <w:tab w:val="clear" w:pos="3600"/>
          <w:tab w:val="num" w:pos="360"/>
        </w:tabs>
        <w:autoSpaceDE w:val="0"/>
        <w:autoSpaceDN w:val="0"/>
        <w:adjustRightInd w:val="0"/>
        <w:spacing w:line="480" w:lineRule="auto"/>
        <w:ind w:left="360"/>
        <w:jc w:val="both"/>
      </w:pPr>
      <w:r w:rsidRPr="0052783D">
        <w:t xml:space="preserve">Menyatakan Terdakwa </w:t>
      </w:r>
      <w:r w:rsidRPr="0052783D">
        <w:rPr>
          <w:bCs/>
        </w:rPr>
        <w:t xml:space="preserve">Edi Alias Acun </w:t>
      </w:r>
      <w:r w:rsidRPr="0052783D">
        <w:t>tersebut diatas, telah terbukti secara sah dan meyakinkan bersalah melakukan tindak pidana “penggelapan dalam jabatan” sebagaimana dalam dakwaan Alternatif Pertama;</w:t>
      </w:r>
    </w:p>
    <w:p w:rsidR="00412149" w:rsidRPr="0052783D" w:rsidRDefault="00412149" w:rsidP="00412149">
      <w:pPr>
        <w:numPr>
          <w:ilvl w:val="4"/>
          <w:numId w:val="14"/>
        </w:numPr>
        <w:tabs>
          <w:tab w:val="clear" w:pos="3600"/>
          <w:tab w:val="num" w:pos="360"/>
        </w:tabs>
        <w:autoSpaceDE w:val="0"/>
        <w:autoSpaceDN w:val="0"/>
        <w:adjustRightInd w:val="0"/>
        <w:spacing w:line="480" w:lineRule="auto"/>
        <w:ind w:left="360"/>
        <w:jc w:val="both"/>
      </w:pPr>
      <w:r w:rsidRPr="0052783D">
        <w:t xml:space="preserve">Menjatuhkan pidana kepada Terdakwa oleh karena itu dengan pidana penjara selama </w:t>
      </w:r>
      <w:r w:rsidRPr="0052783D">
        <w:rPr>
          <w:bCs/>
        </w:rPr>
        <w:t>3 (tiga) tahun</w:t>
      </w:r>
      <w:r w:rsidRPr="0052783D">
        <w:t>;</w:t>
      </w:r>
    </w:p>
    <w:p w:rsidR="00412149" w:rsidRPr="0052783D" w:rsidRDefault="00412149" w:rsidP="00412149">
      <w:pPr>
        <w:numPr>
          <w:ilvl w:val="4"/>
          <w:numId w:val="14"/>
        </w:numPr>
        <w:tabs>
          <w:tab w:val="clear" w:pos="3600"/>
          <w:tab w:val="num" w:pos="360"/>
        </w:tabs>
        <w:autoSpaceDE w:val="0"/>
        <w:autoSpaceDN w:val="0"/>
        <w:adjustRightInd w:val="0"/>
        <w:spacing w:line="480" w:lineRule="auto"/>
        <w:ind w:left="360"/>
        <w:jc w:val="both"/>
      </w:pPr>
      <w:r w:rsidRPr="0052783D">
        <w:lastRenderedPageBreak/>
        <w:t>Menetapkan masa penangkapan dan penahanan yang telah dijalani Terdakwa dikurangkan seluruhnya dari pidana yang dijatuhkan;</w:t>
      </w:r>
    </w:p>
    <w:p w:rsidR="00412149" w:rsidRPr="0052783D" w:rsidRDefault="00412149" w:rsidP="00412149">
      <w:pPr>
        <w:numPr>
          <w:ilvl w:val="4"/>
          <w:numId w:val="14"/>
        </w:numPr>
        <w:tabs>
          <w:tab w:val="clear" w:pos="3600"/>
          <w:tab w:val="num" w:pos="360"/>
        </w:tabs>
        <w:autoSpaceDE w:val="0"/>
        <w:autoSpaceDN w:val="0"/>
        <w:adjustRightInd w:val="0"/>
        <w:spacing w:line="480" w:lineRule="auto"/>
        <w:ind w:left="360"/>
        <w:jc w:val="both"/>
      </w:pPr>
      <w:r w:rsidRPr="0052783D">
        <w:t>Menetapkan Terdakwa tetap ditahan;</w:t>
      </w:r>
    </w:p>
    <w:p w:rsidR="00412149" w:rsidRPr="0052783D" w:rsidRDefault="00412149" w:rsidP="00412149">
      <w:pPr>
        <w:numPr>
          <w:ilvl w:val="4"/>
          <w:numId w:val="14"/>
        </w:numPr>
        <w:tabs>
          <w:tab w:val="clear" w:pos="3600"/>
          <w:tab w:val="num" w:pos="360"/>
        </w:tabs>
        <w:autoSpaceDE w:val="0"/>
        <w:autoSpaceDN w:val="0"/>
        <w:adjustRightInd w:val="0"/>
        <w:spacing w:line="480" w:lineRule="auto"/>
        <w:ind w:left="360"/>
        <w:jc w:val="both"/>
      </w:pPr>
      <w:r w:rsidRPr="0052783D">
        <w:t>Membebankan kepada Terdakwa membayar biaya perkara sejumlah Rp. 7.000,-(tujuh ribu rupiah).</w:t>
      </w:r>
    </w:p>
    <w:p w:rsidR="00412149" w:rsidRPr="0052783D" w:rsidRDefault="00412149" w:rsidP="00412149">
      <w:pPr>
        <w:autoSpaceDE w:val="0"/>
        <w:autoSpaceDN w:val="0"/>
        <w:adjustRightInd w:val="0"/>
        <w:ind w:left="360"/>
        <w:jc w:val="both"/>
      </w:pPr>
    </w:p>
    <w:p w:rsidR="00412149" w:rsidRPr="0052783D" w:rsidRDefault="00412149" w:rsidP="00412149">
      <w:pPr>
        <w:numPr>
          <w:ilvl w:val="1"/>
          <w:numId w:val="41"/>
        </w:numPr>
        <w:tabs>
          <w:tab w:val="clear" w:pos="1440"/>
          <w:tab w:val="num" w:pos="360"/>
        </w:tabs>
        <w:spacing w:line="480" w:lineRule="auto"/>
        <w:ind w:left="360"/>
        <w:jc w:val="both"/>
        <w:rPr>
          <w:b/>
        </w:rPr>
      </w:pPr>
      <w:bookmarkStart w:id="3" w:name="_Hlk131086160"/>
      <w:r w:rsidRPr="0052783D">
        <w:rPr>
          <w:b/>
          <w:color w:val="000000"/>
        </w:rPr>
        <w:t xml:space="preserve">Analisis </w:t>
      </w:r>
      <w:r w:rsidRPr="0052783D">
        <w:rPr>
          <w:b/>
          <w:lang w:val="id-ID"/>
        </w:rPr>
        <w:t>Putusan Nomor</w:t>
      </w:r>
      <w:bookmarkEnd w:id="3"/>
      <w:r w:rsidRPr="0052783D">
        <w:rPr>
          <w:b/>
          <w:lang w:val="id-ID" w:eastAsia="id-ID"/>
        </w:rPr>
        <w:t>2218/Pid.B/2023/PN Mdn</w:t>
      </w:r>
    </w:p>
    <w:p w:rsidR="00412149" w:rsidRPr="0052783D" w:rsidRDefault="00412149" w:rsidP="00412149">
      <w:pPr>
        <w:autoSpaceDE w:val="0"/>
        <w:autoSpaceDN w:val="0"/>
        <w:adjustRightInd w:val="0"/>
        <w:spacing w:line="480" w:lineRule="auto"/>
        <w:ind w:firstLine="720"/>
        <w:jc w:val="both"/>
      </w:pPr>
      <w:r w:rsidRPr="0052783D">
        <w:t>Setiap putusan pengadilan harus disertai dengan bahan pertimbangan yang menjadi dasar hukum dan alasan putusan tersebut. Hal ini ada di dalam Pasal 14 ayat 2 Undang-Undang Nomor 48 Tahun 2009 Tentang Kekuasaan Kehakiman yang berbunyi: “Dalam sidang permusyawarahan, setiap hakim wajib menyampaikan pertimbangan atau pendapat tertulis terhadap perkara yang sedang diperiksa dan menjadi bagian yang tidak terpisahkan dari putusan”</w:t>
      </w:r>
    </w:p>
    <w:p w:rsidR="00412149" w:rsidRPr="0052783D" w:rsidRDefault="00412149" w:rsidP="00412149">
      <w:pPr>
        <w:autoSpaceDE w:val="0"/>
        <w:autoSpaceDN w:val="0"/>
        <w:adjustRightInd w:val="0"/>
        <w:spacing w:line="456" w:lineRule="auto"/>
        <w:ind w:firstLine="720"/>
        <w:jc w:val="both"/>
      </w:pPr>
      <w:r w:rsidRPr="0052783D">
        <w:t xml:space="preserve">Menurut pasal 1 angka 11 Undang-undang Nomor 8 Tahun 1981 mengenai Kitab Undang-undang Hukum Acara Pidana (KUHAP) menyatkan bahwa putusan pengadilan adalah pernyataan hakim yang diucapkan dalam sidang pengadilan terbuka, yang dapat berupa pemindahan atau bebas atau lepas dari segala tuntutan dalam hal serta cara yang diatur undang-undang ini. </w:t>
      </w:r>
    </w:p>
    <w:p w:rsidR="00412149" w:rsidRPr="0052783D" w:rsidRDefault="00412149" w:rsidP="00412149">
      <w:pPr>
        <w:autoSpaceDE w:val="0"/>
        <w:autoSpaceDN w:val="0"/>
        <w:adjustRightInd w:val="0"/>
        <w:spacing w:line="480" w:lineRule="auto"/>
        <w:ind w:firstLine="720"/>
        <w:jc w:val="both"/>
      </w:pPr>
      <w:r w:rsidRPr="0052783D">
        <w:t>Seorang terdakwa dapat dijatuhi pidana apabila terdakwa jika di dalam persidangan terbukti secara sah dan menyakinkan melakukan tindak pidana. oleh karena itu, dalam persidangan hakim harus menyebutkan perbuatan terdakwa yang mana sesuai fakta terungkap dipersidangan dan memenuhi rumusan pasal tertentu dari suatu peraturan perundang-undangan.</w:t>
      </w:r>
      <w:r w:rsidRPr="0052783D">
        <w:rPr>
          <w:rStyle w:val="FootnoteReference"/>
        </w:rPr>
        <w:footnoteReference w:id="50"/>
      </w:r>
    </w:p>
    <w:p w:rsidR="00412149" w:rsidRPr="0052783D" w:rsidRDefault="00412149" w:rsidP="00412149">
      <w:pPr>
        <w:autoSpaceDE w:val="0"/>
        <w:autoSpaceDN w:val="0"/>
        <w:adjustRightInd w:val="0"/>
        <w:spacing w:line="480" w:lineRule="auto"/>
        <w:ind w:firstLine="720"/>
        <w:jc w:val="both"/>
      </w:pPr>
      <w:r w:rsidRPr="0052783D">
        <w:lastRenderedPageBreak/>
        <w:t>Hakim dalam upaya membuat putusan mempunyai pertimbangan yuridis yang terdiri dari dakwaan penuntut umum, keterangan terdakwa, keterangan saksi, barang-barang bukti, dan pasal-pasal perbuatan hukum pidana, serta pertimbangan non yuridis yang terdiri dari latar belakang perbuatan terdakwa, akibat perbuatan terdakwa, kondisi terdakwa, serta kondisi ekonomi terdakwa, ditambah hakim haruslah meyakini apakah terdakwa melakukan perbuatan pidana atau tidak sebagaimana yang termuat dalam unsur-unsur tindak pidana yang didakwakan kepadanya.</w:t>
      </w:r>
      <w:r w:rsidRPr="0052783D">
        <w:rPr>
          <w:rStyle w:val="FootnoteReference"/>
        </w:rPr>
        <w:footnoteReference w:id="51"/>
      </w:r>
    </w:p>
    <w:p w:rsidR="00412149" w:rsidRPr="0052783D" w:rsidRDefault="00412149" w:rsidP="00412149">
      <w:pPr>
        <w:autoSpaceDE w:val="0"/>
        <w:autoSpaceDN w:val="0"/>
        <w:adjustRightInd w:val="0"/>
        <w:spacing w:line="504" w:lineRule="auto"/>
        <w:ind w:firstLine="748"/>
        <w:jc w:val="both"/>
      </w:pPr>
      <w:r w:rsidRPr="0052783D">
        <w:rPr>
          <w:lang w:val="en-GB" w:eastAsia="en-GB"/>
        </w:rPr>
        <w:t xml:space="preserve">Dihubungkan dengan </w:t>
      </w:r>
      <w:r w:rsidRPr="0052783D">
        <w:t xml:space="preserve">pertimbangan hukum hakim dalam </w:t>
      </w:r>
      <w:r w:rsidRPr="0052783D">
        <w:rPr>
          <w:bCs/>
          <w:lang w:val="id-ID"/>
        </w:rPr>
        <w:t>Putusan Nomor</w:t>
      </w:r>
      <w:r w:rsidRPr="0052783D">
        <w:rPr>
          <w:lang w:val="id-ID" w:eastAsia="id-ID"/>
        </w:rPr>
        <w:t>2218/Pid.B/2023/PN Mdn</w:t>
      </w:r>
      <w:r w:rsidRPr="0052783D">
        <w:rPr>
          <w:lang w:val="en-GB" w:eastAsia="en-GB"/>
        </w:rPr>
        <w:t xml:space="preserve">, maka sanksi pidana bagi orang yang melakukan </w:t>
      </w:r>
      <w:r w:rsidRPr="0052783D">
        <w:t>perbuatan penggelapan dana nasabah tersebut sebagaimana diatur dalam Pasal 374 KUHPidana. Perbuatan yang dilakukan oleh terdakwa tersebut jelas telah melanggar ketentuan</w:t>
      </w:r>
      <w:r w:rsidRPr="0052783D">
        <w:rPr>
          <w:color w:val="000000"/>
        </w:rPr>
        <w:t xml:space="preserve"> sebagaimana diatur dalam </w:t>
      </w:r>
      <w:r w:rsidRPr="0052783D">
        <w:t>Pasal 374 KUHPidana yang unsur-unsurnya adalah :</w:t>
      </w:r>
    </w:p>
    <w:p w:rsidR="00412149" w:rsidRPr="0052783D" w:rsidRDefault="00412149" w:rsidP="00412149">
      <w:pPr>
        <w:numPr>
          <w:ilvl w:val="3"/>
          <w:numId w:val="40"/>
        </w:numPr>
        <w:tabs>
          <w:tab w:val="clear" w:pos="2880"/>
          <w:tab w:val="num" w:pos="360"/>
        </w:tabs>
        <w:autoSpaceDE w:val="0"/>
        <w:autoSpaceDN w:val="0"/>
        <w:adjustRightInd w:val="0"/>
        <w:spacing w:line="480" w:lineRule="auto"/>
        <w:ind w:left="360"/>
        <w:jc w:val="both"/>
      </w:pPr>
      <w:r w:rsidRPr="0052783D">
        <w:rPr>
          <w:bCs/>
        </w:rPr>
        <w:t>Unsur barang siapa</w:t>
      </w:r>
    </w:p>
    <w:p w:rsidR="00412149" w:rsidRPr="0052783D" w:rsidRDefault="00412149" w:rsidP="00412149">
      <w:pPr>
        <w:autoSpaceDE w:val="0"/>
        <w:autoSpaceDN w:val="0"/>
        <w:adjustRightInd w:val="0"/>
        <w:spacing w:line="480" w:lineRule="auto"/>
        <w:ind w:firstLine="720"/>
        <w:jc w:val="both"/>
      </w:pPr>
      <w:r w:rsidRPr="0052783D">
        <w:t xml:space="preserve">Terdakwa yang diahadapkan dipersidangan ini dengan berdasarkan fakta yang terungkap dipersidangan yang diperoleh dari keterangan saksi-saksi, barang bukti dan keterangan Terdakwa sendiri yang membenarkan identitasnya dalam surat dakwaan Jaksa Penuntut Umum, maka Terdakwa yang diajukan dalam perkara ini adalah </w:t>
      </w:r>
      <w:r w:rsidRPr="0052783D">
        <w:rPr>
          <w:lang w:val="en-ID" w:eastAsia="en-ID"/>
        </w:rPr>
        <w:t xml:space="preserve">Edi Alias Acun </w:t>
      </w:r>
      <w:r w:rsidRPr="0052783D">
        <w:t>sebagai manusian yang dapat mempertanggungjawabkan perbuatannya. Berdasarkan uraian tersebut, maka unsur ini telah terbukti secara sah dan meyakinkan.</w:t>
      </w:r>
    </w:p>
    <w:p w:rsidR="00412149" w:rsidRPr="0052783D" w:rsidRDefault="00412149" w:rsidP="00412149">
      <w:pPr>
        <w:numPr>
          <w:ilvl w:val="3"/>
          <w:numId w:val="40"/>
        </w:numPr>
        <w:tabs>
          <w:tab w:val="clear" w:pos="2880"/>
          <w:tab w:val="num" w:pos="360"/>
        </w:tabs>
        <w:autoSpaceDE w:val="0"/>
        <w:autoSpaceDN w:val="0"/>
        <w:adjustRightInd w:val="0"/>
        <w:spacing w:line="480" w:lineRule="auto"/>
        <w:ind w:left="360"/>
        <w:jc w:val="both"/>
        <w:rPr>
          <w:bCs/>
        </w:rPr>
      </w:pPr>
      <w:r w:rsidRPr="0052783D">
        <w:rPr>
          <w:bCs/>
        </w:rPr>
        <w:lastRenderedPageBreak/>
        <w:t xml:space="preserve">Unsur dengan </w:t>
      </w:r>
      <w:r w:rsidRPr="0052783D">
        <w:rPr>
          <w:bCs/>
          <w:lang w:val="en-ID" w:eastAsia="en-ID"/>
        </w:rPr>
        <w:t>sengaja dan melawan hukum memiliki barang sesuatu yang seluruhnya atau sebagian adalah kepunyaan orang lain</w:t>
      </w:r>
    </w:p>
    <w:p w:rsidR="00412149" w:rsidRPr="0052783D" w:rsidRDefault="00412149" w:rsidP="00412149">
      <w:pPr>
        <w:autoSpaceDE w:val="0"/>
        <w:autoSpaceDN w:val="0"/>
        <w:adjustRightInd w:val="0"/>
        <w:spacing w:line="480" w:lineRule="auto"/>
        <w:ind w:firstLine="720"/>
        <w:jc w:val="both"/>
        <w:rPr>
          <w:lang w:val="en-ID" w:eastAsia="en-ID"/>
        </w:rPr>
      </w:pPr>
      <w:r w:rsidRPr="0052783D">
        <w:rPr>
          <w:lang w:val="en-ID" w:eastAsia="en-ID"/>
        </w:rPr>
        <w:t xml:space="preserve">Pengertian “dengan sengaja” atau </w:t>
      </w:r>
      <w:r w:rsidRPr="0052783D">
        <w:rPr>
          <w:i/>
          <w:iCs/>
          <w:lang w:val="en-ID" w:eastAsia="en-ID"/>
        </w:rPr>
        <w:t xml:space="preserve">opzet </w:t>
      </w:r>
      <w:r w:rsidRPr="0052783D">
        <w:rPr>
          <w:lang w:val="en-ID" w:eastAsia="en-ID"/>
        </w:rPr>
        <w:t xml:space="preserve">atau </w:t>
      </w:r>
      <w:r w:rsidRPr="0052783D">
        <w:rPr>
          <w:i/>
          <w:iCs/>
          <w:lang w:val="en-ID" w:eastAsia="en-ID"/>
        </w:rPr>
        <w:t xml:space="preserve">dolus </w:t>
      </w:r>
      <w:r w:rsidRPr="0052783D">
        <w:rPr>
          <w:lang w:val="en-ID" w:eastAsia="en-ID"/>
        </w:rPr>
        <w:t xml:space="preserve">tidak dijumpai pengertiannya dalam KUHP, namun dalam </w:t>
      </w:r>
      <w:r w:rsidRPr="0052783D">
        <w:rPr>
          <w:i/>
          <w:iCs/>
          <w:lang w:val="en-ID" w:eastAsia="en-ID"/>
        </w:rPr>
        <w:t xml:space="preserve">Memorie van Toelichting </w:t>
      </w:r>
      <w:r w:rsidRPr="0052783D">
        <w:rPr>
          <w:lang w:val="en-ID" w:eastAsia="en-ID"/>
        </w:rPr>
        <w:t xml:space="preserve">disebutkan bahwa yang dimaksud dengan sengaja atau kesengajaan adalah menghendaki dan menginsyafi terjadinya sesuatu tindakan beserta akibatnya </w:t>
      </w:r>
      <w:r w:rsidRPr="0052783D">
        <w:rPr>
          <w:i/>
          <w:iCs/>
          <w:lang w:val="en-ID" w:eastAsia="en-ID"/>
        </w:rPr>
        <w:t xml:space="preserve">(willens en wetens veroorzaken van een gevolg) </w:t>
      </w:r>
      <w:r w:rsidRPr="0052783D">
        <w:rPr>
          <w:lang w:val="en-ID" w:eastAsia="en-ID"/>
        </w:rPr>
        <w:t>artinya seseorang melakukan perbuatan dengan sengaja, maka ia harus menghendaki dan menginsyafi akan akibat yang ditimbulkan dari perbuatan tersebut, maka harus dibuktikan apakah adanya kehendak yang disadari dan yang ditujukan untuk melakukan perbuatan sebagaiman didakwakan yang bersifat kejahatan.</w:t>
      </w:r>
    </w:p>
    <w:p w:rsidR="00412149" w:rsidRPr="0052783D" w:rsidRDefault="00412149" w:rsidP="00412149">
      <w:pPr>
        <w:autoSpaceDE w:val="0"/>
        <w:autoSpaceDN w:val="0"/>
        <w:adjustRightInd w:val="0"/>
        <w:spacing w:line="480" w:lineRule="auto"/>
        <w:ind w:firstLine="720"/>
        <w:jc w:val="both"/>
        <w:rPr>
          <w:lang w:val="en-ID" w:eastAsia="en-ID"/>
        </w:rPr>
      </w:pPr>
      <w:r w:rsidRPr="0052783D">
        <w:rPr>
          <w:lang w:val="en-ID" w:eastAsia="en-ID"/>
        </w:rPr>
        <w:t>Berdasarkan Putusan Mahkamah Agung Republik Indonesia No: 69K/Kr/1959, tanggal 11 Agustus 1959, yang pada pokoknya menyatakan bahwa “unsur memiliki dalam Pasal 372 KUHP berarti menguasai suatu benda bertentangan dengan sifat dari Hak yang dimiliki atas benda itu.” Objek dari perbuatan menguasai secara melawan hukum itu ialah suatu benda yang sebagian atau seluruhnya merupakan kepunyaan orang lain, yang berada dalam penguasaan pelaku bukan karena kejahatan yakni misalnya karena dipinjamkan, disewakan, dititipkan, dipercayakan, dijaminkan dan sebagainya.</w:t>
      </w:r>
    </w:p>
    <w:p w:rsidR="00412149" w:rsidRPr="0052783D" w:rsidRDefault="00412149" w:rsidP="00412149">
      <w:pPr>
        <w:autoSpaceDE w:val="0"/>
        <w:autoSpaceDN w:val="0"/>
        <w:adjustRightInd w:val="0"/>
        <w:spacing w:line="480" w:lineRule="auto"/>
        <w:ind w:firstLine="720"/>
        <w:jc w:val="both"/>
        <w:rPr>
          <w:lang w:val="en-ID" w:eastAsia="en-ID"/>
        </w:rPr>
      </w:pPr>
      <w:r w:rsidRPr="0052783D">
        <w:rPr>
          <w:lang w:val="en-ID" w:eastAsia="en-ID"/>
        </w:rPr>
        <w:t xml:space="preserve">Mengenai pengertian benda atau barang tidak ada petunjuk lain bahwa yang dimaksudkan dengan benda atau barang di dalam Pasal 372 KUHP ialah benda yang menurut sifatnya dapat dipindah-pindahkan ataupun yang dalam praktik juga sering disebut sebagai benda bergerak. Apa yang diuraikan di atas, </w:t>
      </w:r>
      <w:r w:rsidRPr="0052783D">
        <w:rPr>
          <w:lang w:val="en-ID" w:eastAsia="en-ID"/>
        </w:rPr>
        <w:lastRenderedPageBreak/>
        <w:t>merupakan landasan bagi Majelis Hakim dalam mempertimbangkan dan membuktikan unsur ini dengan memperhatikan dan mempertimbangkan semua alat bukti yang dihadirkan dan diajukan ke persidangan, serta fakta-fakta yang terungkap di persidangan, sehingga segala hal dan keadaan yang pada awalnya terlihat dalam keadaan berdiri sendiri, terpisah satu sama lain, pada akhirnya akan dapat dianalisis untuk kemudian dapat dirangkum menjadi satu kesatuan yang terkait satu sama lain, guna mendapatkan kebenaran yang menurut hukum pembuktian adalah sah dan meyakinkan.</w:t>
      </w:r>
    </w:p>
    <w:p w:rsidR="00412149" w:rsidRPr="0052783D" w:rsidRDefault="00412149" w:rsidP="00412149">
      <w:pPr>
        <w:autoSpaceDE w:val="0"/>
        <w:autoSpaceDN w:val="0"/>
        <w:adjustRightInd w:val="0"/>
        <w:spacing w:line="480" w:lineRule="auto"/>
        <w:ind w:firstLine="720"/>
        <w:jc w:val="both"/>
      </w:pPr>
      <w:r w:rsidRPr="0052783D">
        <w:rPr>
          <w:lang w:val="en-ID" w:eastAsia="en-ID"/>
        </w:rPr>
        <w:t xml:space="preserve">Berdasarkan keterangan saksi-saksi dan dihubungkan dengan keterangan Terdakwa serta dikaitkan dengan barang bukti yang saling berkaitan satu dengan yang lainnya, maka didapat fakta bahwa  </w:t>
      </w:r>
      <w:r w:rsidRPr="0052783D">
        <w:t xml:space="preserve">sejak tahun 2008 terdakwa bekerja di Toko Pratama Jaya milik saksi korban Hendra Moksa yang bergerak di bidang penjualan spearpart mobil dimana tugas dan tanggung jawab terdakwa yaitu menawarkan barang ke toko – toko sekaligus mengorder barang pesanan di daerah Kota Medan dan luar kota, menagih pembayaran serta menyetorkannya kepada saksi Chatherine yang merupakan admin toko </w:t>
      </w:r>
    </w:p>
    <w:p w:rsidR="00412149" w:rsidRPr="0052783D" w:rsidRDefault="00412149" w:rsidP="00412149">
      <w:pPr>
        <w:autoSpaceDE w:val="0"/>
        <w:autoSpaceDN w:val="0"/>
        <w:adjustRightInd w:val="0"/>
        <w:spacing w:line="480" w:lineRule="auto"/>
        <w:ind w:firstLine="720"/>
        <w:jc w:val="both"/>
      </w:pPr>
      <w:r w:rsidRPr="0052783D">
        <w:t xml:space="preserve">Pada bulan September 2020 saksi Chatherine melakukan audit tagihan toko – toko yang belum membayar pelunasan sebesar Rp.292.580.230,- (dua ratus sembilan puluh dua juta lima ratus delapan puluh ribu dua ratus tiga puluh rupiah) sehingga saksi Chatherine menghubungi pihak – pihak toko luar kota untuk menanyakan perihal pelunasan yang sudah jatuh tempo namun pihak toko yang ada di luar kota mengatakan sudah membayar lunas kepada terdakwa selaku sales secara cash dan transfer sehingga saksi Chatherine mengkonfirmasi kepada </w:t>
      </w:r>
      <w:r w:rsidRPr="0052783D">
        <w:lastRenderedPageBreak/>
        <w:t>terdakwa namun terdakwa mengatakan nanti dipotongkan ke gaji atau omset. Kemudian pada tahun 2022 terdakwa melakukan tagihan kepada customer yang tidak disetorkan kepada Toko Pratama Jaya sebesar Rp.284.178.050,- (dua ratus delapan puluh empat juta seratus tujuh puluh delapan ribu lima puluh rupiah) dan pada Tahun 2023 terdakwa melakukan tagihan kepada customer yang tidak disetorkan kepada Toko Pratama Jaya sebesar Rp.100.492.862 (seratus juta empat ratus Sembilan puluh dua ribu delapan ratus enam puluh dua rupiah) serta barang-barang return/kembali yang ternyata tidak return / kembali sebesar Rp.11.785.500,- (sebelas juta tujuh ratus delapan puluh lima ribu lima ratus rupiah) .</w:t>
      </w:r>
    </w:p>
    <w:p w:rsidR="00412149" w:rsidRPr="0052783D" w:rsidRDefault="00412149" w:rsidP="00412149">
      <w:pPr>
        <w:autoSpaceDE w:val="0"/>
        <w:autoSpaceDN w:val="0"/>
        <w:adjustRightInd w:val="0"/>
        <w:spacing w:line="480" w:lineRule="auto"/>
        <w:ind w:firstLine="720"/>
        <w:jc w:val="both"/>
      </w:pPr>
      <w:r w:rsidRPr="0052783D">
        <w:t>Total tagihan yang tidak disetorkan terdakwa kepada Toko Pratama Jaya dari Tahun 2020 sampai tahun 2023 sebesar Rp.689.036.642,- (enam ratus delapan puluh sembilan juta tiga puluh enam ribu enam ratus empat puluh dua rupiah) dan dikurangi omset / komisi yang diberikan oleh Toko Pratama Jaya kepada terdakwa sebesar Rp.290.424.176,- (dua ratus sembilan puluh juta empat ratus dua puluh empat ribu seratus tujuh puluh enam rupiah) sehingga sisa uang tagihan yang belum disetorkan terdakwa sebesar Rp.398.612.466,- (tiga ratus sembilan puluh delapan juta enam ratus dua belas ribu empat ratus enam puluh enam rupiah) sehingga saksi korban Hendra Moksa melaporkan perbuatan terdakwa ke Polrestabes Medan untuk diproses lebih lanjut.</w:t>
      </w:r>
    </w:p>
    <w:p w:rsidR="00412149" w:rsidRPr="0052783D" w:rsidRDefault="00412149" w:rsidP="00412149">
      <w:pPr>
        <w:autoSpaceDE w:val="0"/>
        <w:autoSpaceDN w:val="0"/>
        <w:adjustRightInd w:val="0"/>
        <w:spacing w:line="480" w:lineRule="auto"/>
        <w:ind w:firstLine="720"/>
        <w:jc w:val="both"/>
      </w:pPr>
      <w:r w:rsidRPr="0052783D">
        <w:t xml:space="preserve">Berdasarkan pertimbangan tersebut Majelis Hakim berpendapat unsur kedua “memiliki barang sesuatu yang seluruhnya atau sebagian adalah kepunyaan orang lain, tetapi yang ada dalam kekuasaannya bukan karena kejahatan yang </w:t>
      </w:r>
      <w:r w:rsidRPr="0052783D">
        <w:lastRenderedPageBreak/>
        <w:t>dilakukan oleh orang yang penguasaannya terhadap barang disebabkan karena ada hubungan kerja atau karena pencarian atau karena mendapat upah untuk itu“ telah terpenuhi.</w:t>
      </w:r>
    </w:p>
    <w:p w:rsidR="00412149" w:rsidRPr="0052783D" w:rsidRDefault="00412149" w:rsidP="00412149">
      <w:pPr>
        <w:autoSpaceDE w:val="0"/>
        <w:autoSpaceDN w:val="0"/>
        <w:adjustRightInd w:val="0"/>
        <w:spacing w:line="480" w:lineRule="auto"/>
        <w:ind w:firstLine="720"/>
        <w:jc w:val="both"/>
      </w:pPr>
      <w:r w:rsidRPr="0052783D">
        <w:t xml:space="preserve">Seluruh unsur-unsur dalam dakwaan melanggar Pasal 374 KUHPidana telah terbukti secara sah dan meyakinkan menurut hukum dilakukan oleh terdakwa </w:t>
      </w:r>
      <w:r w:rsidRPr="0052783D">
        <w:rPr>
          <w:lang w:val="en-ID" w:eastAsia="en-ID"/>
        </w:rPr>
        <w:t>Edi Alias Acun</w:t>
      </w:r>
      <w:r w:rsidRPr="0052783D">
        <w:t xml:space="preserve"> berdasaran uraian keterangan saksi-saksi dan keterangan Terdakwa serta dihubungkan dengan barang bukti maka telah terbukti secara sah dan meyakinkan oleh karena itu terhadap terdakwa dapat dijatuhi hukuman yang sesuai dengan perbuatannya.</w:t>
      </w:r>
    </w:p>
    <w:p w:rsidR="00412149" w:rsidRPr="0052783D" w:rsidRDefault="00412149" w:rsidP="00412149">
      <w:pPr>
        <w:autoSpaceDE w:val="0"/>
        <w:autoSpaceDN w:val="0"/>
        <w:adjustRightInd w:val="0"/>
        <w:spacing w:line="480" w:lineRule="auto"/>
        <w:ind w:firstLine="720"/>
        <w:jc w:val="both"/>
      </w:pPr>
      <w:r w:rsidRPr="0052783D">
        <w:t>Majelis Hakim dalam persidangan tidak menemukan hal-hal yang dapat menghapus pertanggungjawaban pidana, baik alasan pembenar atau alasan pemaaf, maka terdakwa harus mempertanggungjawabkan perbuatannya dan karena terdakwa mampu bertanggung jawab, maka harus dinyatakan bersalah dan dijatuhi pidana.</w:t>
      </w:r>
    </w:p>
    <w:p w:rsidR="00412149" w:rsidRPr="0052783D" w:rsidRDefault="00412149" w:rsidP="00412149">
      <w:pPr>
        <w:autoSpaceDE w:val="0"/>
        <w:autoSpaceDN w:val="0"/>
        <w:adjustRightInd w:val="0"/>
        <w:spacing w:line="480" w:lineRule="auto"/>
        <w:ind w:firstLine="720"/>
        <w:jc w:val="both"/>
      </w:pPr>
      <w:r w:rsidRPr="0052783D">
        <w:t>Khusus dalam tindak pidana penggelapan dalam jabatan yang dilakukan oleh terdakwa, hakim sebelum menjatuhkan pidana yang dipandang setimpal dengan perbuatannya dengan memperhatikan hal-hal yang memberatkan dan meringankan sebagai berikut:</w:t>
      </w:r>
    </w:p>
    <w:p w:rsidR="00412149" w:rsidRPr="0052783D" w:rsidRDefault="00412149" w:rsidP="00412149">
      <w:pPr>
        <w:numPr>
          <w:ilvl w:val="1"/>
          <w:numId w:val="39"/>
        </w:numPr>
        <w:tabs>
          <w:tab w:val="clear" w:pos="1931"/>
          <w:tab w:val="num" w:pos="-1211"/>
        </w:tabs>
        <w:autoSpaceDE w:val="0"/>
        <w:autoSpaceDN w:val="0"/>
        <w:adjustRightInd w:val="0"/>
        <w:spacing w:line="480" w:lineRule="auto"/>
        <w:ind w:left="360"/>
        <w:jc w:val="both"/>
      </w:pPr>
      <w:r w:rsidRPr="0052783D">
        <w:t>Hal yang memberatkan bahwa perbuatan terdakwa mengakibatkan saksi korban Hendra Moksa mengalami kerugian sebesar Rp.398.612.466,- (tiga ratus sembilan puluh delapan juta enam ratus dua belas ribu empat ratus enam puluh enam rupiah) serta terdakwa sudah menikmati hasil perbuatannya</w:t>
      </w:r>
      <w:r w:rsidRPr="0052783D">
        <w:rPr>
          <w:lang w:val="en-ID" w:eastAsia="en-ID"/>
        </w:rPr>
        <w:t>.</w:t>
      </w:r>
    </w:p>
    <w:p w:rsidR="00412149" w:rsidRPr="0052783D" w:rsidRDefault="00412149" w:rsidP="00412149">
      <w:pPr>
        <w:numPr>
          <w:ilvl w:val="1"/>
          <w:numId w:val="39"/>
        </w:numPr>
        <w:tabs>
          <w:tab w:val="clear" w:pos="1931"/>
          <w:tab w:val="num" w:pos="-1211"/>
        </w:tabs>
        <w:autoSpaceDE w:val="0"/>
        <w:autoSpaceDN w:val="0"/>
        <w:adjustRightInd w:val="0"/>
        <w:spacing w:line="480" w:lineRule="auto"/>
        <w:ind w:left="360"/>
        <w:jc w:val="both"/>
      </w:pPr>
      <w:r w:rsidRPr="0052783D">
        <w:rPr>
          <w:bCs/>
        </w:rPr>
        <w:t>Keadaan yang meringankan t</w:t>
      </w:r>
      <w:r w:rsidRPr="0052783D">
        <w:t xml:space="preserve">erdakwa </w:t>
      </w:r>
      <w:r w:rsidRPr="0052783D">
        <w:rPr>
          <w:lang w:val="en-ID" w:eastAsia="en-ID"/>
        </w:rPr>
        <w:t>terdakwa belum pernah dihukum</w:t>
      </w:r>
    </w:p>
    <w:p w:rsidR="00412149" w:rsidRPr="0052783D" w:rsidRDefault="00412149" w:rsidP="00412149">
      <w:pPr>
        <w:autoSpaceDE w:val="0"/>
        <w:autoSpaceDN w:val="0"/>
        <w:adjustRightInd w:val="0"/>
        <w:spacing w:line="480" w:lineRule="auto"/>
        <w:ind w:firstLine="720"/>
        <w:jc w:val="both"/>
      </w:pPr>
      <w:r w:rsidRPr="0052783D">
        <w:rPr>
          <w:lang w:eastAsia="id-ID"/>
        </w:rPr>
        <w:lastRenderedPageBreak/>
        <w:t>B</w:t>
      </w:r>
      <w:r w:rsidRPr="0052783D">
        <w:t>erdasarkan hal tersebut, maka sebelum menetapkan atau menjatuhkan putusan terhadap pelaku tindak pidana penggelapan dalam jabatan yang dilakukan oleh terdakwa, maka hakim terlebih dahulu turut mempertimbangkan berbagai hal. Misalnya fakta-fakta yang terungkap di persidangan, pertimbangan yuridis dan non yuridis, keadaan dan latar belakang keluarga terdakwa, serta beberapa hal lain yang berhubungan dengan tindak pidana yang dilakukan oleh terdakwa.</w:t>
      </w:r>
    </w:p>
    <w:p w:rsidR="00412149" w:rsidRPr="0052783D" w:rsidRDefault="00412149" w:rsidP="00412149">
      <w:pPr>
        <w:autoSpaceDE w:val="0"/>
        <w:autoSpaceDN w:val="0"/>
        <w:adjustRightInd w:val="0"/>
        <w:spacing w:line="480" w:lineRule="auto"/>
        <w:ind w:firstLine="720"/>
        <w:jc w:val="both"/>
      </w:pPr>
      <w:r w:rsidRPr="0052783D">
        <w:t>Hakim dalam upaya membuat putusan serta menjatuhkan sanksi pidana, hakim harus mempunyai pertimbangan yuridis yang terdiri dari dakwaan Penuntut Umum, keterangan terdakwa, keterangan saksi, barang-barang bukti, dan pasal-pasal dalam hukum pidana. Adapula pertimbangan non yuridis yang terdiri dari latar belakang perbuatan terdakwa, akibat perbuatan serta kondisi terdakwa pada saat melakukan perbuatan.</w:t>
      </w:r>
    </w:p>
    <w:p w:rsidR="00412149" w:rsidRPr="0052783D" w:rsidRDefault="00412149" w:rsidP="00412149">
      <w:pPr>
        <w:autoSpaceDE w:val="0"/>
        <w:autoSpaceDN w:val="0"/>
        <w:adjustRightInd w:val="0"/>
        <w:spacing w:line="480" w:lineRule="auto"/>
        <w:ind w:firstLine="720"/>
        <w:jc w:val="both"/>
      </w:pPr>
      <w:r w:rsidRPr="0052783D">
        <w:t>Berdasarkan putusan majelis hakim, maka yang menjadi dasar pertimbangan sehingga hakim memberikan putusan berdasarkan KUHP disebabkan pelaku  terbukti secara sah dan meyakinkan bersalah melakukan tindak pidana penggelapan dalam jabatan sebagaimana dalam dakwaan pertama yaitu  Pasal 374 KUHPidana.</w:t>
      </w:r>
    </w:p>
    <w:p w:rsidR="00412149" w:rsidRPr="0052783D" w:rsidRDefault="00412149" w:rsidP="00412149">
      <w:pPr>
        <w:autoSpaceDE w:val="0"/>
        <w:autoSpaceDN w:val="0"/>
        <w:adjustRightInd w:val="0"/>
        <w:spacing w:line="480" w:lineRule="auto"/>
        <w:ind w:firstLine="720"/>
        <w:jc w:val="both"/>
        <w:rPr>
          <w:lang w:val="id-ID" w:eastAsia="id-ID"/>
        </w:rPr>
      </w:pPr>
      <w:r w:rsidRPr="0052783D">
        <w:rPr>
          <w:lang w:val="id-ID" w:eastAsia="id-ID"/>
        </w:rPr>
        <w:t xml:space="preserve">Menurut penulis, pertimbangan hukum yang dijatuhkan majelis hakim Pengadilan Negeri </w:t>
      </w:r>
      <w:r w:rsidRPr="0052783D">
        <w:rPr>
          <w:lang w:eastAsia="id-ID"/>
        </w:rPr>
        <w:t xml:space="preserve">Medan </w:t>
      </w:r>
      <w:r w:rsidRPr="0052783D">
        <w:rPr>
          <w:lang w:val="id-ID" w:eastAsia="id-ID"/>
        </w:rPr>
        <w:t xml:space="preserve">adalah </w:t>
      </w:r>
      <w:r w:rsidRPr="0052783D">
        <w:rPr>
          <w:lang w:eastAsia="id-ID"/>
        </w:rPr>
        <w:t xml:space="preserve">berdasarkan </w:t>
      </w:r>
      <w:r w:rsidRPr="0052783D">
        <w:rPr>
          <w:lang w:val="id-ID" w:eastAsia="id-ID"/>
        </w:rPr>
        <w:t>fakta</w:t>
      </w:r>
      <w:r w:rsidRPr="0052783D">
        <w:rPr>
          <w:lang w:eastAsia="id-ID"/>
        </w:rPr>
        <w:t>-</w:t>
      </w:r>
      <w:r w:rsidRPr="0052783D">
        <w:rPr>
          <w:lang w:val="id-ID" w:eastAsia="id-ID"/>
        </w:rPr>
        <w:t>fakta hukum yang terbukti beserta alat pembuktian yang diperoleh dari pemeriksaan disidang pengadilan. Alat bukti yang diajukan adalah keterangan saksi, keterangan terdakwa dan barang bukti.</w:t>
      </w:r>
    </w:p>
    <w:p w:rsidR="00412149" w:rsidRPr="0052783D" w:rsidRDefault="00412149" w:rsidP="00412149">
      <w:pPr>
        <w:autoSpaceDE w:val="0"/>
        <w:autoSpaceDN w:val="0"/>
        <w:adjustRightInd w:val="0"/>
        <w:spacing w:line="480" w:lineRule="auto"/>
        <w:ind w:firstLine="720"/>
        <w:jc w:val="both"/>
        <w:rPr>
          <w:lang w:eastAsia="id-ID"/>
        </w:rPr>
      </w:pPr>
      <w:r w:rsidRPr="0052783D">
        <w:rPr>
          <w:lang w:eastAsia="id-ID"/>
        </w:rPr>
        <w:lastRenderedPageBreak/>
        <w:t>Penulis berpendapat bahwa s</w:t>
      </w:r>
      <w:r w:rsidRPr="0052783D">
        <w:rPr>
          <w:lang w:val="id-ID" w:eastAsia="id-ID"/>
        </w:rPr>
        <w:t xml:space="preserve">anksi hukuman yang diberikan oleh Pengadilan Negeri Medan kepada terdakwa dengan hukuman penjara </w:t>
      </w:r>
      <w:r w:rsidRPr="0052783D">
        <w:rPr>
          <w:lang w:val="en-ID" w:eastAsia="en-ID"/>
        </w:rPr>
        <w:t xml:space="preserve">3 (tiga) tahun </w:t>
      </w:r>
      <w:r w:rsidRPr="0052783D">
        <w:rPr>
          <w:lang w:val="id-ID" w:eastAsia="id-ID"/>
        </w:rPr>
        <w:t xml:space="preserve">tidak sesuai dengan apa yang sudah dilakukan oleh terdakwa. Terdakwa melanggar Pasal 374 KUHP, Pasal ini termasuk penggelapan diperberat, dengan tuntutan penjara paling lama lima tahun. Hukuman penjara </w:t>
      </w:r>
      <w:r w:rsidRPr="0052783D">
        <w:rPr>
          <w:lang w:eastAsia="id-ID"/>
        </w:rPr>
        <w:t>3</w:t>
      </w:r>
      <w:r w:rsidRPr="0052783D">
        <w:rPr>
          <w:lang w:val="en-ID" w:eastAsia="en-ID"/>
        </w:rPr>
        <w:t xml:space="preserve"> (tiga) tahun </w:t>
      </w:r>
      <w:r w:rsidRPr="0052783D">
        <w:rPr>
          <w:lang w:val="id-ID" w:eastAsia="id-ID"/>
        </w:rPr>
        <w:t>sangat ringan dari maksimal hukuman Pasal 374 KUHP.</w:t>
      </w:r>
    </w:p>
    <w:p w:rsidR="006948A6" w:rsidRPr="00412149" w:rsidRDefault="00412149" w:rsidP="00412149">
      <w:r w:rsidRPr="0052783D">
        <w:rPr>
          <w:lang w:eastAsia="id-ID"/>
        </w:rPr>
        <w:t>Meurut penulis, hukuman yang diijatuhkan terhadap pelaku tindak pidana penggelapan dalam jabatan seharusnya diperberat sehingga dapat menimbulkan efek jera dan hukuman yang lebih berat membuat pelaku menjadi jera dan tidak akan mengulangi lagi perbuatan penggelapan dalam jabatan yang merugikan perusahaan</w:t>
      </w:r>
      <w:r w:rsidRPr="0052783D">
        <w:rPr>
          <w:lang w:val="id-ID" w:eastAsia="id-ID"/>
        </w:rPr>
        <w:t>.</w:t>
      </w:r>
      <w:bookmarkStart w:id="4" w:name="_GoBack"/>
      <w:bookmarkEnd w:id="4"/>
    </w:p>
    <w:sectPr w:rsidR="006948A6" w:rsidRPr="00412149" w:rsidSect="009306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2EC" w:rsidRDefault="006442EC" w:rsidP="001B2FFB">
      <w:r>
        <w:separator/>
      </w:r>
    </w:p>
  </w:endnote>
  <w:endnote w:type="continuationSeparator" w:id="1">
    <w:p w:rsidR="006442EC" w:rsidRDefault="006442EC"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62" w:rsidRDefault="00516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62" w:rsidRDefault="00516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62" w:rsidRDefault="00516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2EC" w:rsidRDefault="006442EC" w:rsidP="001B2FFB">
      <w:r>
        <w:separator/>
      </w:r>
    </w:p>
  </w:footnote>
  <w:footnote w:type="continuationSeparator" w:id="1">
    <w:p w:rsidR="006442EC" w:rsidRDefault="006442EC" w:rsidP="001B2FFB">
      <w:r>
        <w:continuationSeparator/>
      </w:r>
    </w:p>
  </w:footnote>
  <w:footnote w:id="2">
    <w:p w:rsidR="00412149" w:rsidRDefault="00412149" w:rsidP="00412149">
      <w:pPr>
        <w:pStyle w:val="FootnoteText"/>
        <w:ind w:firstLine="720"/>
        <w:jc w:val="both"/>
      </w:pPr>
      <w:r w:rsidRPr="000628A7">
        <w:rPr>
          <w:rStyle w:val="FootnoteReference"/>
        </w:rPr>
        <w:footnoteRef/>
      </w:r>
      <w:r w:rsidRPr="000628A7">
        <w:t xml:space="preserve"> Barda Nawawi Arief,  </w:t>
      </w:r>
      <w:r w:rsidRPr="000628A7">
        <w:rPr>
          <w:i/>
        </w:rPr>
        <w:t xml:space="preserve">Bunga Rampai Kebijakan Hukum Pidana, </w:t>
      </w:r>
      <w:r w:rsidRPr="000628A7">
        <w:t>Citra Aditya Bhakti, Bandung, 2015, h.44-45.</w:t>
      </w:r>
    </w:p>
  </w:footnote>
  <w:footnote w:id="3">
    <w:p w:rsidR="00412149" w:rsidRDefault="00412149" w:rsidP="00412149">
      <w:pPr>
        <w:pStyle w:val="FootnoteText"/>
        <w:ind w:firstLine="720"/>
        <w:jc w:val="both"/>
      </w:pPr>
      <w:r w:rsidRPr="000628A7">
        <w:rPr>
          <w:rStyle w:val="FootnoteReference"/>
          <w:color w:val="000000"/>
        </w:rPr>
        <w:footnoteRef/>
      </w:r>
      <w:bookmarkStart w:id="1" w:name="_Hlk101831136"/>
      <w:r w:rsidRPr="000628A7">
        <w:rPr>
          <w:color w:val="000000"/>
        </w:rPr>
        <w:t xml:space="preserve">Ramadhan, “Tinjauan Kriminologis Terhadap Kejahatan Yang Terjadi Di Wilayah Pertambangan Poboya”. </w:t>
      </w:r>
      <w:r w:rsidRPr="000628A7">
        <w:rPr>
          <w:i/>
          <w:color w:val="000000"/>
        </w:rPr>
        <w:t>Jurnal Ilmu Hukum Legal Opinion</w:t>
      </w:r>
      <w:r w:rsidRPr="000628A7">
        <w:rPr>
          <w:color w:val="000000"/>
        </w:rPr>
        <w:t xml:space="preserve"> Edisi 6, Volume 2, Tahun 2019  </w:t>
      </w:r>
      <w:bookmarkEnd w:id="1"/>
      <w:r w:rsidRPr="000628A7">
        <w:rPr>
          <w:color w:val="000000"/>
        </w:rPr>
        <w:t>h. 4.</w:t>
      </w:r>
    </w:p>
  </w:footnote>
  <w:footnote w:id="4">
    <w:p w:rsidR="00412149" w:rsidRDefault="00412149" w:rsidP="00412149">
      <w:pPr>
        <w:pStyle w:val="FootnoteText"/>
        <w:ind w:firstLine="720"/>
        <w:jc w:val="both"/>
      </w:pPr>
      <w:r w:rsidRPr="000628A7">
        <w:rPr>
          <w:rStyle w:val="FootnoteReference"/>
        </w:rPr>
        <w:footnoteRef/>
      </w:r>
      <w:r w:rsidRPr="000628A7">
        <w:t xml:space="preserve"> Kartini Kartono, </w:t>
      </w:r>
      <w:r w:rsidRPr="000628A7">
        <w:rPr>
          <w:i/>
          <w:iCs/>
        </w:rPr>
        <w:t>Patalogi Sosial Jilid I</w:t>
      </w:r>
      <w:r w:rsidRPr="000628A7">
        <w:t>, Raja Grafindo Persada, Jakarta, 2013, h.74</w:t>
      </w:r>
    </w:p>
  </w:footnote>
  <w:footnote w:id="5">
    <w:p w:rsidR="00412149" w:rsidRDefault="00412149" w:rsidP="00412149">
      <w:pPr>
        <w:pStyle w:val="FootnoteText"/>
        <w:ind w:firstLine="720"/>
      </w:pPr>
      <w:r w:rsidRPr="000628A7">
        <w:rPr>
          <w:rStyle w:val="FootnoteReference"/>
        </w:rPr>
        <w:footnoteRef/>
      </w:r>
      <w:r w:rsidRPr="000628A7">
        <w:rPr>
          <w:i/>
        </w:rPr>
        <w:t>Ibid</w:t>
      </w:r>
      <w:r w:rsidRPr="000628A7">
        <w:t>, h.45.</w:t>
      </w:r>
    </w:p>
  </w:footnote>
  <w:footnote w:id="6">
    <w:p w:rsidR="00412149" w:rsidRDefault="00412149" w:rsidP="00412149">
      <w:pPr>
        <w:pStyle w:val="FootnoteText"/>
        <w:ind w:firstLine="720"/>
        <w:jc w:val="both"/>
      </w:pPr>
      <w:r w:rsidRPr="000628A7">
        <w:rPr>
          <w:rStyle w:val="FootnoteReference"/>
        </w:rPr>
        <w:footnoteRef/>
      </w:r>
      <w:r w:rsidRPr="000628A7">
        <w:rPr>
          <w:color w:val="000000"/>
        </w:rPr>
        <w:t xml:space="preserve">Nursariani Simatupang dan Faisal, </w:t>
      </w:r>
      <w:r w:rsidRPr="000628A7">
        <w:rPr>
          <w:i/>
          <w:color w:val="000000"/>
        </w:rPr>
        <w:t xml:space="preserve">Kriminologi Suatu Pengantar, </w:t>
      </w:r>
      <w:r w:rsidRPr="000628A7">
        <w:rPr>
          <w:color w:val="000000"/>
        </w:rPr>
        <w:t>Pustaka Prima</w:t>
      </w:r>
      <w:r w:rsidRPr="000628A7">
        <w:t>,</w:t>
      </w:r>
      <w:r w:rsidRPr="000628A7">
        <w:rPr>
          <w:color w:val="000000"/>
        </w:rPr>
        <w:t xml:space="preserve"> Medan, 2017, h.66.</w:t>
      </w:r>
    </w:p>
  </w:footnote>
  <w:footnote w:id="7">
    <w:p w:rsidR="00412149" w:rsidRDefault="00412149" w:rsidP="00412149">
      <w:pPr>
        <w:pStyle w:val="FootnoteText"/>
        <w:ind w:firstLine="720"/>
      </w:pPr>
      <w:r w:rsidRPr="000628A7">
        <w:rPr>
          <w:rStyle w:val="FootnoteReference"/>
        </w:rPr>
        <w:footnoteRef/>
      </w:r>
      <w:r w:rsidRPr="000628A7">
        <w:rPr>
          <w:i/>
        </w:rPr>
        <w:t>Ibid</w:t>
      </w:r>
      <w:r w:rsidRPr="000628A7">
        <w:t>, h.67</w:t>
      </w:r>
    </w:p>
  </w:footnote>
  <w:footnote w:id="8">
    <w:p w:rsidR="00412149" w:rsidRDefault="00412149" w:rsidP="00412149">
      <w:pPr>
        <w:pStyle w:val="FootnoteText"/>
        <w:ind w:firstLine="720"/>
      </w:pPr>
      <w:r w:rsidRPr="000628A7">
        <w:rPr>
          <w:rStyle w:val="FootnoteReference"/>
          <w:color w:val="000000"/>
        </w:rPr>
        <w:footnoteRef/>
      </w:r>
      <w:r w:rsidRPr="000628A7">
        <w:rPr>
          <w:color w:val="000000"/>
        </w:rPr>
        <w:t xml:space="preserve"> Ramadhan</w:t>
      </w:r>
      <w:r w:rsidRPr="000628A7">
        <w:rPr>
          <w:i/>
          <w:color w:val="000000"/>
        </w:rPr>
        <w:t>, Op.Cit</w:t>
      </w:r>
      <w:r w:rsidRPr="000628A7">
        <w:rPr>
          <w:color w:val="000000"/>
        </w:rPr>
        <w:t>., h. 5.</w:t>
      </w:r>
    </w:p>
  </w:footnote>
  <w:footnote w:id="9">
    <w:p w:rsidR="00412149" w:rsidRDefault="00412149" w:rsidP="00412149">
      <w:pPr>
        <w:pStyle w:val="FootnoteText"/>
        <w:ind w:firstLine="720"/>
        <w:jc w:val="both"/>
      </w:pPr>
      <w:r w:rsidRPr="000628A7">
        <w:rPr>
          <w:rStyle w:val="FootnoteReference"/>
          <w:color w:val="000000"/>
        </w:rPr>
        <w:footnoteRef/>
      </w:r>
      <w:r w:rsidRPr="000628A7">
        <w:rPr>
          <w:i/>
          <w:iCs/>
          <w:color w:val="000000"/>
        </w:rPr>
        <w:t>Ibid</w:t>
      </w:r>
      <w:r w:rsidRPr="000628A7">
        <w:rPr>
          <w:color w:val="000000"/>
        </w:rPr>
        <w:t>, h.7.</w:t>
      </w:r>
    </w:p>
  </w:footnote>
  <w:footnote w:id="10">
    <w:p w:rsidR="00412149" w:rsidRDefault="00412149" w:rsidP="00412149">
      <w:pPr>
        <w:pStyle w:val="Default"/>
        <w:ind w:firstLine="720"/>
        <w:jc w:val="both"/>
      </w:pPr>
      <w:r w:rsidRPr="000628A7">
        <w:rPr>
          <w:rStyle w:val="FootnoteReference"/>
          <w:sz w:val="20"/>
          <w:szCs w:val="20"/>
        </w:rPr>
        <w:footnoteRef/>
      </w:r>
      <w:r w:rsidRPr="000628A7">
        <w:rPr>
          <w:sz w:val="20"/>
          <w:szCs w:val="20"/>
        </w:rPr>
        <w:t xml:space="preserve">Hanafi Amrani dan Mahrus Ali, </w:t>
      </w:r>
      <w:r w:rsidRPr="000628A7">
        <w:rPr>
          <w:i/>
          <w:iCs/>
          <w:sz w:val="20"/>
          <w:szCs w:val="20"/>
        </w:rPr>
        <w:t>Sisitem Pertanggung Jawaban Pidana</w:t>
      </w:r>
      <w:r w:rsidRPr="000628A7">
        <w:rPr>
          <w:sz w:val="20"/>
          <w:szCs w:val="20"/>
        </w:rPr>
        <w:t>, Rajawali Pers, Jakarta, 2015, h.16</w:t>
      </w:r>
    </w:p>
  </w:footnote>
  <w:footnote w:id="11">
    <w:p w:rsidR="00412149" w:rsidRDefault="00412149" w:rsidP="00412149">
      <w:pPr>
        <w:pStyle w:val="Default"/>
        <w:ind w:firstLine="720"/>
        <w:jc w:val="both"/>
      </w:pPr>
      <w:r w:rsidRPr="000628A7">
        <w:rPr>
          <w:rStyle w:val="FootnoteReference"/>
          <w:sz w:val="20"/>
          <w:szCs w:val="20"/>
        </w:rPr>
        <w:footnoteRef/>
      </w:r>
      <w:r w:rsidRPr="000628A7">
        <w:rPr>
          <w:sz w:val="20"/>
          <w:szCs w:val="20"/>
        </w:rPr>
        <w:t xml:space="preserve">Roeslan Saleh, </w:t>
      </w:r>
      <w:r w:rsidRPr="000628A7">
        <w:rPr>
          <w:i/>
          <w:iCs/>
          <w:sz w:val="20"/>
          <w:szCs w:val="20"/>
        </w:rPr>
        <w:t>Pikiran-Pikiran Tentang Pertanggung Jawaban Pidana</w:t>
      </w:r>
      <w:r w:rsidRPr="000628A7">
        <w:rPr>
          <w:sz w:val="20"/>
          <w:szCs w:val="20"/>
        </w:rPr>
        <w:t>, Ghalia Indonesia, Jakarta, 2010, h.33</w:t>
      </w:r>
    </w:p>
  </w:footnote>
  <w:footnote w:id="12">
    <w:p w:rsidR="00412149" w:rsidRDefault="00412149" w:rsidP="00412149">
      <w:pPr>
        <w:pStyle w:val="FootnoteText"/>
        <w:ind w:firstLine="720"/>
      </w:pPr>
      <w:r w:rsidRPr="000628A7">
        <w:rPr>
          <w:rStyle w:val="FootnoteReference"/>
        </w:rPr>
        <w:footnoteRef/>
      </w:r>
      <w:r w:rsidRPr="000628A7">
        <w:rPr>
          <w:i/>
        </w:rPr>
        <w:t>Ibid</w:t>
      </w:r>
      <w:r w:rsidRPr="000628A7">
        <w:t>, h.34.</w:t>
      </w:r>
    </w:p>
  </w:footnote>
  <w:footnote w:id="13">
    <w:p w:rsidR="00412149" w:rsidRDefault="00412149" w:rsidP="00412149">
      <w:pPr>
        <w:pStyle w:val="FootnoteText"/>
        <w:ind w:firstLine="720"/>
      </w:pPr>
      <w:r w:rsidRPr="000628A7">
        <w:rPr>
          <w:rStyle w:val="FootnoteReference"/>
        </w:rPr>
        <w:footnoteRef/>
      </w:r>
      <w:r w:rsidRPr="000628A7">
        <w:t xml:space="preserve"> Chairul Huda</w:t>
      </w:r>
      <w:r w:rsidRPr="000628A7">
        <w:rPr>
          <w:i/>
          <w:iCs/>
        </w:rPr>
        <w:t>, Op.Cit</w:t>
      </w:r>
      <w:r w:rsidRPr="000628A7">
        <w:rPr>
          <w:iCs/>
        </w:rPr>
        <w:t>, h.68.</w:t>
      </w:r>
    </w:p>
  </w:footnote>
  <w:footnote w:id="14">
    <w:p w:rsidR="00412149" w:rsidRDefault="00412149" w:rsidP="00412149">
      <w:pPr>
        <w:pStyle w:val="FootnoteText"/>
        <w:ind w:firstLine="720"/>
        <w:jc w:val="both"/>
      </w:pPr>
      <w:r w:rsidRPr="000628A7">
        <w:rPr>
          <w:rStyle w:val="FootnoteReference"/>
        </w:rPr>
        <w:footnoteRef/>
      </w:r>
      <w:r w:rsidRPr="000628A7">
        <w:t xml:space="preserve"> Sudarto, </w:t>
      </w:r>
      <w:r w:rsidRPr="000628A7">
        <w:rPr>
          <w:i/>
          <w:iCs/>
        </w:rPr>
        <w:t>Op.Cit</w:t>
      </w:r>
      <w:r w:rsidRPr="000628A7">
        <w:t>, h.  56</w:t>
      </w:r>
    </w:p>
  </w:footnote>
  <w:footnote w:id="15">
    <w:p w:rsidR="00412149" w:rsidRDefault="00412149" w:rsidP="00412149">
      <w:pPr>
        <w:pStyle w:val="FootnoteText"/>
        <w:ind w:firstLine="720"/>
      </w:pPr>
      <w:r w:rsidRPr="000628A7">
        <w:rPr>
          <w:rStyle w:val="FootnoteReference"/>
        </w:rPr>
        <w:footnoteRef/>
      </w:r>
      <w:r w:rsidRPr="000628A7">
        <w:t xml:space="preserve"> Chairul Huda</w:t>
      </w:r>
      <w:r w:rsidRPr="000628A7">
        <w:rPr>
          <w:i/>
          <w:iCs/>
        </w:rPr>
        <w:t>, Op.Cit</w:t>
      </w:r>
      <w:r w:rsidRPr="000628A7">
        <w:rPr>
          <w:iCs/>
        </w:rPr>
        <w:t>, h.69.</w:t>
      </w:r>
    </w:p>
  </w:footnote>
  <w:footnote w:id="16">
    <w:p w:rsidR="00412149" w:rsidRDefault="00412149" w:rsidP="00412149">
      <w:pPr>
        <w:pStyle w:val="FootnoteText"/>
        <w:ind w:firstLine="720"/>
        <w:jc w:val="both"/>
      </w:pPr>
      <w:r w:rsidRPr="000628A7">
        <w:rPr>
          <w:rStyle w:val="FootnoteReference"/>
        </w:rPr>
        <w:footnoteRef/>
      </w:r>
      <w:r w:rsidRPr="000628A7">
        <w:t xml:space="preserve"> PAF. Lamintang,  </w:t>
      </w:r>
      <w:r w:rsidRPr="000628A7">
        <w:rPr>
          <w:i/>
          <w:iCs/>
        </w:rPr>
        <w:t>Op.Cit,</w:t>
      </w:r>
      <w:r w:rsidRPr="000628A7">
        <w:t xml:space="preserve"> h.181.</w:t>
      </w:r>
    </w:p>
  </w:footnote>
  <w:footnote w:id="17">
    <w:p w:rsidR="00412149" w:rsidRDefault="00412149" w:rsidP="00412149">
      <w:pPr>
        <w:pStyle w:val="FootnoteText"/>
        <w:ind w:firstLine="720"/>
        <w:jc w:val="both"/>
      </w:pPr>
      <w:r w:rsidRPr="000628A7">
        <w:rPr>
          <w:rStyle w:val="FootnoteReference"/>
        </w:rPr>
        <w:footnoteRef/>
      </w:r>
      <w:r w:rsidRPr="000628A7">
        <w:t xml:space="preserve"> Adami Chazawi,  </w:t>
      </w:r>
      <w:r w:rsidRPr="000628A7">
        <w:rPr>
          <w:i/>
          <w:iCs/>
        </w:rPr>
        <w:t>Op.Cit</w:t>
      </w:r>
      <w:r w:rsidRPr="000628A7">
        <w:t xml:space="preserve">, h.57  </w:t>
      </w:r>
    </w:p>
  </w:footnote>
  <w:footnote w:id="18">
    <w:p w:rsidR="00412149" w:rsidRDefault="00412149" w:rsidP="00412149">
      <w:pPr>
        <w:pStyle w:val="FootnoteText"/>
        <w:ind w:firstLine="720"/>
        <w:jc w:val="both"/>
      </w:pPr>
      <w:r w:rsidRPr="000628A7">
        <w:rPr>
          <w:rStyle w:val="FootnoteReference"/>
        </w:rPr>
        <w:footnoteRef/>
      </w:r>
      <w:r w:rsidRPr="000628A7">
        <w:t xml:space="preserve">Frans Maramis, </w:t>
      </w:r>
      <w:r w:rsidRPr="000628A7">
        <w:rPr>
          <w:i/>
          <w:iCs/>
        </w:rPr>
        <w:t>Hukum Pidana Umum dan Tertulis Di Indonesia</w:t>
      </w:r>
      <w:r w:rsidRPr="000628A7">
        <w:t xml:space="preserve">, Rajawali Pers, Jakarta, 2013, h.58,  </w:t>
      </w:r>
    </w:p>
  </w:footnote>
  <w:footnote w:id="19">
    <w:p w:rsidR="00412149" w:rsidRDefault="00412149" w:rsidP="00412149">
      <w:pPr>
        <w:pStyle w:val="FootnoteText"/>
        <w:ind w:firstLine="720"/>
      </w:pPr>
      <w:r w:rsidRPr="000628A7">
        <w:rPr>
          <w:rStyle w:val="FootnoteReference"/>
        </w:rPr>
        <w:footnoteRef/>
      </w:r>
      <w:r w:rsidRPr="000628A7">
        <w:rPr>
          <w:i/>
        </w:rPr>
        <w:t>Ibid</w:t>
      </w:r>
      <w:r w:rsidRPr="000628A7">
        <w:t>, h.59.</w:t>
      </w:r>
    </w:p>
  </w:footnote>
  <w:footnote w:id="20">
    <w:p w:rsidR="00412149" w:rsidRDefault="00412149" w:rsidP="00412149">
      <w:pPr>
        <w:pStyle w:val="FootnoteText"/>
        <w:ind w:firstLine="720"/>
        <w:jc w:val="both"/>
      </w:pPr>
      <w:r w:rsidRPr="000628A7">
        <w:rPr>
          <w:rStyle w:val="FootnoteReference"/>
        </w:rPr>
        <w:footnoteRef/>
      </w:r>
      <w:r w:rsidRPr="000628A7">
        <w:t xml:space="preserve">Andi Zainal Abidin, </w:t>
      </w:r>
      <w:r w:rsidRPr="000628A7">
        <w:rPr>
          <w:i/>
          <w:iCs/>
        </w:rPr>
        <w:t>Asas-Asas Hukum Pidana Bagian Pertama</w:t>
      </w:r>
      <w:r w:rsidRPr="000628A7">
        <w:t xml:space="preserve">, Alumni, Bandung, 2017, h.72. </w:t>
      </w:r>
    </w:p>
  </w:footnote>
  <w:footnote w:id="21">
    <w:p w:rsidR="00412149" w:rsidRDefault="00412149" w:rsidP="00412149">
      <w:pPr>
        <w:pStyle w:val="FootnoteText"/>
        <w:ind w:firstLine="720"/>
        <w:jc w:val="both"/>
      </w:pPr>
      <w:r w:rsidRPr="000628A7">
        <w:rPr>
          <w:rStyle w:val="FootnoteReference"/>
        </w:rPr>
        <w:footnoteRef/>
      </w:r>
      <w:r w:rsidRPr="000628A7">
        <w:t xml:space="preserve"> Moeljatno, </w:t>
      </w:r>
      <w:r w:rsidRPr="000628A7">
        <w:rPr>
          <w:i/>
        </w:rPr>
        <w:t>Op.Cit</w:t>
      </w:r>
      <w:r w:rsidRPr="000628A7">
        <w:t>, h.71</w:t>
      </w:r>
    </w:p>
  </w:footnote>
  <w:footnote w:id="22">
    <w:p w:rsidR="00412149" w:rsidRDefault="00412149" w:rsidP="00412149">
      <w:pPr>
        <w:pStyle w:val="FootnoteText"/>
        <w:ind w:firstLine="720"/>
        <w:jc w:val="both"/>
      </w:pPr>
      <w:r w:rsidRPr="000628A7">
        <w:rPr>
          <w:rStyle w:val="FootnoteReference"/>
        </w:rPr>
        <w:footnoteRef/>
      </w:r>
      <w:r w:rsidRPr="000628A7">
        <w:rPr>
          <w:i/>
        </w:rPr>
        <w:t>Ibid</w:t>
      </w:r>
      <w:r w:rsidRPr="000628A7">
        <w:t>, h.72</w:t>
      </w:r>
    </w:p>
  </w:footnote>
  <w:footnote w:id="23">
    <w:p w:rsidR="00412149" w:rsidRDefault="00412149" w:rsidP="00412149">
      <w:pPr>
        <w:pStyle w:val="FootnoteText"/>
        <w:ind w:firstLine="720"/>
        <w:jc w:val="both"/>
      </w:pPr>
      <w:r w:rsidRPr="000628A7">
        <w:rPr>
          <w:rStyle w:val="FootnoteReference"/>
        </w:rPr>
        <w:footnoteRef/>
      </w:r>
      <w:r w:rsidRPr="000628A7">
        <w:t xml:space="preserve"> Sudarto, </w:t>
      </w:r>
      <w:r w:rsidRPr="000628A7">
        <w:rPr>
          <w:i/>
        </w:rPr>
        <w:t>Op.Cit</w:t>
      </w:r>
      <w:r w:rsidRPr="000628A7">
        <w:t>, h.71</w:t>
      </w:r>
    </w:p>
  </w:footnote>
  <w:footnote w:id="24">
    <w:p w:rsidR="00412149" w:rsidRDefault="00412149" w:rsidP="00412149">
      <w:pPr>
        <w:pStyle w:val="FootnoteText"/>
        <w:ind w:firstLine="720"/>
        <w:jc w:val="both"/>
      </w:pPr>
      <w:r w:rsidRPr="000628A7">
        <w:rPr>
          <w:rStyle w:val="FootnoteReference"/>
        </w:rPr>
        <w:footnoteRef/>
      </w:r>
      <w:r w:rsidRPr="000628A7">
        <w:t xml:space="preserve">Martiman Prodjohamidjodjo, </w:t>
      </w:r>
      <w:r w:rsidRPr="000628A7">
        <w:rPr>
          <w:i/>
          <w:iCs/>
        </w:rPr>
        <w:t>Memahami Dasar-Dasar Hukum Pidana Indoensia</w:t>
      </w:r>
      <w:r w:rsidRPr="000628A7">
        <w:t>, Paradnya Paramita, Jakarta, 2016, h.  32</w:t>
      </w:r>
    </w:p>
  </w:footnote>
  <w:footnote w:id="25">
    <w:p w:rsidR="00412149" w:rsidRDefault="00412149" w:rsidP="00412149">
      <w:pPr>
        <w:pStyle w:val="FootnoteText"/>
        <w:ind w:firstLine="720"/>
      </w:pPr>
      <w:r w:rsidRPr="000628A7">
        <w:rPr>
          <w:rStyle w:val="FootnoteReference"/>
        </w:rPr>
        <w:footnoteRef/>
      </w:r>
      <w:r w:rsidRPr="000628A7">
        <w:t xml:space="preserve"> Hanafi Amrani, dan Mahrus Ali, </w:t>
      </w:r>
      <w:r w:rsidRPr="000628A7">
        <w:rPr>
          <w:i/>
        </w:rPr>
        <w:t>Op.Cit</w:t>
      </w:r>
      <w:r w:rsidRPr="000628A7">
        <w:t>, h.52.</w:t>
      </w:r>
    </w:p>
  </w:footnote>
  <w:footnote w:id="26">
    <w:p w:rsidR="00412149" w:rsidRDefault="00412149" w:rsidP="00412149">
      <w:pPr>
        <w:pStyle w:val="FootnoteText"/>
        <w:ind w:firstLine="720"/>
      </w:pPr>
      <w:r w:rsidRPr="000628A7">
        <w:rPr>
          <w:rStyle w:val="FootnoteReference"/>
        </w:rPr>
        <w:footnoteRef/>
      </w:r>
      <w:r w:rsidRPr="000628A7">
        <w:rPr>
          <w:i/>
        </w:rPr>
        <w:t>Ibid</w:t>
      </w:r>
      <w:r w:rsidRPr="000628A7">
        <w:t>, h.53.</w:t>
      </w:r>
    </w:p>
  </w:footnote>
  <w:footnote w:id="27">
    <w:p w:rsidR="00412149" w:rsidRDefault="00412149" w:rsidP="00412149">
      <w:pPr>
        <w:pStyle w:val="FootnoteText"/>
        <w:ind w:firstLine="720"/>
      </w:pPr>
      <w:r w:rsidRPr="000628A7">
        <w:rPr>
          <w:rStyle w:val="FootnoteReference"/>
        </w:rPr>
        <w:footnoteRef/>
      </w:r>
      <w:r w:rsidRPr="000628A7">
        <w:t xml:space="preserve"> Moeljalento, </w:t>
      </w:r>
      <w:r w:rsidRPr="000628A7">
        <w:rPr>
          <w:i/>
        </w:rPr>
        <w:t>Op.Cit</w:t>
      </w:r>
      <w:r w:rsidRPr="000628A7">
        <w:t>, h.25.</w:t>
      </w:r>
    </w:p>
  </w:footnote>
  <w:footnote w:id="28">
    <w:p w:rsidR="00412149" w:rsidRDefault="00412149" w:rsidP="00412149">
      <w:pPr>
        <w:pStyle w:val="FootnoteText"/>
        <w:ind w:firstLine="720"/>
        <w:jc w:val="both"/>
      </w:pPr>
      <w:r w:rsidRPr="000628A7">
        <w:rPr>
          <w:rStyle w:val="FootnoteReference"/>
        </w:rPr>
        <w:footnoteRef/>
      </w:r>
      <w:r w:rsidRPr="000628A7">
        <w:t xml:space="preserve"> Frans Maramis, </w:t>
      </w:r>
      <w:r w:rsidRPr="000628A7">
        <w:rPr>
          <w:i/>
          <w:iCs/>
        </w:rPr>
        <w:t>Hukum PIdana Umum dan Tertulis di Indonesia</w:t>
      </w:r>
      <w:r w:rsidRPr="000628A7">
        <w:t>, RajaGrafindo Persada, Jakarta, 2015, h.85</w:t>
      </w:r>
    </w:p>
  </w:footnote>
  <w:footnote w:id="29">
    <w:p w:rsidR="00412149" w:rsidRDefault="00412149" w:rsidP="00412149">
      <w:pPr>
        <w:pStyle w:val="FootnoteText"/>
        <w:ind w:firstLine="720"/>
      </w:pPr>
      <w:r w:rsidRPr="000628A7">
        <w:rPr>
          <w:rStyle w:val="FootnoteReference"/>
        </w:rPr>
        <w:footnoteRef/>
      </w:r>
      <w:r w:rsidRPr="000628A7">
        <w:rPr>
          <w:i/>
          <w:iCs/>
        </w:rPr>
        <w:t>Ibid</w:t>
      </w:r>
      <w:r w:rsidRPr="000628A7">
        <w:t>, h.114.</w:t>
      </w:r>
    </w:p>
  </w:footnote>
  <w:footnote w:id="30">
    <w:p w:rsidR="00412149" w:rsidRDefault="00412149" w:rsidP="00412149">
      <w:pPr>
        <w:pStyle w:val="FootnoteText"/>
        <w:ind w:firstLine="720"/>
      </w:pPr>
      <w:r w:rsidRPr="000628A7">
        <w:rPr>
          <w:rStyle w:val="FootnoteReference"/>
        </w:rPr>
        <w:footnoteRef/>
      </w:r>
      <w:r w:rsidRPr="000628A7">
        <w:rPr>
          <w:i/>
          <w:iCs/>
        </w:rPr>
        <w:t>Ibid</w:t>
      </w:r>
      <w:r w:rsidRPr="000628A7">
        <w:t>, h.115.</w:t>
      </w:r>
    </w:p>
  </w:footnote>
  <w:footnote w:id="31">
    <w:p w:rsidR="00412149" w:rsidRDefault="00412149" w:rsidP="00412149">
      <w:pPr>
        <w:pStyle w:val="FootnoteText"/>
        <w:ind w:firstLine="720"/>
      </w:pPr>
      <w:r w:rsidRPr="000628A7">
        <w:rPr>
          <w:rStyle w:val="FootnoteReference"/>
        </w:rPr>
        <w:footnoteRef/>
      </w:r>
      <w:r w:rsidRPr="000628A7">
        <w:t xml:space="preserve"> Chairul Huda, </w:t>
      </w:r>
      <w:r w:rsidRPr="000628A7">
        <w:rPr>
          <w:i/>
        </w:rPr>
        <w:t>Op.Cit</w:t>
      </w:r>
      <w:r w:rsidRPr="000628A7">
        <w:t>, h.180.</w:t>
      </w:r>
    </w:p>
  </w:footnote>
  <w:footnote w:id="32">
    <w:p w:rsidR="00412149" w:rsidRDefault="00412149" w:rsidP="00412149">
      <w:pPr>
        <w:pStyle w:val="FootnoteText"/>
        <w:ind w:firstLine="720"/>
      </w:pPr>
      <w:r w:rsidRPr="000628A7">
        <w:rPr>
          <w:rStyle w:val="FootnoteReference"/>
        </w:rPr>
        <w:footnoteRef/>
      </w:r>
      <w:r w:rsidRPr="000628A7">
        <w:rPr>
          <w:i/>
        </w:rPr>
        <w:t>Ibid</w:t>
      </w:r>
      <w:r w:rsidRPr="000628A7">
        <w:t>, h.183.</w:t>
      </w:r>
    </w:p>
  </w:footnote>
  <w:footnote w:id="33">
    <w:p w:rsidR="00412149" w:rsidRDefault="00412149" w:rsidP="00412149">
      <w:pPr>
        <w:pStyle w:val="FootnoteText"/>
        <w:ind w:firstLine="720"/>
      </w:pPr>
      <w:r w:rsidRPr="000628A7">
        <w:rPr>
          <w:rStyle w:val="FootnoteReference"/>
        </w:rPr>
        <w:footnoteRef/>
      </w:r>
      <w:r w:rsidRPr="000628A7">
        <w:t xml:space="preserve"> Mahrus Ali, </w:t>
      </w:r>
      <w:r w:rsidRPr="000628A7">
        <w:rPr>
          <w:i/>
        </w:rPr>
        <w:t>Op.Cit</w:t>
      </w:r>
      <w:r w:rsidRPr="000628A7">
        <w:t>, h.92.</w:t>
      </w:r>
    </w:p>
  </w:footnote>
  <w:footnote w:id="34">
    <w:p w:rsidR="00412149" w:rsidRDefault="00412149" w:rsidP="00412149">
      <w:pPr>
        <w:pStyle w:val="FootnoteText"/>
        <w:ind w:firstLine="720"/>
      </w:pPr>
      <w:r w:rsidRPr="000628A7">
        <w:rPr>
          <w:rStyle w:val="FootnoteReference"/>
        </w:rPr>
        <w:footnoteRef/>
      </w:r>
      <w:r w:rsidRPr="000628A7">
        <w:rPr>
          <w:i/>
        </w:rPr>
        <w:t>Ibid</w:t>
      </w:r>
      <w:r w:rsidRPr="000628A7">
        <w:t>, h.93.</w:t>
      </w:r>
    </w:p>
  </w:footnote>
  <w:footnote w:id="35">
    <w:p w:rsidR="00412149" w:rsidRDefault="00412149" w:rsidP="00412149">
      <w:pPr>
        <w:pStyle w:val="FootnoteText"/>
        <w:ind w:firstLine="720"/>
      </w:pPr>
      <w:r w:rsidRPr="000628A7">
        <w:rPr>
          <w:rStyle w:val="FootnoteReference"/>
        </w:rPr>
        <w:footnoteRef/>
      </w:r>
      <w:r w:rsidRPr="000628A7">
        <w:t xml:space="preserve"> Mahrus Ali, </w:t>
      </w:r>
      <w:r w:rsidRPr="000628A7">
        <w:rPr>
          <w:i/>
        </w:rPr>
        <w:t>Op.Cit</w:t>
      </w:r>
      <w:r w:rsidRPr="000628A7">
        <w:t>, h.96.</w:t>
      </w:r>
    </w:p>
  </w:footnote>
  <w:footnote w:id="36">
    <w:p w:rsidR="00412149" w:rsidRDefault="00412149" w:rsidP="00412149">
      <w:pPr>
        <w:pStyle w:val="FootnoteText"/>
        <w:ind w:firstLine="720"/>
      </w:pPr>
      <w:r w:rsidRPr="000628A7">
        <w:rPr>
          <w:rStyle w:val="FootnoteReference"/>
        </w:rPr>
        <w:footnoteRef/>
      </w:r>
      <w:r w:rsidRPr="000628A7">
        <w:rPr>
          <w:i/>
        </w:rPr>
        <w:t>Ibid</w:t>
      </w:r>
      <w:r w:rsidRPr="000628A7">
        <w:t>, h.97</w:t>
      </w:r>
    </w:p>
  </w:footnote>
  <w:footnote w:id="37">
    <w:p w:rsidR="00412149" w:rsidRDefault="00412149" w:rsidP="00412149">
      <w:pPr>
        <w:pStyle w:val="FootnoteText"/>
        <w:ind w:firstLine="720"/>
      </w:pPr>
      <w:r w:rsidRPr="000628A7">
        <w:rPr>
          <w:rStyle w:val="FootnoteReference"/>
        </w:rPr>
        <w:footnoteRef/>
      </w:r>
      <w:r w:rsidRPr="000628A7">
        <w:t xml:space="preserve"> Moeljatno, </w:t>
      </w:r>
      <w:r w:rsidRPr="000628A7">
        <w:rPr>
          <w:i/>
        </w:rPr>
        <w:t>Op.Cit</w:t>
      </w:r>
      <w:r w:rsidRPr="000628A7">
        <w:t>, h.67.</w:t>
      </w:r>
    </w:p>
  </w:footnote>
  <w:footnote w:id="38">
    <w:p w:rsidR="00412149" w:rsidRDefault="00412149" w:rsidP="00412149">
      <w:pPr>
        <w:pStyle w:val="FootnoteText"/>
        <w:ind w:firstLine="720"/>
      </w:pPr>
      <w:r w:rsidRPr="000628A7">
        <w:rPr>
          <w:rStyle w:val="FootnoteReference"/>
        </w:rPr>
        <w:footnoteRef/>
      </w:r>
      <w:r w:rsidRPr="000628A7">
        <w:rPr>
          <w:i/>
        </w:rPr>
        <w:t>Ibid</w:t>
      </w:r>
      <w:r w:rsidRPr="000628A7">
        <w:t>, h.68,</w:t>
      </w:r>
    </w:p>
  </w:footnote>
  <w:footnote w:id="39">
    <w:p w:rsidR="00412149" w:rsidRDefault="00412149" w:rsidP="00412149">
      <w:pPr>
        <w:pStyle w:val="FootnoteText"/>
        <w:ind w:firstLine="720"/>
      </w:pPr>
      <w:r w:rsidRPr="000628A7">
        <w:rPr>
          <w:rStyle w:val="FootnoteReference"/>
        </w:rPr>
        <w:footnoteRef/>
      </w:r>
      <w:r w:rsidRPr="000628A7">
        <w:t xml:space="preserve"> Mahrus Ali, </w:t>
      </w:r>
      <w:r w:rsidRPr="000628A7">
        <w:rPr>
          <w:i/>
        </w:rPr>
        <w:t>Op.Cit</w:t>
      </w:r>
      <w:r w:rsidRPr="000628A7">
        <w:t>, h.98.</w:t>
      </w:r>
    </w:p>
  </w:footnote>
  <w:footnote w:id="40">
    <w:p w:rsidR="00412149" w:rsidRDefault="00412149" w:rsidP="00412149">
      <w:pPr>
        <w:pStyle w:val="FootnoteText"/>
        <w:ind w:firstLine="720"/>
      </w:pPr>
      <w:r w:rsidRPr="000628A7">
        <w:rPr>
          <w:rStyle w:val="FootnoteReference"/>
        </w:rPr>
        <w:footnoteRef/>
      </w:r>
      <w:r w:rsidRPr="000628A7">
        <w:rPr>
          <w:i/>
        </w:rPr>
        <w:t>Ibid</w:t>
      </w:r>
      <w:r w:rsidRPr="000628A7">
        <w:t xml:space="preserve"> h.99.</w:t>
      </w:r>
    </w:p>
  </w:footnote>
  <w:footnote w:id="41">
    <w:p w:rsidR="00412149" w:rsidRDefault="00412149" w:rsidP="00412149">
      <w:pPr>
        <w:pStyle w:val="FootnoteText"/>
        <w:ind w:firstLine="720"/>
      </w:pPr>
      <w:r w:rsidRPr="000628A7">
        <w:rPr>
          <w:rStyle w:val="FootnoteReference"/>
        </w:rPr>
        <w:footnoteRef/>
      </w:r>
      <w:r w:rsidRPr="000628A7">
        <w:t xml:space="preserve"> Andi Zainal Abidin, </w:t>
      </w:r>
      <w:r w:rsidRPr="000628A7">
        <w:rPr>
          <w:i/>
          <w:iCs/>
        </w:rPr>
        <w:t>Op.Cit</w:t>
      </w:r>
      <w:r w:rsidRPr="000628A7">
        <w:t>,  h.260</w:t>
      </w:r>
    </w:p>
  </w:footnote>
  <w:footnote w:id="42">
    <w:p w:rsidR="00412149" w:rsidRDefault="00412149" w:rsidP="00412149">
      <w:pPr>
        <w:pStyle w:val="FootnoteText"/>
        <w:ind w:firstLine="720"/>
      </w:pPr>
      <w:r w:rsidRPr="000628A7">
        <w:rPr>
          <w:rStyle w:val="FootnoteReference"/>
        </w:rPr>
        <w:footnoteRef/>
      </w:r>
      <w:r w:rsidRPr="000628A7">
        <w:rPr>
          <w:i/>
        </w:rPr>
        <w:t>Ibid</w:t>
      </w:r>
      <w:r w:rsidRPr="000628A7">
        <w:t>, h.262.</w:t>
      </w:r>
    </w:p>
  </w:footnote>
  <w:footnote w:id="43">
    <w:p w:rsidR="00412149" w:rsidRDefault="00412149" w:rsidP="00412149">
      <w:pPr>
        <w:pStyle w:val="FootnoteText"/>
        <w:ind w:firstLine="720"/>
        <w:jc w:val="both"/>
      </w:pPr>
      <w:r w:rsidRPr="000628A7">
        <w:rPr>
          <w:rStyle w:val="FootnoteReference"/>
        </w:rPr>
        <w:footnoteRef/>
      </w:r>
      <w:r w:rsidRPr="000628A7">
        <w:t xml:space="preserve">Agus Rusianto, </w:t>
      </w:r>
      <w:r w:rsidRPr="000628A7">
        <w:rPr>
          <w:i/>
          <w:iCs/>
        </w:rPr>
        <w:t>Tindak Pidana dan Pertanggung Jawaban Pidana</w:t>
      </w:r>
      <w:r w:rsidRPr="000628A7">
        <w:t>, Prenadamedia Group, Jakarta, 2016, h.80</w:t>
      </w:r>
    </w:p>
  </w:footnote>
  <w:footnote w:id="44">
    <w:p w:rsidR="00412149" w:rsidRDefault="00412149" w:rsidP="00412149">
      <w:pPr>
        <w:pStyle w:val="FootnoteText"/>
        <w:ind w:firstLine="720"/>
      </w:pPr>
      <w:r w:rsidRPr="000628A7">
        <w:rPr>
          <w:rStyle w:val="FootnoteReference"/>
        </w:rPr>
        <w:footnoteRef/>
      </w:r>
      <w:r w:rsidRPr="000628A7">
        <w:rPr>
          <w:i/>
        </w:rPr>
        <w:t>Ibid</w:t>
      </w:r>
      <w:r w:rsidRPr="000628A7">
        <w:t>, h.81.</w:t>
      </w:r>
    </w:p>
  </w:footnote>
  <w:footnote w:id="45">
    <w:p w:rsidR="00412149" w:rsidRDefault="00412149" w:rsidP="00412149">
      <w:pPr>
        <w:pStyle w:val="FootnoteText"/>
        <w:ind w:firstLine="720"/>
      </w:pPr>
      <w:r w:rsidRPr="000628A7">
        <w:rPr>
          <w:rStyle w:val="FootnoteReference"/>
        </w:rPr>
        <w:footnoteRef/>
      </w:r>
      <w:r w:rsidRPr="000628A7">
        <w:t xml:space="preserve"> Chairul Huda, </w:t>
      </w:r>
      <w:r w:rsidRPr="000628A7">
        <w:rPr>
          <w:i/>
        </w:rPr>
        <w:t>Op.Cit</w:t>
      </w:r>
      <w:r w:rsidRPr="000628A7">
        <w:t>, h.116.</w:t>
      </w:r>
    </w:p>
  </w:footnote>
  <w:footnote w:id="46">
    <w:p w:rsidR="00412149" w:rsidRDefault="00412149" w:rsidP="00412149">
      <w:pPr>
        <w:pStyle w:val="FootnoteText"/>
        <w:ind w:firstLine="720"/>
      </w:pPr>
      <w:r w:rsidRPr="000628A7">
        <w:rPr>
          <w:rStyle w:val="FootnoteReference"/>
        </w:rPr>
        <w:footnoteRef/>
      </w:r>
      <w:r w:rsidRPr="000628A7">
        <w:rPr>
          <w:i/>
        </w:rPr>
        <w:t>Ibid</w:t>
      </w:r>
      <w:r w:rsidRPr="000628A7">
        <w:t>, h.117.</w:t>
      </w:r>
    </w:p>
  </w:footnote>
  <w:footnote w:id="47">
    <w:p w:rsidR="00412149" w:rsidRDefault="00412149" w:rsidP="00412149">
      <w:pPr>
        <w:pStyle w:val="FootnoteText"/>
        <w:ind w:firstLine="720"/>
      </w:pPr>
      <w:r w:rsidRPr="000628A7">
        <w:rPr>
          <w:rStyle w:val="FootnoteReference"/>
        </w:rPr>
        <w:footnoteRef/>
      </w:r>
      <w:r w:rsidRPr="000628A7">
        <w:t xml:space="preserve"> Hanafi Amrani, Mahrus Ali, </w:t>
      </w:r>
      <w:r w:rsidRPr="000628A7">
        <w:rPr>
          <w:i/>
        </w:rPr>
        <w:t>Op.Cit</w:t>
      </w:r>
      <w:r w:rsidRPr="000628A7">
        <w:t>, h.45</w:t>
      </w:r>
    </w:p>
  </w:footnote>
  <w:footnote w:id="48">
    <w:p w:rsidR="00412149" w:rsidRDefault="00412149" w:rsidP="00412149">
      <w:pPr>
        <w:pStyle w:val="FootnoteText"/>
        <w:ind w:firstLine="720"/>
      </w:pPr>
      <w:r w:rsidRPr="000628A7">
        <w:rPr>
          <w:rStyle w:val="FootnoteReference"/>
        </w:rPr>
        <w:footnoteRef/>
      </w:r>
      <w:r w:rsidRPr="000628A7">
        <w:rPr>
          <w:i/>
        </w:rPr>
        <w:t>Ibid</w:t>
      </w:r>
      <w:r w:rsidRPr="000628A7">
        <w:t>, h.46.</w:t>
      </w:r>
    </w:p>
  </w:footnote>
  <w:footnote w:id="49">
    <w:p w:rsidR="00412149" w:rsidRDefault="00412149" w:rsidP="00412149">
      <w:pPr>
        <w:pStyle w:val="FootnoteText"/>
        <w:ind w:firstLine="720"/>
      </w:pPr>
      <w:r w:rsidRPr="000628A7">
        <w:rPr>
          <w:rStyle w:val="FootnoteReference"/>
        </w:rPr>
        <w:footnoteRef/>
      </w:r>
      <w:r w:rsidRPr="000628A7">
        <w:t xml:space="preserve"> Sutorius, </w:t>
      </w:r>
      <w:r w:rsidRPr="000628A7">
        <w:rPr>
          <w:i/>
          <w:iCs/>
        </w:rPr>
        <w:t>Hukum Pidana</w:t>
      </w:r>
      <w:r w:rsidRPr="000628A7">
        <w:t>, Liberty, Yogyakarta, 2015, h.59</w:t>
      </w:r>
    </w:p>
  </w:footnote>
  <w:footnote w:id="50">
    <w:p w:rsidR="00412149" w:rsidRDefault="00412149" w:rsidP="00412149">
      <w:pPr>
        <w:pStyle w:val="FootnoteText"/>
        <w:ind w:firstLine="720"/>
      </w:pPr>
      <w:r w:rsidRPr="000628A7">
        <w:rPr>
          <w:rStyle w:val="FootnoteReference"/>
        </w:rPr>
        <w:footnoteRef/>
      </w:r>
      <w:r w:rsidRPr="000628A7">
        <w:rPr>
          <w:i/>
        </w:rPr>
        <w:t>Ibid</w:t>
      </w:r>
      <w:r w:rsidRPr="000628A7">
        <w:t>, h.125.</w:t>
      </w:r>
    </w:p>
  </w:footnote>
  <w:footnote w:id="51">
    <w:p w:rsidR="00412149" w:rsidRDefault="00412149" w:rsidP="00412149">
      <w:pPr>
        <w:pStyle w:val="FootnoteText"/>
        <w:ind w:firstLine="720"/>
        <w:jc w:val="both"/>
      </w:pPr>
      <w:r w:rsidRPr="000628A7">
        <w:rPr>
          <w:rStyle w:val="FootnoteReference"/>
        </w:rPr>
        <w:footnoteRef/>
      </w:r>
      <w:r w:rsidRPr="000628A7">
        <w:rPr>
          <w:i/>
        </w:rPr>
        <w:t>Ibid</w:t>
      </w:r>
      <w:r w:rsidRPr="000628A7">
        <w:t>, h.126.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8B5A27" w:rsidP="000B0B09">
    <w:pPr>
      <w:pStyle w:val="Header"/>
      <w:framePr w:wrap="around" w:vAnchor="text" w:hAnchor="margin" w:xAlign="right" w:y="1"/>
      <w:rPr>
        <w:rStyle w:val="PageNumber"/>
      </w:rPr>
    </w:pPr>
    <w:r w:rsidRPr="008B5A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9F7EA5">
      <w:rPr>
        <w:rStyle w:val="PageNumber"/>
      </w:rPr>
      <w:instrText xml:space="preserve">PAGE  </w:instrText>
    </w:r>
    <w:r>
      <w:rPr>
        <w:rStyle w:val="PageNumber"/>
      </w:rPr>
      <w:fldChar w:fldCharType="end"/>
    </w:r>
  </w:p>
  <w:p w:rsidR="00352832" w:rsidRDefault="006442EC" w:rsidP="000B0B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62" w:rsidRPr="000D29B3" w:rsidRDefault="00516362" w:rsidP="00516362">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352832" w:rsidRDefault="008B5A27" w:rsidP="000B0B09">
    <w:pPr>
      <w:pStyle w:val="Header"/>
      <w:ind w:right="360"/>
    </w:pPr>
    <w:r w:rsidRPr="008B5A27">
      <w:rPr>
        <w:noProof/>
      </w:rPr>
      <w:pict>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8B5A27">
    <w:pPr>
      <w:pStyle w:val="Header"/>
    </w:pPr>
    <w:r w:rsidRPr="008B5A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
    <w:nsid w:val="0160794A"/>
    <w:multiLevelType w:val="hybridMultilevel"/>
    <w:tmpl w:val="3F22838A"/>
    <w:lvl w:ilvl="0" w:tplc="B3869034">
      <w:start w:val="1"/>
      <w:numFmt w:val="lowerLetter"/>
      <w:lvlText w:val="%1."/>
      <w:lvlJc w:val="left"/>
      <w:pPr>
        <w:tabs>
          <w:tab w:val="num" w:pos="735"/>
        </w:tabs>
        <w:ind w:left="735" w:hanging="375"/>
      </w:pPr>
      <w:rPr>
        <w:rFonts w:ascii="Times New Roman" w:eastAsia="Times New Roman" w:hAnsi="Times New Roman" w:cs="Times New Roman" w:hint="default"/>
      </w:rPr>
    </w:lvl>
    <w:lvl w:ilvl="1" w:tplc="FC8E5F62">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B52612B0">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4722712"/>
    <w:multiLevelType w:val="hybridMultilevel"/>
    <w:tmpl w:val="9A46F1C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D5254A"/>
    <w:multiLevelType w:val="hybridMultilevel"/>
    <w:tmpl w:val="21CAB5C6"/>
    <w:lvl w:ilvl="0" w:tplc="36104A7A">
      <w:start w:val="1"/>
      <w:numFmt w:val="decimal"/>
      <w:lvlText w:val="%1)"/>
      <w:lvlJc w:val="left"/>
      <w:pPr>
        <w:ind w:left="1069" w:hanging="360"/>
      </w:pPr>
      <w:rPr>
        <w:rFonts w:cs="Times New Roman" w:hint="default"/>
      </w:rPr>
    </w:lvl>
    <w:lvl w:ilvl="1" w:tplc="F98636C6">
      <w:start w:val="1"/>
      <w:numFmt w:val="lowerLetter"/>
      <w:lvlText w:val="%2."/>
      <w:lvlJc w:val="left"/>
      <w:pPr>
        <w:ind w:left="1789" w:hanging="360"/>
      </w:pPr>
      <w:rPr>
        <w:rFonts w:cs="Times New Roman" w:hint="default"/>
      </w:rPr>
    </w:lvl>
    <w:lvl w:ilvl="2" w:tplc="0409001B">
      <w:start w:val="1"/>
      <w:numFmt w:val="lowerRoman"/>
      <w:lvlText w:val="%3."/>
      <w:lvlJc w:val="right"/>
      <w:pPr>
        <w:ind w:left="2509" w:hanging="180"/>
      </w:pPr>
      <w:rPr>
        <w:rFonts w:cs="Times New Roman"/>
      </w:rPr>
    </w:lvl>
    <w:lvl w:ilvl="3" w:tplc="4768C43A">
      <w:start w:val="1"/>
      <w:numFmt w:val="upperLetter"/>
      <w:lvlText w:val="%4."/>
      <w:lvlJc w:val="left"/>
      <w:pPr>
        <w:ind w:left="3229" w:hanging="360"/>
      </w:pPr>
      <w:rPr>
        <w:rFonts w:cs="Times New Roman" w:hint="default"/>
      </w:rPr>
    </w:lvl>
    <w:lvl w:ilvl="4" w:tplc="04090019">
      <w:start w:val="1"/>
      <w:numFmt w:val="lowerLetter"/>
      <w:lvlText w:val="%5."/>
      <w:lvlJc w:val="left"/>
      <w:pPr>
        <w:ind w:left="3949" w:hanging="360"/>
      </w:pPr>
      <w:rPr>
        <w:rFonts w:cs="Times New Roman"/>
      </w:rPr>
    </w:lvl>
    <w:lvl w:ilvl="5" w:tplc="DCD09AC0">
      <w:start w:val="1"/>
      <w:numFmt w:val="lowerLetter"/>
      <w:lvlText w:val="%6)"/>
      <w:lvlJc w:val="left"/>
      <w:pPr>
        <w:ind w:left="4849" w:hanging="360"/>
      </w:pPr>
      <w:rPr>
        <w:rFonts w:cs="Times New Roman" w:hint="default"/>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F4E6AEB4">
      <w:start w:val="1"/>
      <w:numFmt w:val="decimal"/>
      <w:lvlText w:val="(%9)"/>
      <w:lvlJc w:val="left"/>
      <w:pPr>
        <w:ind w:left="7009" w:hanging="360"/>
      </w:pPr>
      <w:rPr>
        <w:rFonts w:cs="Times New Roman" w:hint="default"/>
      </w:rPr>
    </w:lvl>
  </w:abstractNum>
  <w:abstractNum w:abstractNumId="8">
    <w:nsid w:val="0F2777F7"/>
    <w:multiLevelType w:val="hybridMultilevel"/>
    <w:tmpl w:val="4D5E62A2"/>
    <w:lvl w:ilvl="0" w:tplc="C5A4B41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11274725"/>
    <w:multiLevelType w:val="multilevel"/>
    <w:tmpl w:val="42A8768A"/>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13443A29"/>
    <w:multiLevelType w:val="hybridMultilevel"/>
    <w:tmpl w:val="12D6DBCE"/>
    <w:lvl w:ilvl="0" w:tplc="FFFFFFFF">
      <w:start w:val="1"/>
      <w:numFmt w:val="decimal"/>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13">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cs="Times New Roman" w:hint="default"/>
      </w:rPr>
    </w:lvl>
    <w:lvl w:ilvl="2" w:tplc="FFFFFFFF">
      <w:start w:val="1"/>
      <w:numFmt w:val="lowerLetter"/>
      <w:lvlText w:val="%3."/>
      <w:lvlJc w:val="left"/>
      <w:pPr>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1F7F7F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20F03F7A"/>
    <w:multiLevelType w:val="hybridMultilevel"/>
    <w:tmpl w:val="00FE55F0"/>
    <w:lvl w:ilvl="0" w:tplc="593EF1E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20D0A75"/>
    <w:multiLevelType w:val="hybridMultilevel"/>
    <w:tmpl w:val="E3B06968"/>
    <w:lvl w:ilvl="0" w:tplc="5768944A">
      <w:start w:val="1"/>
      <w:numFmt w:val="lowerLetter"/>
      <w:lvlText w:val="%1."/>
      <w:lvlJc w:val="left"/>
      <w:pPr>
        <w:ind w:left="720" w:hanging="360"/>
      </w:pPr>
      <w:rPr>
        <w:rFonts w:cs="Times New Roman" w:hint="default"/>
        <w:sz w:val="23"/>
      </w:rPr>
    </w:lvl>
    <w:lvl w:ilvl="1" w:tplc="04090019">
      <w:start w:val="1"/>
      <w:numFmt w:val="decimal"/>
      <w:lvlText w:val="%2."/>
      <w:lvlJc w:val="left"/>
      <w:pPr>
        <w:ind w:left="1440" w:hanging="360"/>
      </w:pPr>
      <w:rPr>
        <w:rFonts w:cs="Times New Roman" w:hint="default"/>
      </w:rPr>
    </w:lvl>
    <w:lvl w:ilvl="2" w:tplc="0409001B">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9217437"/>
    <w:multiLevelType w:val="multilevel"/>
    <w:tmpl w:val="7E864AA0"/>
    <w:lvl w:ilvl="0">
      <w:start w:val="1"/>
      <w:numFmt w:val="lowerLetter"/>
      <w:lvlText w:val="%1."/>
      <w:lvlJc w:val="left"/>
      <w:pPr>
        <w:tabs>
          <w:tab w:val="num" w:pos="1069"/>
        </w:tabs>
        <w:ind w:left="1069"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3"/>
      <w:numFmt w:val="upperLetter"/>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1">
    <w:nsid w:val="443E53B0"/>
    <w:multiLevelType w:val="hybridMultilevel"/>
    <w:tmpl w:val="787CCA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7CB7EAB"/>
    <w:multiLevelType w:val="hybridMultilevel"/>
    <w:tmpl w:val="36D044B2"/>
    <w:lvl w:ilvl="0" w:tplc="D9F2BE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D020DC"/>
    <w:multiLevelType w:val="multilevel"/>
    <w:tmpl w:val="DF2C2CD8"/>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decimal"/>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decimal"/>
      <w:lvlText w:val="%8)"/>
      <w:lvlJc w:val="left"/>
      <w:pPr>
        <w:tabs>
          <w:tab w:val="num" w:pos="928"/>
        </w:tabs>
        <w:ind w:left="928" w:hanging="360"/>
      </w:pPr>
      <w:rPr>
        <w:rFonts w:ascii="Arial" w:eastAsia="Times New Roman" w:hAnsi="Arial" w:cs="Arial" w:hint="default"/>
        <w:b w:val="0"/>
      </w:rPr>
    </w:lvl>
    <w:lvl w:ilvl="8">
      <w:start w:val="1"/>
      <w:numFmt w:val="lowerRoman"/>
      <w:lvlText w:val="%9."/>
      <w:lvlJc w:val="right"/>
      <w:pPr>
        <w:tabs>
          <w:tab w:val="num" w:pos="6971"/>
        </w:tabs>
        <w:ind w:left="6971" w:hanging="180"/>
      </w:pPr>
      <w:rPr>
        <w:rFonts w:cs="Times New Roman" w:hint="default"/>
      </w:rPr>
    </w:lvl>
  </w:abstractNum>
  <w:abstractNum w:abstractNumId="25">
    <w:nsid w:val="4A4B6EE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58173B3C"/>
    <w:multiLevelType w:val="hybridMultilevel"/>
    <w:tmpl w:val="6D4452F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4504A0"/>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30">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1">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3">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34">
    <w:nsid w:val="672E2275"/>
    <w:multiLevelType w:val="hybridMultilevel"/>
    <w:tmpl w:val="14F08756"/>
    <w:lvl w:ilvl="0" w:tplc="04090015">
      <w:start w:val="3"/>
      <w:numFmt w:val="upperLetter"/>
      <w:lvlText w:val="%1."/>
      <w:lvlJc w:val="left"/>
      <w:pPr>
        <w:tabs>
          <w:tab w:val="num" w:pos="720"/>
        </w:tabs>
        <w:ind w:left="720" w:hanging="360"/>
      </w:pPr>
      <w:rPr>
        <w:rFonts w:cs="Times New Roman" w:hint="default"/>
      </w:rPr>
    </w:lvl>
    <w:lvl w:ilvl="1" w:tplc="6D72248A">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5F03A59"/>
    <w:multiLevelType w:val="hybridMultilevel"/>
    <w:tmpl w:val="596C043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nsid w:val="77914F2D"/>
    <w:multiLevelType w:val="singleLevel"/>
    <w:tmpl w:val="BB40FE0C"/>
    <w:lvl w:ilvl="0">
      <w:start w:val="1"/>
      <w:numFmt w:val="upperLetter"/>
      <w:lvlText w:val="%1."/>
      <w:lvlJc w:val="left"/>
      <w:pPr>
        <w:tabs>
          <w:tab w:val="num" w:pos="360"/>
        </w:tabs>
        <w:ind w:left="360" w:hanging="360"/>
      </w:pPr>
      <w:rPr>
        <w:rFonts w:cs="Times New Roman"/>
      </w:rPr>
    </w:lvl>
  </w:abstractNum>
  <w:abstractNum w:abstractNumId="37">
    <w:nsid w:val="796323BD"/>
    <w:multiLevelType w:val="hybridMultilevel"/>
    <w:tmpl w:val="9ED8474E"/>
    <w:lvl w:ilvl="0" w:tplc="0409000F">
      <w:start w:val="1"/>
      <w:numFmt w:val="decimal"/>
      <w:lvlText w:val="%1)"/>
      <w:lvlJc w:val="left"/>
      <w:pPr>
        <w:ind w:left="1080" w:hanging="360"/>
      </w:pPr>
      <w:rPr>
        <w:rFonts w:cs="Times New Roman" w:hint="default"/>
        <w:sz w:val="23"/>
      </w:rPr>
    </w:lvl>
    <w:lvl w:ilvl="1" w:tplc="04090019">
      <w:start w:val="1"/>
      <w:numFmt w:val="decimal"/>
      <w:lvlText w:val="%2."/>
      <w:lvlJc w:val="left"/>
      <w:pPr>
        <w:ind w:left="1815" w:hanging="375"/>
      </w:pPr>
      <w:rPr>
        <w:rFonts w:cs="Times New Roman" w:hint="default"/>
      </w:rPr>
    </w:lvl>
    <w:lvl w:ilvl="2" w:tplc="0409001B">
      <w:start w:val="1"/>
      <w:numFmt w:val="decimal"/>
      <w:lvlText w:val="(%3)"/>
      <w:lvlJc w:val="left"/>
      <w:pPr>
        <w:ind w:left="2715" w:hanging="375"/>
      </w:pPr>
      <w:rPr>
        <w:rFonts w:cs="Times New Roman"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79C82E1B"/>
    <w:multiLevelType w:val="hybridMultilevel"/>
    <w:tmpl w:val="DBDE5000"/>
    <w:lvl w:ilvl="0" w:tplc="EF2ACB60">
      <w:start w:val="2"/>
      <w:numFmt w:val="decimal"/>
      <w:lvlText w:val="%1."/>
      <w:lvlJc w:val="left"/>
      <w:pPr>
        <w:ind w:left="2880" w:hanging="360"/>
      </w:pPr>
      <w:rPr>
        <w:rFonts w:cs="Times New Roman" w:hint="default"/>
        <w:b w:val="0"/>
      </w:rPr>
    </w:lvl>
    <w:lvl w:ilvl="1" w:tplc="D9540DC4"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A8B6E33"/>
    <w:multiLevelType w:val="hybridMultilevel"/>
    <w:tmpl w:val="3070B2B4"/>
    <w:lvl w:ilvl="0" w:tplc="0C266A4A">
      <w:start w:val="1"/>
      <w:numFmt w:val="lowerLetter"/>
      <w:lvlText w:val="%1."/>
      <w:lvlJc w:val="left"/>
      <w:pPr>
        <w:tabs>
          <w:tab w:val="num" w:pos="735"/>
        </w:tabs>
        <w:ind w:left="735" w:hanging="360"/>
      </w:pPr>
      <w:rPr>
        <w:rFonts w:cs="Times New Roman"/>
      </w:rPr>
    </w:lvl>
    <w:lvl w:ilvl="1" w:tplc="04090019">
      <w:start w:val="1"/>
      <w:numFmt w:val="decimal"/>
      <w:lvlText w:val="%2)"/>
      <w:lvlJc w:val="left"/>
      <w:pPr>
        <w:tabs>
          <w:tab w:val="num" w:pos="1455"/>
        </w:tabs>
        <w:ind w:left="1455" w:hanging="360"/>
      </w:pPr>
      <w:rPr>
        <w:rFonts w:ascii="Arial" w:eastAsia="Times New Roman" w:hAnsi="Arial" w:cs="Arial" w:hint="default"/>
      </w:rPr>
    </w:lvl>
    <w:lvl w:ilvl="2" w:tplc="0409001B">
      <w:start w:val="1"/>
      <w:numFmt w:val="decimal"/>
      <w:lvlText w:val="%3."/>
      <w:lvlJc w:val="left"/>
      <w:pPr>
        <w:tabs>
          <w:tab w:val="num" w:pos="2355"/>
        </w:tabs>
        <w:ind w:left="2355" w:hanging="360"/>
      </w:pPr>
      <w:rPr>
        <w:rFonts w:cs="Times New Roman"/>
      </w:rPr>
    </w:lvl>
    <w:lvl w:ilvl="3" w:tplc="0409000F">
      <w:start w:val="3"/>
      <w:numFmt w:val="upperLetter"/>
      <w:lvlText w:val="%4."/>
      <w:lvlJc w:val="left"/>
      <w:pPr>
        <w:tabs>
          <w:tab w:val="num" w:pos="2895"/>
        </w:tabs>
        <w:ind w:left="289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7D272098"/>
    <w:multiLevelType w:val="hybridMultilevel"/>
    <w:tmpl w:val="4BBE232C"/>
    <w:lvl w:ilvl="0" w:tplc="271A9D84">
      <w:start w:val="1"/>
      <w:numFmt w:val="decimal"/>
      <w:lvlText w:val="%1."/>
      <w:lvlJc w:val="left"/>
      <w:pPr>
        <w:tabs>
          <w:tab w:val="num" w:pos="720"/>
        </w:tabs>
        <w:ind w:left="720" w:hanging="360"/>
      </w:pPr>
      <w:rPr>
        <w:rFonts w:cs="Times New Roman" w:hint="default"/>
      </w:rPr>
    </w:lvl>
    <w:lvl w:ilvl="1" w:tplc="CE287AB4">
      <w:start w:val="1"/>
      <w:numFmt w:val="lowerLetter"/>
      <w:lvlText w:val="%2."/>
      <w:lvlJc w:val="left"/>
      <w:pPr>
        <w:tabs>
          <w:tab w:val="num" w:pos="1440"/>
        </w:tabs>
        <w:ind w:left="1440" w:hanging="360"/>
      </w:pPr>
      <w:rPr>
        <w:rFonts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0"/>
  </w:num>
  <w:num w:numId="3">
    <w:abstractNumId w:val="0"/>
  </w:num>
  <w:num w:numId="4">
    <w:abstractNumId w:val="12"/>
  </w:num>
  <w:num w:numId="5">
    <w:abstractNumId w:val="1"/>
  </w:num>
  <w:num w:numId="6">
    <w:abstractNumId w:val="29"/>
  </w:num>
  <w:num w:numId="7">
    <w:abstractNumId w:val="8"/>
  </w:num>
  <w:num w:numId="8">
    <w:abstractNumId w:val="36"/>
    <w:lvlOverride w:ilvl="0">
      <w:startOverride w:val="1"/>
    </w:lvlOverride>
  </w:num>
  <w:num w:numId="9">
    <w:abstractNumId w:val="16"/>
    <w:lvlOverride w:ilvl="0">
      <w:startOverride w:val="1"/>
    </w:lvlOverride>
  </w:num>
  <w:num w:numId="10">
    <w:abstractNumId w:val="25"/>
    <w:lvlOverride w:ilvl="0">
      <w:startOverride w:val="1"/>
    </w:lvlOverride>
  </w:num>
  <w:num w:numId="11">
    <w:abstractNumId w:val="34"/>
  </w:num>
  <w:num w:numId="12">
    <w:abstractNumId w:val="40"/>
  </w:num>
  <w:num w:numId="13">
    <w:abstractNumId w:val="27"/>
  </w:num>
  <w:num w:numId="14">
    <w:abstractNumId w:val="32"/>
  </w:num>
  <w:num w:numId="15">
    <w:abstractNumId w:val="4"/>
  </w:num>
  <w:num w:numId="16">
    <w:abstractNumId w:val="15"/>
  </w:num>
  <w:num w:numId="17">
    <w:abstractNumId w:val="33"/>
  </w:num>
  <w:num w:numId="18">
    <w:abstractNumId w:val="26"/>
  </w:num>
  <w:num w:numId="19">
    <w:abstractNumId w:val="31"/>
  </w:num>
  <w:num w:numId="20">
    <w:abstractNumId w:val="11"/>
  </w:num>
  <w:num w:numId="21">
    <w:abstractNumId w:val="23"/>
  </w:num>
  <w:num w:numId="22">
    <w:abstractNumId w:val="6"/>
  </w:num>
  <w:num w:numId="23">
    <w:abstractNumId w:val="30"/>
  </w:num>
  <w:num w:numId="24">
    <w:abstractNumId w:val="5"/>
  </w:num>
  <w:num w:numId="25">
    <w:abstractNumId w:val="17"/>
  </w:num>
  <w:num w:numId="26">
    <w:abstractNumId w:val="28"/>
  </w:num>
  <w:num w:numId="27">
    <w:abstractNumId w:val="21"/>
  </w:num>
  <w:num w:numId="28">
    <w:abstractNumId w:val="39"/>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38"/>
  </w:num>
  <w:num w:numId="32">
    <w:abstractNumId w:val="18"/>
  </w:num>
  <w:num w:numId="33">
    <w:abstractNumId w:val="37"/>
  </w:num>
  <w:num w:numId="34">
    <w:abstractNumId w:val="13"/>
  </w:num>
  <w:num w:numId="35">
    <w:abstractNumId w:val="10"/>
  </w:num>
  <w:num w:numId="36">
    <w:abstractNumId w:val="35"/>
  </w:num>
  <w:num w:numId="37">
    <w:abstractNumId w:val="3"/>
  </w:num>
  <w:num w:numId="38">
    <w:abstractNumId w:val="22"/>
  </w:num>
  <w:num w:numId="39">
    <w:abstractNumId w:val="24"/>
  </w:num>
  <w:num w:numId="40">
    <w:abstractNumId w:val="9"/>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formatting="1" w:enforcement="1" w:cryptProviderType="rsaFull" w:cryptAlgorithmClass="hash" w:cryptAlgorithmType="typeAny" w:cryptAlgorithmSid="4" w:cryptSpinCount="50000" w:hash="kCvv4JdAkitV+SRekcDUEPXNqzo=" w:salt="koM2a/7c43IeyCb1euTGJ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1B2FFB"/>
    <w:rsid w:val="00412149"/>
    <w:rsid w:val="00516362"/>
    <w:rsid w:val="006442EC"/>
    <w:rsid w:val="00665A3E"/>
    <w:rsid w:val="0084408B"/>
    <w:rsid w:val="00860226"/>
    <w:rsid w:val="008B5A27"/>
    <w:rsid w:val="00930690"/>
    <w:rsid w:val="00940BCB"/>
    <w:rsid w:val="009F7EA5"/>
    <w:rsid w:val="00F005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iPriority w:val="99"/>
    <w:semiHidden/>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iPriority w:val="99"/>
    <w:semiHidden/>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8525</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2025-11-21T04:54:00Z</dcterms:created>
  <dcterms:modified xsi:type="dcterms:W3CDTF">2025-11-21T04:54:00Z</dcterms:modified>
</cp:coreProperties>
</file>