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65" w:rsidRPr="00913E27" w:rsidRDefault="00483A65" w:rsidP="00483A65">
      <w:pPr>
        <w:spacing w:line="516" w:lineRule="auto"/>
        <w:jc w:val="center"/>
        <w:rPr>
          <w:b/>
        </w:rPr>
      </w:pPr>
      <w:r w:rsidRPr="00913E27">
        <w:rPr>
          <w:b/>
        </w:rPr>
        <w:t>BAB II</w:t>
      </w:r>
    </w:p>
    <w:p w:rsidR="00483A65" w:rsidRPr="00913E27" w:rsidRDefault="00483A65" w:rsidP="00483A65">
      <w:pPr>
        <w:spacing w:line="516" w:lineRule="auto"/>
        <w:jc w:val="center"/>
        <w:rPr>
          <w:b/>
        </w:rPr>
      </w:pPr>
      <w:r w:rsidRPr="00913E27">
        <w:rPr>
          <w:b/>
        </w:rPr>
        <w:t>TINJAUAN PUSTAKA.</w:t>
      </w:r>
    </w:p>
    <w:p w:rsidR="00483A65" w:rsidRPr="00913E27" w:rsidRDefault="00483A65" w:rsidP="00316F1F">
      <w:pPr>
        <w:pStyle w:val="Heading1"/>
        <w:numPr>
          <w:ilvl w:val="0"/>
          <w:numId w:val="10"/>
        </w:numPr>
        <w:jc w:val="both"/>
        <w:rPr>
          <w:rFonts w:ascii="Times New Roman" w:hAnsi="Times New Roman"/>
          <w:b w:val="0"/>
          <w:szCs w:val="24"/>
        </w:rPr>
      </w:pPr>
      <w:r w:rsidRPr="00913E27">
        <w:rPr>
          <w:rFonts w:ascii="Times New Roman" w:eastAsia="MS Mincho" w:hAnsi="Times New Roman"/>
          <w:szCs w:val="24"/>
        </w:rPr>
        <w:t>Pegertian Tindak Pidana</w:t>
      </w:r>
    </w:p>
    <w:p w:rsidR="00483A65" w:rsidRPr="00913E27" w:rsidRDefault="00483A65" w:rsidP="00483A65">
      <w:pPr>
        <w:spacing w:line="480" w:lineRule="auto"/>
        <w:ind w:firstLine="709"/>
        <w:jc w:val="both"/>
        <w:rPr>
          <w:lang w:val="id-ID"/>
        </w:rPr>
      </w:pPr>
      <w:r w:rsidRPr="00913E27">
        <w:t xml:space="preserve">Kata hukum pidana </w:t>
      </w:r>
      <w:r w:rsidRPr="00913E27">
        <w:rPr>
          <w:lang w:val="id-ID"/>
        </w:rPr>
        <w:t>m</w:t>
      </w:r>
      <w:r w:rsidRPr="00913E27">
        <w:t>enurut Moeljatno</w:t>
      </w:r>
      <w:r w:rsidRPr="00913E27">
        <w:rPr>
          <w:lang w:val="id-ID"/>
        </w:rPr>
        <w:t xml:space="preserve"> adalah</w:t>
      </w:r>
      <w:r w:rsidRPr="00913E27">
        <w:t xml:space="preserve"> bagian dari keseluruhan hukum yang berlaku disuatu negara, yang mengadakan dasar-dasar dan aturan-aturan untuk: </w:t>
      </w:r>
    </w:p>
    <w:p w:rsidR="00483A65" w:rsidRPr="00913E27" w:rsidRDefault="00483A65" w:rsidP="00316F1F">
      <w:pPr>
        <w:numPr>
          <w:ilvl w:val="5"/>
          <w:numId w:val="2"/>
        </w:numPr>
        <w:tabs>
          <w:tab w:val="clear" w:pos="4320"/>
          <w:tab w:val="left" w:pos="993"/>
        </w:tabs>
        <w:ind w:left="993" w:hanging="273"/>
        <w:jc w:val="both"/>
        <w:rPr>
          <w:lang w:val="id-ID"/>
        </w:rPr>
      </w:pPr>
      <w:r w:rsidRPr="00913E27">
        <w:t>Menentukan perbuatan-perbuatan mana yang tidak boleh dilakukan, yang dilarang, dengan disertai ancaman atau sanksi yang berupa pidana tertentu bagi barang siapa melanggar larangan tersebut atau disebut perbuatan pidana (</w:t>
      </w:r>
      <w:r w:rsidRPr="00913E27">
        <w:rPr>
          <w:i/>
          <w:iCs/>
        </w:rPr>
        <w:t>criminal act</w:t>
      </w:r>
      <w:r w:rsidRPr="00913E27">
        <w:t xml:space="preserve">). </w:t>
      </w:r>
    </w:p>
    <w:p w:rsidR="00483A65" w:rsidRPr="00913E27" w:rsidRDefault="00483A65" w:rsidP="00316F1F">
      <w:pPr>
        <w:numPr>
          <w:ilvl w:val="5"/>
          <w:numId w:val="2"/>
        </w:numPr>
        <w:tabs>
          <w:tab w:val="clear" w:pos="4320"/>
          <w:tab w:val="left" w:pos="993"/>
        </w:tabs>
        <w:ind w:left="993" w:hanging="273"/>
        <w:jc w:val="both"/>
        <w:rPr>
          <w:lang w:val="id-ID"/>
        </w:rPr>
      </w:pPr>
      <w:r w:rsidRPr="00913E27">
        <w:t>Menentukan kapan dan dalam hal-hal apa kepada mereka yang telah melanggar larangan-larangan itu dapat dikenakan atau dijatuhi pidana sebagaimana yang telah diancamkan atau Pertanggungjawaban hukum pidana (</w:t>
      </w:r>
      <w:r w:rsidRPr="00913E27">
        <w:rPr>
          <w:i/>
          <w:iCs/>
        </w:rPr>
        <w:t xml:space="preserve">criminal liability </w:t>
      </w:r>
      <w:r w:rsidRPr="00913E27">
        <w:t xml:space="preserve">atau </w:t>
      </w:r>
      <w:r w:rsidRPr="00913E27">
        <w:rPr>
          <w:i/>
          <w:iCs/>
        </w:rPr>
        <w:t>criminal responsibility</w:t>
      </w:r>
      <w:r w:rsidRPr="00913E27">
        <w:t xml:space="preserve">) </w:t>
      </w:r>
    </w:p>
    <w:p w:rsidR="00483A65" w:rsidRPr="00913E27" w:rsidRDefault="00483A65" w:rsidP="00316F1F">
      <w:pPr>
        <w:numPr>
          <w:ilvl w:val="5"/>
          <w:numId w:val="2"/>
        </w:numPr>
        <w:tabs>
          <w:tab w:val="clear" w:pos="4320"/>
          <w:tab w:val="left" w:pos="993"/>
        </w:tabs>
        <w:ind w:left="993" w:hanging="273"/>
        <w:jc w:val="both"/>
        <w:rPr>
          <w:lang w:val="id-ID"/>
        </w:rPr>
      </w:pPr>
      <w:r w:rsidRPr="00913E27">
        <w:t>Menentukan dengan cara bagaimana pengenaan pidana itu dapat dilaksanakan apabila ada orang yang disangka telah melanggar larangan tersebut.</w:t>
      </w:r>
      <w:r w:rsidRPr="00913E27">
        <w:rPr>
          <w:rStyle w:val="FootnoteReference"/>
        </w:rPr>
        <w:footnoteReference w:id="2"/>
      </w:r>
    </w:p>
    <w:p w:rsidR="00483A65" w:rsidRPr="00913E27" w:rsidRDefault="00483A65" w:rsidP="00483A65">
      <w:pPr>
        <w:ind w:left="709"/>
        <w:jc w:val="both"/>
        <w:rPr>
          <w:lang w:val="id-ID"/>
        </w:rPr>
      </w:pPr>
    </w:p>
    <w:p w:rsidR="00483A65" w:rsidRPr="00913E27" w:rsidRDefault="00483A65" w:rsidP="00483A65">
      <w:pPr>
        <w:spacing w:line="480" w:lineRule="auto"/>
        <w:ind w:firstLine="709"/>
        <w:jc w:val="both"/>
        <w:rPr>
          <w:lang w:val="id-ID"/>
        </w:rPr>
      </w:pPr>
      <w:r w:rsidRPr="00913E27">
        <w:t>Menurut Moeljatno dalam Tongat menyebutkan pengertian hukum pidana tidak saja meliputi hukum pidana materiil tetapi juga meliputi hukum pidana formil.</w:t>
      </w:r>
      <w:r w:rsidRPr="00913E27">
        <w:rPr>
          <w:rStyle w:val="FootnoteReference"/>
        </w:rPr>
        <w:footnoteReference w:id="3"/>
      </w:r>
      <w:r w:rsidRPr="00913E27">
        <w:t xml:space="preserve"> Hukum pidana materiil (</w:t>
      </w:r>
      <w:r w:rsidRPr="00913E27">
        <w:rPr>
          <w:i/>
          <w:iCs/>
        </w:rPr>
        <w:t>substantive criminal-law</w:t>
      </w:r>
      <w:r w:rsidRPr="00913E27">
        <w:t>) yang mengatur tentang dasar-dasar dan aturan untuk menentukan larangan dan sanksi pidana, yakni, perbuatan-perbuatan mana yang tidak boleh dilakukan, yang dilarang, dengan disertai ancaman atau sanksi yang berupa pidana tertentu bagi barang siapa melanggar larangan tersebut atau disebut perbuatan pidana (</w:t>
      </w:r>
      <w:r w:rsidRPr="00913E27">
        <w:rPr>
          <w:i/>
          <w:iCs/>
        </w:rPr>
        <w:t>criminal act</w:t>
      </w:r>
      <w:r w:rsidRPr="00913E27">
        <w:t>) dan yang mengatur tentang dasar-dasar dan aturan untuk menentukan pertanggungjawaban hukum pidana (</w:t>
      </w:r>
      <w:r w:rsidRPr="00913E27">
        <w:rPr>
          <w:i/>
          <w:iCs/>
        </w:rPr>
        <w:t xml:space="preserve">criminal liability </w:t>
      </w:r>
      <w:r w:rsidRPr="00913E27">
        <w:t xml:space="preserve">atau </w:t>
      </w:r>
      <w:r w:rsidRPr="00913E27">
        <w:rPr>
          <w:i/>
          <w:iCs/>
        </w:rPr>
        <w:t xml:space="preserve">criminal </w:t>
      </w:r>
      <w:r w:rsidRPr="00913E27">
        <w:rPr>
          <w:i/>
          <w:iCs/>
        </w:rPr>
        <w:lastRenderedPageBreak/>
        <w:t>responsibility</w:t>
      </w:r>
      <w:r w:rsidRPr="00913E27">
        <w:t>). Sedangkan hukum pidana formil atau hukum acara pidana memuat peraturan-peraturan tentang bagaimana memelihara atau mempertahankan hukum  pidana materiil karena memuat cara-cara untuk menghukum seseorang yang melanggar peraturan pidana, maka hukum ini dinamakan juga Hukum Acara Pidana</w:t>
      </w:r>
      <w:r w:rsidRPr="00913E27">
        <w:rPr>
          <w:lang w:val="id-ID"/>
        </w:rPr>
        <w:t>.</w:t>
      </w:r>
      <w:r w:rsidRPr="00913E27">
        <w:rPr>
          <w:rStyle w:val="FootnoteReference"/>
          <w:lang w:val="id-ID"/>
        </w:rPr>
        <w:footnoteReference w:id="4"/>
      </w:r>
    </w:p>
    <w:p w:rsidR="00483A65" w:rsidRPr="00913E27" w:rsidRDefault="00483A65" w:rsidP="00483A65">
      <w:pPr>
        <w:spacing w:line="480" w:lineRule="auto"/>
        <w:ind w:firstLine="709"/>
        <w:jc w:val="both"/>
        <w:rPr>
          <w:lang w:val="id-ID"/>
        </w:rPr>
      </w:pPr>
      <w:r w:rsidRPr="00913E27">
        <w:t>Moeljatno, menyebutkan:</w:t>
      </w:r>
    </w:p>
    <w:p w:rsidR="00483A65" w:rsidRPr="00913E27" w:rsidRDefault="00483A65" w:rsidP="00483A65">
      <w:pPr>
        <w:pStyle w:val="Default"/>
        <w:ind w:left="709"/>
        <w:jc w:val="both"/>
        <w:rPr>
          <w:rFonts w:ascii="Times New Roman" w:hAnsi="Times New Roman" w:cs="Times New Roman"/>
        </w:rPr>
      </w:pPr>
      <w:r w:rsidRPr="00913E27">
        <w:rPr>
          <w:rFonts w:ascii="Times New Roman" w:hAnsi="Times New Roman" w:cs="Times New Roman"/>
        </w:rPr>
        <w:t xml:space="preserve">Hukum pidana 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 </w:t>
      </w:r>
      <w:r w:rsidRPr="00913E27">
        <w:rPr>
          <w:rStyle w:val="FootnoteReference"/>
        </w:rPr>
        <w:footnoteReference w:id="5"/>
      </w:r>
    </w:p>
    <w:p w:rsidR="00483A65" w:rsidRPr="00913E27" w:rsidRDefault="00483A65" w:rsidP="00483A65">
      <w:pPr>
        <w:pStyle w:val="Default"/>
        <w:spacing w:line="528" w:lineRule="auto"/>
        <w:ind w:firstLine="709"/>
        <w:jc w:val="both"/>
        <w:rPr>
          <w:rFonts w:ascii="Times New Roman" w:hAnsi="Times New Roman" w:cs="Times New Roman"/>
        </w:rPr>
      </w:pPr>
      <w:r w:rsidRPr="00913E27">
        <w:rPr>
          <w:rFonts w:ascii="Times New Roman" w:hAnsi="Times New Roman" w:cs="Times New Roman"/>
        </w:rPr>
        <w:t>Adami Chazawi menyebutkan:</w:t>
      </w:r>
    </w:p>
    <w:p w:rsidR="00483A65" w:rsidRPr="00913E27" w:rsidRDefault="00483A65" w:rsidP="00483A65">
      <w:pPr>
        <w:pStyle w:val="Default"/>
        <w:spacing w:line="204" w:lineRule="auto"/>
        <w:ind w:left="709"/>
        <w:jc w:val="both"/>
        <w:rPr>
          <w:rFonts w:ascii="Times New Roman" w:hAnsi="Times New Roman" w:cs="Times New Roman"/>
        </w:rPr>
      </w:pPr>
      <w:r w:rsidRPr="00913E27">
        <w:rPr>
          <w:rFonts w:ascii="Times New Roman" w:hAnsi="Times New Roman" w:cs="Times New Roman"/>
        </w:rPr>
        <w:t>Hukum pidana memuat ketentuan-ketentuan mengenai 3 (tiga) macam yaitu:</w:t>
      </w:r>
    </w:p>
    <w:p w:rsidR="00483A65" w:rsidRPr="00913E27" w:rsidRDefault="00483A65" w:rsidP="00316F1F">
      <w:pPr>
        <w:pStyle w:val="Default"/>
        <w:numPr>
          <w:ilvl w:val="6"/>
          <w:numId w:val="2"/>
        </w:numPr>
        <w:tabs>
          <w:tab w:val="clear" w:pos="5040"/>
          <w:tab w:val="left" w:pos="993"/>
          <w:tab w:val="num" w:pos="1080"/>
        </w:tabs>
        <w:spacing w:line="204" w:lineRule="auto"/>
        <w:ind w:left="1080"/>
        <w:jc w:val="both"/>
        <w:rPr>
          <w:rFonts w:ascii="Times New Roman" w:hAnsi="Times New Roman" w:cs="Times New Roman"/>
        </w:rPr>
      </w:pPr>
      <w:r w:rsidRPr="00913E27">
        <w:rPr>
          <w:rFonts w:ascii="Times New Roman" w:hAnsi="Times New Roman" w:cs="Times New Roman"/>
        </w:rPr>
        <w:t>Aturan hukum pidana dan yang dikaitkan atau dalam hal yang berhubungan dengan larangan melakukan perbuatan-perbuatan tertentu yang disertai dengan ancaman pidana bagi siapa yang melanggar larangan itu (disebut tindak pidana);</w:t>
      </w:r>
    </w:p>
    <w:p w:rsidR="00483A65" w:rsidRPr="00913E27" w:rsidRDefault="00483A65" w:rsidP="00316F1F">
      <w:pPr>
        <w:pStyle w:val="Default"/>
        <w:numPr>
          <w:ilvl w:val="6"/>
          <w:numId w:val="2"/>
        </w:numPr>
        <w:tabs>
          <w:tab w:val="clear" w:pos="5040"/>
          <w:tab w:val="left" w:pos="993"/>
        </w:tabs>
        <w:spacing w:line="204" w:lineRule="auto"/>
        <w:ind w:left="993" w:hanging="283"/>
        <w:jc w:val="both"/>
        <w:rPr>
          <w:rFonts w:ascii="Times New Roman" w:hAnsi="Times New Roman" w:cs="Times New Roman"/>
        </w:rPr>
      </w:pPr>
      <w:r w:rsidRPr="00913E27">
        <w:rPr>
          <w:rFonts w:ascii="Times New Roman" w:hAnsi="Times New Roman" w:cs="Times New Roman"/>
        </w:rPr>
        <w:t>Syarat-syarat tertentu yang harus dipenuhi bagi orang yang melanggar aturan hukum pidana yang disebutkan pertama di atas, agar yang melanggar tadi dapat dijatuhi pidana sesuai dengan yang diancamkan; dan</w:t>
      </w:r>
    </w:p>
    <w:p w:rsidR="00483A65" w:rsidRPr="00913E27" w:rsidRDefault="00483A65" w:rsidP="00316F1F">
      <w:pPr>
        <w:pStyle w:val="Default"/>
        <w:numPr>
          <w:ilvl w:val="6"/>
          <w:numId w:val="2"/>
        </w:numPr>
        <w:tabs>
          <w:tab w:val="clear" w:pos="5040"/>
          <w:tab w:val="left" w:pos="993"/>
        </w:tabs>
        <w:spacing w:line="204" w:lineRule="auto"/>
        <w:ind w:left="993" w:hanging="283"/>
        <w:jc w:val="both"/>
        <w:rPr>
          <w:rFonts w:ascii="Times New Roman" w:hAnsi="Times New Roman" w:cs="Times New Roman"/>
        </w:rPr>
      </w:pPr>
      <w:r w:rsidRPr="00913E27">
        <w:rPr>
          <w:rFonts w:ascii="Times New Roman" w:hAnsi="Times New Roman" w:cs="Times New Roman"/>
        </w:rPr>
        <w:t>Upaya negara yang boleh dan harus dilakukan oleh alat-alat perlengkapan negara dalam hal negara melaksanakan/ menegakkan hukum pidana yang disebutkan di atas.</w:t>
      </w:r>
      <w:r w:rsidRPr="00913E27">
        <w:rPr>
          <w:rStyle w:val="FootnoteReference"/>
        </w:rPr>
        <w:footnoteReference w:id="6"/>
      </w:r>
    </w:p>
    <w:p w:rsidR="00483A65" w:rsidRPr="00913E27" w:rsidRDefault="00483A65" w:rsidP="00483A65">
      <w:pPr>
        <w:pStyle w:val="Default"/>
        <w:ind w:left="709"/>
        <w:jc w:val="both"/>
        <w:rPr>
          <w:rFonts w:ascii="Times New Roman" w:hAnsi="Times New Roman" w:cs="Times New Roman"/>
        </w:rPr>
      </w:pPr>
    </w:p>
    <w:p w:rsidR="00483A65" w:rsidRPr="00913E27" w:rsidRDefault="00483A65" w:rsidP="00483A65">
      <w:pPr>
        <w:spacing w:line="480" w:lineRule="auto"/>
        <w:ind w:firstLine="709"/>
        <w:jc w:val="both"/>
        <w:rPr>
          <w:lang w:val="id-ID"/>
        </w:rPr>
      </w:pPr>
      <w:r w:rsidRPr="00913E27">
        <w:t xml:space="preserve">Hukum pidana yang berupa aturan-aturan tertulis itu disusun, dibuat dan diundangkan untuk diberlakukan. Hukum pidana yang wujudnya terdiri dari susunan kalimat-kalimat (tertulis) setelah diundangkan untuk diberlakukan pda kehidupan nyata di dalam masyarakat menjadi hukum positif akan menjadi efektif dan dirasakan mencapai keadilan dan kepastian hukum apabila penerapannya itu </w:t>
      </w:r>
      <w:r w:rsidRPr="00913E27">
        <w:lastRenderedPageBreak/>
        <w:t>sesuai dengan maksud oleh pembentuk undang-undang mengenai apa yang ditulis dalam kalimat-kalimat itu.</w:t>
      </w:r>
    </w:p>
    <w:p w:rsidR="00483A65" w:rsidRPr="00913E27" w:rsidRDefault="00483A65" w:rsidP="00483A65">
      <w:pPr>
        <w:spacing w:line="480" w:lineRule="auto"/>
        <w:ind w:firstLine="709"/>
        <w:jc w:val="both"/>
        <w:rPr>
          <w:lang w:val="id-ID"/>
        </w:rPr>
      </w:pPr>
      <w:r w:rsidRPr="00913E27">
        <w:t>Ismu Gunadi menyatakan hukum pidana adalah “hukum yang memuat peraturan-peraturan yang mengandung keharusan dan larangan terhadap pelanggarnya yang diancam dengan hukuman berupa siksaan badan”.</w:t>
      </w:r>
      <w:r w:rsidRPr="00913E27">
        <w:rPr>
          <w:rStyle w:val="FootnoteReference"/>
        </w:rPr>
        <w:footnoteReference w:id="7"/>
      </w:r>
      <w:r w:rsidRPr="00913E27">
        <w:t xml:space="preserve">Untuk menentukan perbuatan mana yang dipandang sebagai perbuatan pidana, hukum pidana di Indonesia menganut asas yang dinamakan asas legalitas, yakni tiap-tiap perbuatan pidana harus ditentukan oleh suatu aturan undang-undang (Pasal 1 ayat (1) KUHP) dan asas yang berbunyi “Tiada suatu perbuatan boleh dihukum, melainkan atas kekuatan ketentuan pidana dalam undang-undang, yang ada terdahulu dari pada perbuatan itu” tidak dipidana jika tidak ada kesalahan. </w:t>
      </w:r>
    </w:p>
    <w:p w:rsidR="00483A65" w:rsidRPr="00913E27" w:rsidRDefault="00483A65" w:rsidP="00483A65">
      <w:pPr>
        <w:spacing w:line="480" w:lineRule="auto"/>
        <w:ind w:firstLine="709"/>
        <w:jc w:val="both"/>
      </w:pPr>
      <w:r w:rsidRPr="00913E27">
        <w:t xml:space="preserve">Hukum pidana mengenal beberapa rumusan pengertian tindak pidana atau istilah tindak pidana sebagai pengganti istilah </w:t>
      </w:r>
      <w:r w:rsidRPr="00913E27">
        <w:rPr>
          <w:i/>
        </w:rPr>
        <w:t>Strafbaar Feit</w:t>
      </w:r>
      <w:r w:rsidRPr="00913E27">
        <w:t xml:space="preserve">. Sedangkan dalam perundang-undangan negara Indonesia istilah tersebut disebutkan sebagai peristiwa pidana, perbuatan pidana atau delik. </w:t>
      </w:r>
    </w:p>
    <w:p w:rsidR="00483A65" w:rsidRPr="00913E27" w:rsidRDefault="00483A65" w:rsidP="00483A65">
      <w:pPr>
        <w:spacing w:line="480" w:lineRule="auto"/>
        <w:ind w:firstLine="709"/>
        <w:jc w:val="both"/>
      </w:pPr>
      <w:r w:rsidRPr="00913E27">
        <w:rPr>
          <w:lang w:val="id-ID"/>
        </w:rPr>
        <w:t>I</w:t>
      </w:r>
      <w:r w:rsidRPr="00913E27">
        <w:t xml:space="preserve">stilah </w:t>
      </w:r>
      <w:r w:rsidRPr="00913E27">
        <w:rPr>
          <w:i/>
          <w:iCs/>
        </w:rPr>
        <w:t>het strafbare feit</w:t>
      </w:r>
      <w:r w:rsidRPr="00913E27">
        <w:t xml:space="preserve"> telah diterjemahkan dalam bahasa Indonesia yang artinya antara lain sebagai berikut:</w:t>
      </w:r>
    </w:p>
    <w:p w:rsidR="00483A65" w:rsidRPr="00913E27" w:rsidRDefault="00483A65" w:rsidP="00316F1F">
      <w:pPr>
        <w:numPr>
          <w:ilvl w:val="3"/>
          <w:numId w:val="3"/>
        </w:numPr>
        <w:tabs>
          <w:tab w:val="clear" w:pos="2880"/>
          <w:tab w:val="num" w:pos="360"/>
        </w:tabs>
        <w:spacing w:line="456" w:lineRule="auto"/>
        <w:ind w:left="360"/>
        <w:jc w:val="both"/>
      </w:pPr>
      <w:r w:rsidRPr="00913E27">
        <w:t>Perbuatan yang dapat/boleh dihukum.</w:t>
      </w:r>
    </w:p>
    <w:p w:rsidR="00483A65" w:rsidRPr="00913E27" w:rsidRDefault="00483A65" w:rsidP="00316F1F">
      <w:pPr>
        <w:numPr>
          <w:ilvl w:val="3"/>
          <w:numId w:val="3"/>
        </w:numPr>
        <w:tabs>
          <w:tab w:val="clear" w:pos="2880"/>
          <w:tab w:val="num" w:pos="-3051"/>
          <w:tab w:val="num" w:pos="-2331"/>
        </w:tabs>
        <w:spacing w:line="480" w:lineRule="auto"/>
        <w:ind w:left="360"/>
        <w:jc w:val="both"/>
      </w:pPr>
      <w:r w:rsidRPr="00913E27">
        <w:t>Peristiwa pidana</w:t>
      </w:r>
    </w:p>
    <w:p w:rsidR="00483A65" w:rsidRPr="00913E27" w:rsidRDefault="00483A65" w:rsidP="00316F1F">
      <w:pPr>
        <w:numPr>
          <w:ilvl w:val="3"/>
          <w:numId w:val="3"/>
        </w:numPr>
        <w:tabs>
          <w:tab w:val="clear" w:pos="2880"/>
          <w:tab w:val="num" w:pos="-3051"/>
          <w:tab w:val="num" w:pos="-2331"/>
        </w:tabs>
        <w:spacing w:line="480" w:lineRule="auto"/>
        <w:ind w:left="360"/>
        <w:jc w:val="both"/>
      </w:pPr>
      <w:r w:rsidRPr="00913E27">
        <w:t>Perbuatan pidana</w:t>
      </w:r>
    </w:p>
    <w:p w:rsidR="00483A65" w:rsidRPr="00913E27" w:rsidRDefault="00483A65" w:rsidP="00316F1F">
      <w:pPr>
        <w:numPr>
          <w:ilvl w:val="3"/>
          <w:numId w:val="3"/>
        </w:numPr>
        <w:tabs>
          <w:tab w:val="clear" w:pos="2880"/>
          <w:tab w:val="num" w:pos="-3051"/>
          <w:tab w:val="num" w:pos="-2331"/>
        </w:tabs>
        <w:spacing w:line="480" w:lineRule="auto"/>
        <w:ind w:left="360"/>
        <w:jc w:val="both"/>
      </w:pPr>
      <w:r w:rsidRPr="00913E27">
        <w:t>Tindak pidana.</w:t>
      </w:r>
      <w:r w:rsidRPr="00913E27">
        <w:rPr>
          <w:rStyle w:val="FootnoteReference"/>
        </w:rPr>
        <w:footnoteReference w:id="8"/>
      </w:r>
    </w:p>
    <w:p w:rsidR="00483A65" w:rsidRPr="00913E27" w:rsidRDefault="00483A65" w:rsidP="00483A65">
      <w:pPr>
        <w:spacing w:line="444" w:lineRule="auto"/>
        <w:ind w:firstLine="709"/>
        <w:jc w:val="both"/>
      </w:pPr>
      <w:r w:rsidRPr="00913E27">
        <w:lastRenderedPageBreak/>
        <w:t xml:space="preserve">KUHP tidak memberikan definisi terhadap istilah tindak pidana atau </w:t>
      </w:r>
      <w:r w:rsidRPr="00913E27">
        <w:rPr>
          <w:i/>
        </w:rPr>
        <w:t>strafbaar feit.</w:t>
      </w:r>
      <w:r w:rsidRPr="00913E27">
        <w:t xml:space="preserve"> Secara sederhana dapat dikatakan bahwa tidak pidana adalah perbuatan yang pelakunya seharusnya di pidana.</w:t>
      </w:r>
      <w:r w:rsidRPr="00913E27">
        <w:rPr>
          <w:rStyle w:val="FootnoteReference"/>
        </w:rPr>
        <w:footnoteReference w:id="9"/>
      </w:r>
      <w:r w:rsidRPr="00913E27">
        <w:t xml:space="preserve"> Melihat apa yang dimaksud di atas, maka pembentuk undang-undang sudah konsisten dalam pemakaian istilah tindak pidana. Akan tetapi para sarjana hukum pidana mempertahankan istilah yang dipilihnya sendiri. Tentang apa yang diartikan dengan </w:t>
      </w:r>
      <w:r w:rsidRPr="00913E27">
        <w:rPr>
          <w:i/>
          <w:iCs/>
        </w:rPr>
        <w:t>strafbaar feit</w:t>
      </w:r>
      <w:r w:rsidRPr="00913E27">
        <w:t xml:space="preserve"> (tindak pidana) para sarjana memberikan pengertian yang berbeda-beda.</w:t>
      </w:r>
    </w:p>
    <w:p w:rsidR="00483A65" w:rsidRPr="00913E27" w:rsidRDefault="00483A65" w:rsidP="00483A65">
      <w:pPr>
        <w:spacing w:line="444" w:lineRule="auto"/>
        <w:ind w:firstLine="709"/>
        <w:jc w:val="both"/>
      </w:pPr>
      <w:r w:rsidRPr="00913E27">
        <w:rPr>
          <w:color w:val="000000"/>
        </w:rPr>
        <w:t>M. Hamdan menyebutkan bahwa peristiwa pidana adalah suatu perbuatan atau rangkaian perbuatan manusia yang  bertentangan dengan undang-undang atau peraturan perundang-undangan lainnya terhadap perbuatan mana diadakan tindakan penghukuman.</w:t>
      </w:r>
      <w:r w:rsidRPr="00913E27">
        <w:rPr>
          <w:rStyle w:val="FootnoteReference"/>
          <w:b/>
          <w:color w:val="000000"/>
        </w:rPr>
        <w:footnoteReference w:id="10"/>
      </w:r>
    </w:p>
    <w:p w:rsidR="00483A65" w:rsidRPr="00913E27" w:rsidRDefault="00483A65" w:rsidP="00483A65">
      <w:pPr>
        <w:spacing w:line="444" w:lineRule="auto"/>
        <w:ind w:firstLine="709"/>
        <w:jc w:val="both"/>
      </w:pPr>
      <w:r w:rsidRPr="00913E27">
        <w:t>Van Hamel dalam M. Hamdan menyebutkan bahwa secara dogmatis masalah pokok yang berhubungan dengan hukum pidana adalah membicarakan tiga hal yaitu:</w:t>
      </w:r>
    </w:p>
    <w:p w:rsidR="00483A65" w:rsidRPr="00913E27" w:rsidRDefault="00483A65" w:rsidP="00316F1F">
      <w:pPr>
        <w:numPr>
          <w:ilvl w:val="0"/>
          <w:numId w:val="5"/>
        </w:numPr>
        <w:spacing w:line="444" w:lineRule="auto"/>
        <w:ind w:left="360"/>
        <w:jc w:val="both"/>
      </w:pPr>
      <w:r w:rsidRPr="00913E27">
        <w:t>Perbuatan yang dilarang;</w:t>
      </w:r>
    </w:p>
    <w:p w:rsidR="00483A65" w:rsidRPr="00913E27" w:rsidRDefault="00483A65" w:rsidP="00316F1F">
      <w:pPr>
        <w:numPr>
          <w:ilvl w:val="0"/>
          <w:numId w:val="5"/>
        </w:numPr>
        <w:spacing w:line="444" w:lineRule="auto"/>
        <w:ind w:left="360"/>
        <w:jc w:val="both"/>
      </w:pPr>
      <w:r w:rsidRPr="00913E27">
        <w:t>Orang yang melakukan perbuatan  yang dilarang itu; dan</w:t>
      </w:r>
    </w:p>
    <w:p w:rsidR="00483A65" w:rsidRPr="00913E27" w:rsidRDefault="00483A65" w:rsidP="00316F1F">
      <w:pPr>
        <w:numPr>
          <w:ilvl w:val="0"/>
          <w:numId w:val="5"/>
        </w:numPr>
        <w:spacing w:line="444" w:lineRule="auto"/>
        <w:ind w:left="360"/>
        <w:jc w:val="both"/>
      </w:pPr>
      <w:r w:rsidRPr="00913E27">
        <w:t>Pidana yang diancamkan terhadap pelanggar larangan itu.</w:t>
      </w:r>
      <w:r w:rsidRPr="00913E27">
        <w:rPr>
          <w:rStyle w:val="FootnoteReference"/>
        </w:rPr>
        <w:footnoteReference w:id="11"/>
      </w:r>
    </w:p>
    <w:p w:rsidR="00483A65" w:rsidRPr="00913E27" w:rsidRDefault="00483A65" w:rsidP="00483A65">
      <w:pPr>
        <w:spacing w:line="444" w:lineRule="auto"/>
        <w:ind w:firstLine="709"/>
        <w:jc w:val="both"/>
      </w:pPr>
      <w:r w:rsidRPr="00913E27">
        <w:t>Menurut Mahrus Ali bahwa perbuatan pidana adalah perbuatan yang dilarang dan diancam dengan pidana barang siapa yang melakukannya.</w:t>
      </w:r>
      <w:r w:rsidRPr="00913E27">
        <w:rPr>
          <w:rStyle w:val="FootnoteReference"/>
        </w:rPr>
        <w:footnoteReference w:id="12"/>
      </w:r>
      <w:r w:rsidRPr="00913E27">
        <w:t xml:space="preserve"> R. Tresna menyebutkan bahwa peristiwa pidana adalah </w:t>
      </w:r>
      <w:r>
        <w:t>s</w:t>
      </w:r>
      <w:r w:rsidRPr="00913E27">
        <w:t xml:space="preserve">uatu perbuatan rangkaian perbuatan manusia yang bertentangan dengan Undang-Undang atau peraturan perundang-undangan lainnya terhadap perbuatan mana diadakan tindakan </w:t>
      </w:r>
      <w:r w:rsidRPr="00913E27">
        <w:lastRenderedPageBreak/>
        <w:t>penghukuman. Ia juga menyatakan bahwa supaya suatu perbuatan dapat disebut peristiwa pidana, perbuatan itu harus memenuhi beberapa syarat yaitu :</w:t>
      </w:r>
    </w:p>
    <w:p w:rsidR="00483A65" w:rsidRPr="00913E27" w:rsidRDefault="00483A65" w:rsidP="00316F1F">
      <w:pPr>
        <w:numPr>
          <w:ilvl w:val="1"/>
          <w:numId w:val="6"/>
        </w:numPr>
        <w:tabs>
          <w:tab w:val="clear" w:pos="1440"/>
          <w:tab w:val="num" w:pos="1080"/>
          <w:tab w:val="left" w:pos="1134"/>
        </w:tabs>
        <w:ind w:left="1080"/>
        <w:jc w:val="both"/>
      </w:pPr>
      <w:r w:rsidRPr="00913E27">
        <w:t>Harus ada suatu peruatan manusia</w:t>
      </w:r>
    </w:p>
    <w:p w:rsidR="00483A65" w:rsidRPr="00913E27" w:rsidRDefault="00483A65" w:rsidP="00316F1F">
      <w:pPr>
        <w:numPr>
          <w:ilvl w:val="1"/>
          <w:numId w:val="6"/>
        </w:numPr>
        <w:tabs>
          <w:tab w:val="clear" w:pos="1440"/>
          <w:tab w:val="num" w:pos="1080"/>
          <w:tab w:val="left" w:pos="1134"/>
        </w:tabs>
        <w:ind w:left="1080"/>
        <w:jc w:val="both"/>
      </w:pPr>
      <w:r w:rsidRPr="00913E27">
        <w:t>Perbuatan itu harus sesuai dengan apa yang dilukiskan dalam ketentuan umum.</w:t>
      </w:r>
    </w:p>
    <w:p w:rsidR="00483A65" w:rsidRPr="00913E27" w:rsidRDefault="00483A65" w:rsidP="00316F1F">
      <w:pPr>
        <w:numPr>
          <w:ilvl w:val="1"/>
          <w:numId w:val="6"/>
        </w:numPr>
        <w:tabs>
          <w:tab w:val="clear" w:pos="1440"/>
          <w:tab w:val="num" w:pos="1080"/>
          <w:tab w:val="left" w:pos="1134"/>
        </w:tabs>
        <w:ind w:left="1080"/>
        <w:jc w:val="both"/>
      </w:pPr>
      <w:r w:rsidRPr="00913E27">
        <w:t>Harus terbukti adanya dosa pada orang yang berbuat yaitu orangnya harus dapat dipertanggung jawabkan.</w:t>
      </w:r>
    </w:p>
    <w:p w:rsidR="00483A65" w:rsidRPr="00913E27" w:rsidRDefault="00483A65" w:rsidP="00316F1F">
      <w:pPr>
        <w:numPr>
          <w:ilvl w:val="1"/>
          <w:numId w:val="6"/>
        </w:numPr>
        <w:tabs>
          <w:tab w:val="clear" w:pos="1440"/>
          <w:tab w:val="num" w:pos="1080"/>
          <w:tab w:val="left" w:pos="1134"/>
        </w:tabs>
        <w:ind w:left="1080"/>
        <w:jc w:val="both"/>
      </w:pPr>
      <w:r w:rsidRPr="00913E27">
        <w:t xml:space="preserve">Perbuatan itu harus berlawanan dengan </w:t>
      </w:r>
      <w:r w:rsidRPr="00913E27">
        <w:rPr>
          <w:i/>
        </w:rPr>
        <w:t>hukum</w:t>
      </w:r>
    </w:p>
    <w:p w:rsidR="00483A65" w:rsidRPr="00913E27" w:rsidRDefault="00483A65" w:rsidP="00316F1F">
      <w:pPr>
        <w:numPr>
          <w:ilvl w:val="1"/>
          <w:numId w:val="6"/>
        </w:numPr>
        <w:tabs>
          <w:tab w:val="clear" w:pos="1440"/>
          <w:tab w:val="num" w:pos="1080"/>
          <w:tab w:val="left" w:pos="1134"/>
        </w:tabs>
        <w:ind w:left="1080"/>
        <w:jc w:val="both"/>
      </w:pPr>
      <w:r w:rsidRPr="00913E27">
        <w:t>Terhadap perbuatan  itu harus tersedia ancaman hukuman di dalam undang-undang.</w:t>
      </w:r>
      <w:r w:rsidRPr="00913E27">
        <w:rPr>
          <w:rStyle w:val="FootnoteReference"/>
        </w:rPr>
        <w:footnoteReference w:id="13"/>
      </w:r>
    </w:p>
    <w:p w:rsidR="00483A65" w:rsidRPr="00913E27" w:rsidRDefault="00483A65" w:rsidP="00483A65">
      <w:pPr>
        <w:ind w:left="540"/>
        <w:jc w:val="both"/>
      </w:pPr>
    </w:p>
    <w:p w:rsidR="00483A65" w:rsidRPr="00913E27" w:rsidRDefault="00483A65" w:rsidP="00483A65">
      <w:pPr>
        <w:spacing w:line="432" w:lineRule="auto"/>
        <w:ind w:firstLine="709"/>
        <w:jc w:val="both"/>
      </w:pPr>
      <w:r w:rsidRPr="00913E27">
        <w:t>Tindak pidana adalah sesuatu perbuatan yang dilarang atau diwajibkan oleh Undang-Undang yang apabila dilakukan atau  diabaikan, maka orang yang melakukan atau mengabaikan itu diancam dengan hukuman. Dalam hal ini tindak pidana itu juga terdiri dari dua unsur yaitu:</w:t>
      </w:r>
    </w:p>
    <w:p w:rsidR="00483A65" w:rsidRPr="00913E27" w:rsidRDefault="00483A65" w:rsidP="00316F1F">
      <w:pPr>
        <w:numPr>
          <w:ilvl w:val="0"/>
          <w:numId w:val="11"/>
        </w:numPr>
        <w:spacing w:line="432" w:lineRule="auto"/>
        <w:ind w:left="360"/>
        <w:jc w:val="both"/>
      </w:pPr>
      <w:r w:rsidRPr="00913E27">
        <w:t>Unsur yang bersifat objektif yang meliputi:</w:t>
      </w:r>
    </w:p>
    <w:p w:rsidR="00483A65" w:rsidRPr="00913E27" w:rsidRDefault="00483A65" w:rsidP="00316F1F">
      <w:pPr>
        <w:numPr>
          <w:ilvl w:val="4"/>
          <w:numId w:val="1"/>
        </w:numPr>
        <w:tabs>
          <w:tab w:val="clear" w:pos="3600"/>
          <w:tab w:val="num" w:pos="720"/>
        </w:tabs>
        <w:spacing w:line="480" w:lineRule="auto"/>
        <w:ind w:left="714" w:hanging="357"/>
        <w:jc w:val="both"/>
      </w:pPr>
      <w:r w:rsidRPr="00913E27">
        <w:t>Perbuatan manusia yaitu perbuatan yang positif atau suatu perbuatan yang negatif yang menyebabkan pidana.</w:t>
      </w:r>
    </w:p>
    <w:p w:rsidR="00483A65" w:rsidRPr="00913E27" w:rsidRDefault="00483A65" w:rsidP="00316F1F">
      <w:pPr>
        <w:numPr>
          <w:ilvl w:val="4"/>
          <w:numId w:val="1"/>
        </w:numPr>
        <w:tabs>
          <w:tab w:val="clear" w:pos="3600"/>
          <w:tab w:val="num" w:pos="720"/>
        </w:tabs>
        <w:spacing w:line="480" w:lineRule="auto"/>
        <w:ind w:left="714" w:hanging="357"/>
        <w:jc w:val="both"/>
      </w:pPr>
      <w:r w:rsidRPr="00913E27">
        <w:t>Akibat perbuatan manusia yaitu akibat yang terdiri atas merusakkan atau membahayakan kepentingan-kepentingan hukum yang menurut norma hukum itu perlu ada supaya dapat dihukum.</w:t>
      </w:r>
    </w:p>
    <w:p w:rsidR="00483A65" w:rsidRPr="00913E27" w:rsidRDefault="00483A65" w:rsidP="00316F1F">
      <w:pPr>
        <w:numPr>
          <w:ilvl w:val="4"/>
          <w:numId w:val="1"/>
        </w:numPr>
        <w:tabs>
          <w:tab w:val="clear" w:pos="3600"/>
          <w:tab w:val="num" w:pos="720"/>
        </w:tabs>
        <w:spacing w:line="480" w:lineRule="auto"/>
        <w:ind w:left="714" w:hanging="357"/>
        <w:jc w:val="both"/>
      </w:pPr>
      <w:r w:rsidRPr="00913E27">
        <w:t>Keadaan-keadaan sekitar perbuatan itu, keadaan-keadaan ini bisa jadi terdapat pada waktu melakukan perbuatan.</w:t>
      </w:r>
    </w:p>
    <w:p w:rsidR="00483A65" w:rsidRPr="00913E27" w:rsidRDefault="00483A65" w:rsidP="00316F1F">
      <w:pPr>
        <w:numPr>
          <w:ilvl w:val="4"/>
          <w:numId w:val="1"/>
        </w:numPr>
        <w:tabs>
          <w:tab w:val="clear" w:pos="3600"/>
          <w:tab w:val="num" w:pos="720"/>
        </w:tabs>
        <w:spacing w:line="480" w:lineRule="auto"/>
        <w:ind w:left="714" w:hanging="357"/>
        <w:jc w:val="both"/>
      </w:pPr>
      <w:r w:rsidRPr="00913E27">
        <w:t>Sifat melawan hukum dan sifat dapat dipidanakan perbuatan itu melawan hukum, jika bertentangan dengan undang-undang.</w:t>
      </w:r>
    </w:p>
    <w:p w:rsidR="00483A65" w:rsidRPr="00913E27" w:rsidRDefault="00483A65" w:rsidP="00316F1F">
      <w:pPr>
        <w:numPr>
          <w:ilvl w:val="0"/>
          <w:numId w:val="12"/>
        </w:numPr>
        <w:tabs>
          <w:tab w:val="clear" w:pos="3600"/>
        </w:tabs>
        <w:spacing w:line="432" w:lineRule="auto"/>
        <w:ind w:left="360"/>
        <w:jc w:val="both"/>
      </w:pPr>
      <w:r w:rsidRPr="00913E27">
        <w:t>Unsur yang bersifat subjektif yaitu unsur yang ada dalam diri si pelaku itu sendiri yaitu kesalahan dari orang yang melanggar aturan-aturan pidana, artinya pelanggaran itu harus dapat dipertanggungjawabkan kepada pelanggar.</w:t>
      </w:r>
    </w:p>
    <w:p w:rsidR="00483A65" w:rsidRPr="00913E27" w:rsidRDefault="00483A65" w:rsidP="00483A65">
      <w:pPr>
        <w:spacing w:line="456" w:lineRule="auto"/>
        <w:ind w:firstLine="709"/>
        <w:jc w:val="both"/>
      </w:pPr>
      <w:r w:rsidRPr="00913E27">
        <w:lastRenderedPageBreak/>
        <w:t>Suatu perbuatan akan menjadi suatu tindak pidana apabila perbuatan tersebut memenuhi unsur-unsur sebagai berikut:</w:t>
      </w:r>
    </w:p>
    <w:p w:rsidR="00483A65" w:rsidRPr="00913E27" w:rsidRDefault="00483A65" w:rsidP="00316F1F">
      <w:pPr>
        <w:numPr>
          <w:ilvl w:val="4"/>
          <w:numId w:val="4"/>
        </w:numPr>
        <w:spacing w:line="456" w:lineRule="auto"/>
        <w:ind w:left="360"/>
        <w:jc w:val="both"/>
      </w:pPr>
      <w:r w:rsidRPr="00913E27">
        <w:t>Melawan hukum</w:t>
      </w:r>
    </w:p>
    <w:p w:rsidR="00483A65" w:rsidRPr="00913E27" w:rsidRDefault="00483A65" w:rsidP="00316F1F">
      <w:pPr>
        <w:numPr>
          <w:ilvl w:val="4"/>
          <w:numId w:val="4"/>
        </w:numPr>
        <w:tabs>
          <w:tab w:val="num" w:pos="-720"/>
        </w:tabs>
        <w:spacing w:line="456" w:lineRule="auto"/>
        <w:ind w:left="360"/>
        <w:jc w:val="both"/>
      </w:pPr>
      <w:r w:rsidRPr="00913E27">
        <w:t>Merugikan masyarakat</w:t>
      </w:r>
    </w:p>
    <w:p w:rsidR="00483A65" w:rsidRPr="00913E27" w:rsidRDefault="00483A65" w:rsidP="00316F1F">
      <w:pPr>
        <w:numPr>
          <w:ilvl w:val="4"/>
          <w:numId w:val="4"/>
        </w:numPr>
        <w:tabs>
          <w:tab w:val="num" w:pos="-720"/>
        </w:tabs>
        <w:spacing w:line="456" w:lineRule="auto"/>
        <w:ind w:left="360"/>
        <w:jc w:val="both"/>
      </w:pPr>
      <w:r w:rsidRPr="00913E27">
        <w:t>Dilarang oleh aturan pidana</w:t>
      </w:r>
    </w:p>
    <w:p w:rsidR="00483A65" w:rsidRPr="00913E27" w:rsidRDefault="00483A65" w:rsidP="00316F1F">
      <w:pPr>
        <w:numPr>
          <w:ilvl w:val="4"/>
          <w:numId w:val="4"/>
        </w:numPr>
        <w:tabs>
          <w:tab w:val="num" w:pos="-720"/>
        </w:tabs>
        <w:spacing w:line="456" w:lineRule="auto"/>
        <w:ind w:left="360"/>
        <w:jc w:val="both"/>
      </w:pPr>
      <w:r w:rsidRPr="00913E27">
        <w:t>Pelakunya diancam dengan hukuman pidana.</w:t>
      </w:r>
      <w:r w:rsidRPr="00913E27">
        <w:rPr>
          <w:rStyle w:val="FootnoteReference"/>
        </w:rPr>
        <w:footnoteReference w:id="14"/>
      </w:r>
    </w:p>
    <w:p w:rsidR="00483A65" w:rsidRPr="00913E27" w:rsidRDefault="00483A65" w:rsidP="00483A65">
      <w:pPr>
        <w:spacing w:line="456" w:lineRule="auto"/>
        <w:ind w:firstLine="709"/>
        <w:jc w:val="both"/>
      </w:pPr>
      <w:r w:rsidRPr="00913E27">
        <w:t>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hal itu merupakan suatu tindak pidana sebelum dipastikan adanya larangan atau aturan pidananya (Pasal 1 KUHP) yang diancamkan terhadap pelakunya. Perbuatan yang bersifat melawan hukum dan yang merugikan masyarakat banyak sekali, tetapi baru masuk dalam lapangan hukum pidana apabila telah ada larangan oleh peraturan pidana dan pelakunya diancam dengan hukuman.</w:t>
      </w:r>
    </w:p>
    <w:p w:rsidR="00483A65" w:rsidRPr="00913E27" w:rsidRDefault="00483A65" w:rsidP="00483A65">
      <w:pPr>
        <w:spacing w:line="456" w:lineRule="auto"/>
        <w:ind w:firstLine="709"/>
        <w:jc w:val="both"/>
      </w:pPr>
      <w:r w:rsidRPr="00913E27">
        <w:t xml:space="preserve">Apakah sesuatu perbuatan itu merupakan tindak pidana atau tidak, haruslah dilihat pada ketentuan-ketentuan hukum pidana yang berlaku (hukum pidana positif). Di dalam KUHPidana yang berlaku sekarang ini, tindak pidana ini dibagi menjadi dua kelompok yaitu kejahatan yang diatur dalam Buku Kedua dan pelanggaran yang diatur dalam Buku Ketiga. Apa kriteria yang dipergunakan untuk mengelompokkan dari dua bentuk tindak pidana ini, KUHPidana sendiri tidak ada memberikan penjelasan sehingga orang beranggapan bahwa kejahatan tersebut adalah perbuatan-perbuatan atau tindak pidana yang  berat, dan </w:t>
      </w:r>
      <w:r w:rsidRPr="00913E27">
        <w:lastRenderedPageBreak/>
        <w:t>pelanggaran adalah perbuatan-perbuatan atau tindak pidana yang ringan. Hal ini juga didasari bahwa  pada kejahatan umumnya sanksi pidana yang diancamkan adalah lebih berat dari ancaman pidana yang ada pada pelanggaran.</w:t>
      </w:r>
    </w:p>
    <w:p w:rsidR="00483A65" w:rsidRPr="00913E27" w:rsidRDefault="00483A65" w:rsidP="00483A65">
      <w:pPr>
        <w:pStyle w:val="Default"/>
        <w:spacing w:line="480" w:lineRule="auto"/>
        <w:ind w:firstLine="720"/>
        <w:jc w:val="both"/>
        <w:rPr>
          <w:rFonts w:ascii="Times New Roman" w:hAnsi="Times New Roman" w:cs="Times New Roman"/>
        </w:rPr>
      </w:pPr>
      <w:r w:rsidRPr="00913E27">
        <w:rPr>
          <w:rFonts w:ascii="Times New Roman" w:hAnsi="Times New Roman" w:cs="Times New Roman"/>
        </w:rPr>
        <w:t>Menurut Moeljatno, jenis-jenis tindak pidana dibedakan atas dasar-dasar tertentu, antara lain sebagai berikut:</w:t>
      </w:r>
      <w:r w:rsidRPr="00913E27">
        <w:rPr>
          <w:rStyle w:val="FootnoteReference"/>
        </w:rPr>
        <w:footnoteReference w:id="15"/>
      </w:r>
    </w:p>
    <w:p w:rsidR="00483A65" w:rsidRPr="00913E27" w:rsidRDefault="00483A65" w:rsidP="00316F1F">
      <w:pPr>
        <w:numPr>
          <w:ilvl w:val="3"/>
          <w:numId w:val="6"/>
        </w:numPr>
        <w:tabs>
          <w:tab w:val="left" w:pos="426"/>
        </w:tabs>
        <w:autoSpaceDE w:val="0"/>
        <w:autoSpaceDN w:val="0"/>
        <w:adjustRightInd w:val="0"/>
        <w:spacing w:line="480" w:lineRule="auto"/>
        <w:ind w:left="426" w:hanging="426"/>
        <w:jc w:val="both"/>
        <w:rPr>
          <w:color w:val="000000"/>
        </w:rPr>
      </w:pPr>
      <w:r w:rsidRPr="00913E27">
        <w:rPr>
          <w:color w:val="000000"/>
        </w:rPr>
        <w:t xml:space="preserve">Menurut Kitab Undang-Undang Pidana (KUHP) dibedakan antara lain kejahatan yang dimuat dalam Buku II dan Pelanggaran yang dimuat dalam Buku III. Pembagian tindak pidana menjadi “kejahatan” dan “pelanggaran” itu bukan hanya merupakan dasar bagi pembagian KUHP kita menjadi Buku ke II dan Buku III melainkan juga merupakan dasar bagi seluruh sistem hukum pidana di dalam PerUndang-Undangan secara keseluruhan. </w:t>
      </w:r>
    </w:p>
    <w:p w:rsidR="00483A65" w:rsidRPr="00913E27" w:rsidRDefault="00483A65" w:rsidP="00316F1F">
      <w:pPr>
        <w:numPr>
          <w:ilvl w:val="3"/>
          <w:numId w:val="6"/>
        </w:numPr>
        <w:tabs>
          <w:tab w:val="left" w:pos="426"/>
        </w:tabs>
        <w:autoSpaceDE w:val="0"/>
        <w:autoSpaceDN w:val="0"/>
        <w:adjustRightInd w:val="0"/>
        <w:spacing w:line="480" w:lineRule="auto"/>
        <w:ind w:left="426" w:hanging="426"/>
        <w:jc w:val="both"/>
        <w:rPr>
          <w:color w:val="000000"/>
        </w:rPr>
      </w:pPr>
      <w:r w:rsidRPr="00913E27">
        <w:rPr>
          <w:color w:val="000000"/>
        </w:rPr>
        <w:t>Cara merumuskannya, dibedakan dalam tindak pidana formil (</w:t>
      </w:r>
      <w:r w:rsidRPr="00913E27">
        <w:rPr>
          <w:i/>
          <w:iCs/>
          <w:color w:val="000000"/>
        </w:rPr>
        <w:t>Formeel Delicten</w:t>
      </w:r>
      <w:r w:rsidRPr="00913E27">
        <w:rPr>
          <w:color w:val="000000"/>
        </w:rPr>
        <w:t>) dan tindak pidana materil (</w:t>
      </w:r>
      <w:r w:rsidRPr="00913E27">
        <w:rPr>
          <w:i/>
          <w:iCs/>
          <w:color w:val="000000"/>
        </w:rPr>
        <w:t>Materiil Delicten</w:t>
      </w:r>
      <w:r w:rsidRPr="00913E27">
        <w:rPr>
          <w:color w:val="000000"/>
        </w:rPr>
        <w:t xml:space="preserve">). Tindak pidana formil adalah tindak pidana yang dirumuskan bahwa larangan yang dirumuskan itu adalah melakukan perbuatan tertentu. Misalnya Pasal 351 KUHP yaitu tentang penganiayaan. Tindak pidana materil inti larangannya adalah pada menimbulkan akibat yang dilarang, karena itu siapa yang menimbulkan akibat yang dilarang itulah yang dipertanggung jawabkan dan dipidana. </w:t>
      </w:r>
    </w:p>
    <w:p w:rsidR="00483A65" w:rsidRPr="00913E27" w:rsidRDefault="00483A65" w:rsidP="00316F1F">
      <w:pPr>
        <w:numPr>
          <w:ilvl w:val="3"/>
          <w:numId w:val="6"/>
        </w:numPr>
        <w:tabs>
          <w:tab w:val="left" w:pos="426"/>
        </w:tabs>
        <w:autoSpaceDE w:val="0"/>
        <w:autoSpaceDN w:val="0"/>
        <w:adjustRightInd w:val="0"/>
        <w:spacing w:line="456" w:lineRule="auto"/>
        <w:ind w:left="426" w:hanging="426"/>
        <w:jc w:val="both"/>
        <w:rPr>
          <w:color w:val="000000"/>
        </w:rPr>
      </w:pPr>
      <w:r w:rsidRPr="00913E27">
        <w:rPr>
          <w:color w:val="000000"/>
        </w:rPr>
        <w:t>Dilihat dari bentuk kesalahan, tindak pidana dibedakan menjadi tindak pidana sengaja (</w:t>
      </w:r>
      <w:r w:rsidRPr="00913E27">
        <w:rPr>
          <w:i/>
          <w:iCs/>
          <w:color w:val="000000"/>
        </w:rPr>
        <w:t>dolus delicten</w:t>
      </w:r>
      <w:r w:rsidRPr="00913E27">
        <w:rPr>
          <w:color w:val="000000"/>
        </w:rPr>
        <w:t>) dan tindak pidana tidak sengaja (</w:t>
      </w:r>
      <w:r w:rsidRPr="00913E27">
        <w:rPr>
          <w:i/>
          <w:iCs/>
          <w:color w:val="000000"/>
        </w:rPr>
        <w:t>culpose delicten</w:t>
      </w:r>
      <w:r w:rsidRPr="00913E27">
        <w:rPr>
          <w:color w:val="000000"/>
        </w:rPr>
        <w:t>). Contoh tindak pidana kesengajaan (</w:t>
      </w:r>
      <w:r w:rsidRPr="00913E27">
        <w:rPr>
          <w:i/>
          <w:iCs/>
          <w:color w:val="000000"/>
        </w:rPr>
        <w:t>dolus</w:t>
      </w:r>
      <w:r w:rsidRPr="00913E27">
        <w:rPr>
          <w:color w:val="000000"/>
        </w:rPr>
        <w:t xml:space="preserve">) yang diatur di dalam KUHP antara lain sebagai berikut: Pasal 310 KUHP (penghinaan) yaitu sengaja menyerang kehormatan atau nama baik seorang, Pasal 322 KUHP (membuka rahasia) </w:t>
      </w:r>
      <w:r w:rsidRPr="00913E27">
        <w:rPr>
          <w:color w:val="000000"/>
        </w:rPr>
        <w:lastRenderedPageBreak/>
        <w:t>yaitu dengan sengaja membuka rahasia yang wajib disimpannya karena jabatan atau pencariannya.Pada delik kelalaian (</w:t>
      </w:r>
      <w:r w:rsidRPr="00913E27">
        <w:rPr>
          <w:i/>
          <w:iCs/>
          <w:color w:val="000000"/>
        </w:rPr>
        <w:t>culpa</w:t>
      </w:r>
      <w:r w:rsidRPr="00913E27">
        <w:rPr>
          <w:color w:val="000000"/>
        </w:rPr>
        <w:t xml:space="preserve">) orang juga dapat dipidana jika ada kesalahan, misalnya Pasal 360 Ayat 2 KUHP yang menyebabkan orang lain luka-luka. </w:t>
      </w:r>
    </w:p>
    <w:p w:rsidR="00483A65" w:rsidRPr="00913E27" w:rsidRDefault="00483A65" w:rsidP="00316F1F">
      <w:pPr>
        <w:numPr>
          <w:ilvl w:val="3"/>
          <w:numId w:val="6"/>
        </w:numPr>
        <w:tabs>
          <w:tab w:val="left" w:pos="426"/>
        </w:tabs>
        <w:autoSpaceDE w:val="0"/>
        <w:autoSpaceDN w:val="0"/>
        <w:adjustRightInd w:val="0"/>
        <w:spacing w:line="480" w:lineRule="auto"/>
        <w:ind w:left="426" w:hanging="426"/>
        <w:jc w:val="both"/>
        <w:rPr>
          <w:color w:val="000000"/>
        </w:rPr>
      </w:pPr>
      <w:r w:rsidRPr="00913E27">
        <w:rPr>
          <w:color w:val="000000"/>
        </w:rPr>
        <w:t xml:space="preserve">Berdasarkan macam perbuatannya, tindak pidana aktif (positif), perbuatan aktif juga disebut perbuatan materil adalah perbuatan untuk mewujudkannya diisyaratkan dengan adanya gerakan tubuh orang yang berbuat, misalnya Pencurian (Pasal 362 KUHP) dan penipuan (Pasal 378 KUHP).Tindak pidana dibedakan menjadi dua yaitu : </w:t>
      </w:r>
    </w:p>
    <w:p w:rsidR="00483A65" w:rsidRPr="00913E27" w:rsidRDefault="00483A65" w:rsidP="00316F1F">
      <w:pPr>
        <w:numPr>
          <w:ilvl w:val="0"/>
          <w:numId w:val="7"/>
        </w:numPr>
        <w:spacing w:line="480" w:lineRule="auto"/>
        <w:jc w:val="both"/>
      </w:pPr>
      <w:r w:rsidRPr="00913E27">
        <w:t xml:space="preserve">Tindak pidana murni adalah tindak pidana yang dirumuskan secara formil atau tindak pidana yang pada dasarnya unsur perbuatannya berupa perbuatan pasif, misalnya diatur dalam Pasal 224,304 dan 552 KUHP. </w:t>
      </w:r>
    </w:p>
    <w:p w:rsidR="00483A65" w:rsidRPr="00913E27" w:rsidRDefault="00483A65" w:rsidP="00316F1F">
      <w:pPr>
        <w:numPr>
          <w:ilvl w:val="0"/>
          <w:numId w:val="7"/>
        </w:numPr>
        <w:spacing w:line="480" w:lineRule="auto"/>
        <w:jc w:val="both"/>
      </w:pPr>
      <w:r w:rsidRPr="00913E27">
        <w:rPr>
          <w:color w:val="000000"/>
        </w:rPr>
        <w:t xml:space="preserve">Tindak pidana tidak murni adalah tindak pidana yang pada dasarnya berupa tindak pidana positif, tetapi dapat dilakukan secara tidak aktif atau tindak pidana yang mengandung unsur terlarang tetapi dilakukan dengan tidak berbuat, misalnya diatur dalam Pasal 338 KUHP, ibu tidak menyusui bayinya sehingga bayi tersebut meninggal. </w:t>
      </w:r>
    </w:p>
    <w:p w:rsidR="00483A65" w:rsidRPr="00913E27" w:rsidRDefault="00483A65" w:rsidP="00483A65">
      <w:pPr>
        <w:spacing w:line="480" w:lineRule="auto"/>
        <w:ind w:firstLine="567"/>
        <w:jc w:val="both"/>
        <w:rPr>
          <w:color w:val="000000"/>
        </w:rPr>
      </w:pPr>
      <w:r w:rsidRPr="00913E27">
        <w:rPr>
          <w:color w:val="000000"/>
        </w:rPr>
        <w:t xml:space="preserve">Berdasarkan hal tersebut di atas, dapat diketahui bahwa jenis-jenis tindak pidana terdiri dari tindak pidana kejahatan dan tindak pidana pelanggaran, tindak pidana formil dan tindak pidana materil, tindak pidana sengaja dan tindak pidana tidak sengaja serta tindak pidana aktif dan tindak pidana pasif. </w:t>
      </w:r>
    </w:p>
    <w:p w:rsidR="00483A65" w:rsidRPr="00913E27" w:rsidRDefault="00483A65" w:rsidP="00483A65">
      <w:pPr>
        <w:spacing w:line="480" w:lineRule="auto"/>
        <w:ind w:firstLine="567"/>
        <w:jc w:val="both"/>
      </w:pPr>
      <w:r w:rsidRPr="00913E27">
        <w:t>Klasifikasi tindak pidana menurut system KUHP dibagi menjadi dua bagian, kejahatan (</w:t>
      </w:r>
      <w:r w:rsidRPr="00913E27">
        <w:rPr>
          <w:i/>
          <w:iCs/>
        </w:rPr>
        <w:t>minsdrijven</w:t>
      </w:r>
      <w:r w:rsidRPr="00913E27">
        <w:t xml:space="preserve">) yang diatur dalam Buku II KUHP dan pelanggaran </w:t>
      </w:r>
      <w:r w:rsidRPr="00913E27">
        <w:rPr>
          <w:i/>
          <w:iCs/>
        </w:rPr>
        <w:lastRenderedPageBreak/>
        <w:t xml:space="preserve">overtredigen </w:t>
      </w:r>
      <w:r w:rsidRPr="00913E27">
        <w:t>yang diatur dalam Buku III KUHP. Pembagian perbedaan kejahatan dan pelanggaran didasarkan atas perbedaan prinsipil, yaitu :</w:t>
      </w:r>
    </w:p>
    <w:p w:rsidR="00483A65" w:rsidRPr="00913E27" w:rsidRDefault="00483A65" w:rsidP="00316F1F">
      <w:pPr>
        <w:numPr>
          <w:ilvl w:val="0"/>
          <w:numId w:val="8"/>
        </w:numPr>
        <w:tabs>
          <w:tab w:val="left" w:pos="993"/>
        </w:tabs>
        <w:autoSpaceDE w:val="0"/>
        <w:autoSpaceDN w:val="0"/>
        <w:adjustRightInd w:val="0"/>
        <w:spacing w:line="192" w:lineRule="auto"/>
        <w:ind w:left="993"/>
        <w:jc w:val="both"/>
        <w:rPr>
          <w:color w:val="000000"/>
        </w:rPr>
      </w:pPr>
      <w:r w:rsidRPr="00913E27">
        <w:t xml:space="preserve">Kejahatan adalah </w:t>
      </w:r>
      <w:r w:rsidRPr="00913E27">
        <w:rPr>
          <w:i/>
          <w:iCs/>
        </w:rPr>
        <w:t>rechtsdelict</w:t>
      </w:r>
      <w:r w:rsidRPr="00913E27">
        <w:t xml:space="preserve">, artinya perbuatan-perbuatan yang bertentangan dengan keadilan. Pertentangan ini terlepas perbuatan itu diancam pidana dalam suatu Perundang-undangan atau tidak. Jadi, perbuatan itu benar-benar dirasakan masyarakat sebagai bertentangan dengan keadilan. </w:t>
      </w:r>
    </w:p>
    <w:p w:rsidR="00483A65" w:rsidRPr="00913E27" w:rsidRDefault="00483A65" w:rsidP="00316F1F">
      <w:pPr>
        <w:numPr>
          <w:ilvl w:val="0"/>
          <w:numId w:val="8"/>
        </w:numPr>
        <w:tabs>
          <w:tab w:val="left" w:pos="993"/>
        </w:tabs>
        <w:autoSpaceDE w:val="0"/>
        <w:autoSpaceDN w:val="0"/>
        <w:adjustRightInd w:val="0"/>
        <w:spacing w:line="192" w:lineRule="auto"/>
        <w:ind w:left="993"/>
        <w:jc w:val="both"/>
        <w:rPr>
          <w:color w:val="000000"/>
        </w:rPr>
      </w:pPr>
      <w:r w:rsidRPr="00913E27">
        <w:rPr>
          <w:color w:val="000000"/>
        </w:rPr>
        <w:t xml:space="preserve">Pelanggaran adalah </w:t>
      </w:r>
      <w:r w:rsidRPr="00913E27">
        <w:rPr>
          <w:i/>
          <w:iCs/>
          <w:color w:val="000000"/>
        </w:rPr>
        <w:t>wetsdelict</w:t>
      </w:r>
      <w:r w:rsidRPr="00913E27">
        <w:rPr>
          <w:color w:val="000000"/>
        </w:rPr>
        <w:t>, artinya perbuatan-perbuatan yang didasari oleh masyarakat sebagai suatu tindak pidana karena undang-undang menyebutkan sebagai delik.</w:t>
      </w:r>
      <w:r w:rsidRPr="00913E27">
        <w:rPr>
          <w:rStyle w:val="FootnoteReference"/>
          <w:color w:val="000000"/>
        </w:rPr>
        <w:footnoteReference w:id="16"/>
      </w:r>
    </w:p>
    <w:p w:rsidR="00483A65" w:rsidRPr="00913E27" w:rsidRDefault="00483A65" w:rsidP="00483A65">
      <w:pPr>
        <w:autoSpaceDE w:val="0"/>
        <w:autoSpaceDN w:val="0"/>
        <w:adjustRightInd w:val="0"/>
        <w:ind w:left="720"/>
        <w:jc w:val="both"/>
        <w:rPr>
          <w:color w:val="000000"/>
        </w:rPr>
      </w:pPr>
    </w:p>
    <w:p w:rsidR="00483A65" w:rsidRPr="00913E27" w:rsidRDefault="00483A65" w:rsidP="00483A65">
      <w:pPr>
        <w:spacing w:line="504" w:lineRule="auto"/>
        <w:ind w:firstLine="567"/>
        <w:jc w:val="both"/>
      </w:pPr>
      <w:r w:rsidRPr="00913E27">
        <w:t>Dua macam cara menentukan perbedaan antara golongan tindak pidana kejahatan dan pelanggaran, yaitu :</w:t>
      </w:r>
    </w:p>
    <w:p w:rsidR="00483A65" w:rsidRPr="00913E27" w:rsidRDefault="00483A65" w:rsidP="00316F1F">
      <w:pPr>
        <w:numPr>
          <w:ilvl w:val="0"/>
          <w:numId w:val="9"/>
        </w:numPr>
        <w:autoSpaceDE w:val="0"/>
        <w:autoSpaceDN w:val="0"/>
        <w:adjustRightInd w:val="0"/>
        <w:spacing w:line="504" w:lineRule="auto"/>
        <w:ind w:left="360"/>
        <w:jc w:val="both"/>
        <w:rPr>
          <w:color w:val="000000"/>
        </w:rPr>
      </w:pPr>
      <w:r w:rsidRPr="00913E27">
        <w:t xml:space="preserve">Meneliti dari sifat pembentuk undang-undang. </w:t>
      </w:r>
    </w:p>
    <w:p w:rsidR="00483A65" w:rsidRPr="00913E27" w:rsidRDefault="00483A65" w:rsidP="00316F1F">
      <w:pPr>
        <w:numPr>
          <w:ilvl w:val="0"/>
          <w:numId w:val="9"/>
        </w:numPr>
        <w:autoSpaceDE w:val="0"/>
        <w:autoSpaceDN w:val="0"/>
        <w:adjustRightInd w:val="0"/>
        <w:spacing w:line="504" w:lineRule="auto"/>
        <w:ind w:left="360"/>
        <w:jc w:val="both"/>
        <w:rPr>
          <w:color w:val="000000"/>
        </w:rPr>
      </w:pPr>
      <w:r w:rsidRPr="00913E27">
        <w:rPr>
          <w:color w:val="000000"/>
        </w:rPr>
        <w:t>Meneliti sifat-sifat yang berbeda antara tindak-tindak pidana yang termuat dalam Buku II KUHP di satu pihak dan tindak-tindak pidana yang termuat dalam Buku III KUHP di pihak lain.</w:t>
      </w:r>
      <w:r w:rsidRPr="00913E27">
        <w:rPr>
          <w:rStyle w:val="FootnoteReference"/>
          <w:color w:val="000000"/>
        </w:rPr>
        <w:footnoteReference w:id="17"/>
      </w:r>
    </w:p>
    <w:p w:rsidR="00483A65" w:rsidRPr="00913E27" w:rsidRDefault="00483A65" w:rsidP="00483A65">
      <w:pPr>
        <w:autoSpaceDE w:val="0"/>
        <w:autoSpaceDN w:val="0"/>
        <w:adjustRightInd w:val="0"/>
        <w:ind w:left="360"/>
        <w:jc w:val="both"/>
        <w:rPr>
          <w:color w:val="000000"/>
        </w:rPr>
      </w:pPr>
    </w:p>
    <w:p w:rsidR="00483A65" w:rsidRPr="00913E27" w:rsidRDefault="00483A65" w:rsidP="00316F1F">
      <w:pPr>
        <w:numPr>
          <w:ilvl w:val="0"/>
          <w:numId w:val="4"/>
        </w:numPr>
        <w:spacing w:line="516" w:lineRule="auto"/>
        <w:ind w:left="360"/>
        <w:jc w:val="both"/>
        <w:rPr>
          <w:b/>
        </w:rPr>
      </w:pPr>
      <w:bookmarkStart w:id="6" w:name="_Hlk140075949"/>
      <w:r>
        <w:rPr>
          <w:b/>
        </w:rPr>
        <w:t>Pengertian Kejahatan</w:t>
      </w:r>
    </w:p>
    <w:p w:rsidR="00483A65" w:rsidRPr="00D06D60" w:rsidRDefault="00483A65" w:rsidP="00483A65">
      <w:pPr>
        <w:autoSpaceDE w:val="0"/>
        <w:autoSpaceDN w:val="0"/>
        <w:adjustRightInd w:val="0"/>
        <w:spacing w:line="480" w:lineRule="auto"/>
        <w:ind w:firstLine="709"/>
        <w:contextualSpacing/>
        <w:jc w:val="both"/>
        <w:rPr>
          <w:color w:val="000000"/>
        </w:rPr>
      </w:pPr>
      <w:r w:rsidRPr="00D06D60">
        <w:rPr>
          <w:color w:val="000000"/>
        </w:rPr>
        <w:t xml:space="preserve">Kejahatan dalam bahasa Belanda disebut </w:t>
      </w:r>
      <w:r w:rsidRPr="00D06D60">
        <w:rPr>
          <w:i/>
          <w:iCs/>
          <w:color w:val="000000"/>
        </w:rPr>
        <w:t xml:space="preserve">misdrijven </w:t>
      </w:r>
      <w:r w:rsidRPr="00D06D60">
        <w:rPr>
          <w:color w:val="000000"/>
        </w:rPr>
        <w:t xml:space="preserve">yang berarti suatu perbuatan yang tercela dan behubungan hukum. Kejahatan merupakan bagian dari perbuatan melawan hukum atau delik, bagian lainnya adalah pelanggaran. </w:t>
      </w:r>
      <w:r w:rsidRPr="002268CA">
        <w:rPr>
          <w:color w:val="000000"/>
        </w:rPr>
        <w:t>Richard Quinney, tindak kejahatan merupakan perilaku manusia yang diciptakan oleh para pelaku yang berwenang dalam masyarakat yang terorganisasi secara politik, atau kualifikasi atas perilaku yang melanggar hukum dirumuskan oleh warga atau masyarakat yang mempunyai kekuasaan</w:t>
      </w:r>
      <w:r w:rsidRPr="00D06D60">
        <w:rPr>
          <w:color w:val="000000"/>
        </w:rPr>
        <w:t>.</w:t>
      </w:r>
      <w:r w:rsidRPr="00D06D60">
        <w:rPr>
          <w:rStyle w:val="FootnoteReference"/>
          <w:color w:val="000000"/>
        </w:rPr>
        <w:footnoteReference w:id="18"/>
      </w:r>
    </w:p>
    <w:p w:rsidR="00483A65" w:rsidRPr="00D06D60" w:rsidRDefault="00483A65" w:rsidP="00483A65">
      <w:pPr>
        <w:autoSpaceDE w:val="0"/>
        <w:autoSpaceDN w:val="0"/>
        <w:adjustRightInd w:val="0"/>
        <w:spacing w:line="480" w:lineRule="auto"/>
        <w:ind w:firstLine="709"/>
        <w:contextualSpacing/>
        <w:jc w:val="both"/>
        <w:rPr>
          <w:color w:val="000000"/>
        </w:rPr>
      </w:pPr>
      <w:r w:rsidRPr="00D06D60">
        <w:rPr>
          <w:color w:val="000000"/>
        </w:rPr>
        <w:lastRenderedPageBreak/>
        <w:t>Kejahatan dapat ditinjau dari dua sudut pandang, yaitu :</w:t>
      </w:r>
      <w:r w:rsidRPr="00D06D60">
        <w:rPr>
          <w:rStyle w:val="FootnoteReference"/>
          <w:color w:val="000000"/>
        </w:rPr>
        <w:footnoteReference w:id="19"/>
      </w:r>
    </w:p>
    <w:p w:rsidR="00483A65" w:rsidRPr="00D06D60" w:rsidRDefault="00483A65" w:rsidP="00316F1F">
      <w:pPr>
        <w:numPr>
          <w:ilvl w:val="0"/>
          <w:numId w:val="14"/>
        </w:numPr>
        <w:autoSpaceDE w:val="0"/>
        <w:autoSpaceDN w:val="0"/>
        <w:adjustRightInd w:val="0"/>
        <w:spacing w:line="480" w:lineRule="auto"/>
        <w:ind w:left="360"/>
        <w:contextualSpacing/>
        <w:jc w:val="both"/>
        <w:rPr>
          <w:color w:val="000000"/>
        </w:rPr>
      </w:pPr>
      <w:r w:rsidRPr="002268CA">
        <w:rPr>
          <w:color w:val="000000"/>
        </w:rPr>
        <w:t xml:space="preserve">Pengertian Kejahatan dari sudut pandang yuridis, Kejahatan adalah suatu perbatan yang tingkah lakunya bertentangan dengan kaidah-kaidah dalam UU. </w:t>
      </w:r>
    </w:p>
    <w:p w:rsidR="00483A65" w:rsidRPr="002268CA" w:rsidRDefault="00483A65" w:rsidP="00316F1F">
      <w:pPr>
        <w:numPr>
          <w:ilvl w:val="0"/>
          <w:numId w:val="14"/>
        </w:numPr>
        <w:autoSpaceDE w:val="0"/>
        <w:autoSpaceDN w:val="0"/>
        <w:adjustRightInd w:val="0"/>
        <w:spacing w:line="480" w:lineRule="auto"/>
        <w:ind w:left="360"/>
        <w:contextualSpacing/>
        <w:jc w:val="both"/>
        <w:rPr>
          <w:color w:val="000000"/>
        </w:rPr>
      </w:pPr>
      <w:r w:rsidRPr="002268CA">
        <w:rPr>
          <w:color w:val="000000"/>
        </w:rPr>
        <w:t xml:space="preserve">Pengertian Kejahatan dari sudut pandang Sosiologis, Kejahatan adalah perbuatan atau tingkah laku yang selain merugikan si penderita juga merugikan masyarakat, yaitu berupa hilangnya keseimbangan, ketentraman dan ketertiban. </w:t>
      </w:r>
    </w:p>
    <w:p w:rsidR="00483A65" w:rsidRPr="00D06D60" w:rsidRDefault="00483A65" w:rsidP="00483A65">
      <w:pPr>
        <w:autoSpaceDE w:val="0"/>
        <w:autoSpaceDN w:val="0"/>
        <w:adjustRightInd w:val="0"/>
        <w:spacing w:line="480" w:lineRule="auto"/>
        <w:ind w:firstLine="709"/>
        <w:contextualSpacing/>
        <w:jc w:val="both"/>
      </w:pPr>
      <w:r w:rsidRPr="00D06D60">
        <w:t xml:space="preserve">Kejahatan merupakan bagian dari kehidupan masyarakat dan merupakan peristiwa sehari-hari. Seorang Filsuf bernama </w:t>
      </w:r>
      <w:r w:rsidRPr="00D06D60">
        <w:rPr>
          <w:bCs/>
        </w:rPr>
        <w:t>Cicero</w:t>
      </w:r>
      <w:r w:rsidRPr="00D06D60">
        <w:t xml:space="preserve">mengatakan </w:t>
      </w:r>
      <w:r w:rsidRPr="00D06D60">
        <w:rPr>
          <w:i/>
          <w:iCs/>
        </w:rPr>
        <w:t xml:space="preserve">Ubi Societas, Ibi Ius, Ibi Crime </w:t>
      </w:r>
      <w:r w:rsidRPr="00D06D60">
        <w:t>yang artinya ada masyarakat, ada hukum dan ada kejahatan. Masyarakat saling menilai, berkomunikasi dan menjalin interaksi, sehingga tidak jarang menimbulkan konflik atau perikatan. Satu kelompok akan menganggap kelompok lainnya memiliki perilaku yang menyimpang apabila perilaku kelompok lain tersebut tidak sesuai dengan perilaku kelompoknya. Perilaku menyimpang ini seringkali dianggap sebagai perilaku yang jahat. Batasan kejahatan dari sudut pandang masyarakat adalah setiap perbuatan yang melanggar kaidah-kaidah yang hidup di dalam masyarakat</w:t>
      </w:r>
      <w:r w:rsidRPr="00D06D60">
        <w:rPr>
          <w:rStyle w:val="FootnoteReference"/>
        </w:rPr>
        <w:footnoteReference w:id="20"/>
      </w:r>
    </w:p>
    <w:p w:rsidR="00483A65" w:rsidRPr="00D06D60" w:rsidRDefault="00483A65" w:rsidP="00483A65">
      <w:pPr>
        <w:autoSpaceDE w:val="0"/>
        <w:autoSpaceDN w:val="0"/>
        <w:adjustRightInd w:val="0"/>
        <w:spacing w:line="480" w:lineRule="auto"/>
        <w:ind w:firstLine="709"/>
        <w:contextualSpacing/>
        <w:jc w:val="both"/>
      </w:pPr>
      <w:r w:rsidRPr="00D06D60">
        <w:t xml:space="preserve">Secara </w:t>
      </w:r>
      <w:r w:rsidRPr="00D06D60">
        <w:rPr>
          <w:i/>
          <w:iCs/>
        </w:rPr>
        <w:t>yuridis formal</w:t>
      </w:r>
      <w:r w:rsidRPr="00D06D60">
        <w:t>, kejahatan adalah bentuk tingkah laku yang bertentangan dengan moral kemanusiaan (</w:t>
      </w:r>
      <w:r w:rsidRPr="00D06D60">
        <w:rPr>
          <w:i/>
          <w:iCs/>
        </w:rPr>
        <w:t>immoril</w:t>
      </w:r>
      <w:r w:rsidRPr="00D06D60">
        <w:t xml:space="preserve">), merugikan masyarakat, a-sosial sifatnya dan melanggar hukum serta undang-undang pidana. Di dalam perumusan pasal-pasal Kitab Undang-Undang Hukum Pidana (KUHP) jelas tercantum: </w:t>
      </w:r>
      <w:r w:rsidRPr="00D06D60">
        <w:rPr>
          <w:iCs/>
        </w:rPr>
        <w:t xml:space="preserve">kejahatan adalah semua bentuk perbuatan yang memenuhi perumusan </w:t>
      </w:r>
      <w:r w:rsidRPr="00D06D60">
        <w:rPr>
          <w:iCs/>
        </w:rPr>
        <w:lastRenderedPageBreak/>
        <w:t>ketentuan-ketentuan</w:t>
      </w:r>
      <w:r w:rsidRPr="00D06D60">
        <w:rPr>
          <w:i/>
          <w:iCs/>
        </w:rPr>
        <w:t xml:space="preserve"> KUHP</w:t>
      </w:r>
      <w:r w:rsidRPr="00D06D60">
        <w:t>. Ringkasnya, secara yuridis formal, kejahatan adalah bentuk tingkah laku yang melanggar undang-undang pidana. Selanjutnya, semua tingkah laku yang dilarang oleh undang-undang harus dijauhi.</w:t>
      </w:r>
    </w:p>
    <w:p w:rsidR="00483A65" w:rsidRPr="002268CA" w:rsidRDefault="00483A65" w:rsidP="00483A65">
      <w:pPr>
        <w:autoSpaceDE w:val="0"/>
        <w:autoSpaceDN w:val="0"/>
        <w:adjustRightInd w:val="0"/>
        <w:spacing w:line="480" w:lineRule="auto"/>
        <w:ind w:firstLine="709"/>
        <w:contextualSpacing/>
        <w:jc w:val="both"/>
        <w:rPr>
          <w:color w:val="000000"/>
        </w:rPr>
      </w:pPr>
      <w:r w:rsidRPr="00D06D60">
        <w:t>Secara sosiologis, kejahatan adalah semua bentuk ucapan, perbuatan, dan tingkah laku yang secara ekonomis, politis, dan sosial psikologis sangat merugikan masyarakat, melanggar norma-norma susila, dan menyerang keselamatan warga masyarakat (baik yang telah tercakup dalam undang-undang, maupun yang belum tercantum dalam undang-undang pidana).</w:t>
      </w:r>
      <w:r w:rsidRPr="00D06D60">
        <w:rPr>
          <w:rStyle w:val="FootnoteReference"/>
        </w:rPr>
        <w:footnoteReference w:id="21"/>
      </w:r>
    </w:p>
    <w:p w:rsidR="00483A65" w:rsidRPr="00D06D60" w:rsidRDefault="00483A65" w:rsidP="00483A65">
      <w:pPr>
        <w:autoSpaceDE w:val="0"/>
        <w:autoSpaceDN w:val="0"/>
        <w:adjustRightInd w:val="0"/>
        <w:spacing w:line="480" w:lineRule="auto"/>
        <w:ind w:firstLine="709"/>
        <w:contextualSpacing/>
        <w:jc w:val="both"/>
      </w:pPr>
      <w:r w:rsidRPr="00D06D60">
        <w:rPr>
          <w:color w:val="000000"/>
        </w:rPr>
        <w:t>Topo Santoso dan Eva Achjani Zulfa</w:t>
      </w:r>
      <w:r w:rsidRPr="00D06D60">
        <w:t xml:space="preserve"> membagi tipe penjahat sebagai berikut :</w:t>
      </w:r>
      <w:r w:rsidRPr="00D06D60">
        <w:rPr>
          <w:rStyle w:val="FootnoteReference"/>
        </w:rPr>
        <w:footnoteReference w:id="22"/>
      </w:r>
    </w:p>
    <w:p w:rsidR="00483A65" w:rsidRPr="00D06D60" w:rsidRDefault="00483A65" w:rsidP="00316F1F">
      <w:pPr>
        <w:numPr>
          <w:ilvl w:val="0"/>
          <w:numId w:val="15"/>
        </w:numPr>
        <w:autoSpaceDE w:val="0"/>
        <w:autoSpaceDN w:val="0"/>
        <w:adjustRightInd w:val="0"/>
        <w:spacing w:line="480" w:lineRule="auto"/>
        <w:ind w:left="360"/>
        <w:jc w:val="both"/>
        <w:rPr>
          <w:color w:val="000000"/>
        </w:rPr>
      </w:pPr>
      <w:r w:rsidRPr="00CB19B6">
        <w:rPr>
          <w:color w:val="000000"/>
        </w:rPr>
        <w:t xml:space="preserve">Penjahat yang melakukan kejahatan didorong oleh faktor psikopatologis, dengan pelaku-pelakunya: </w:t>
      </w:r>
    </w:p>
    <w:p w:rsidR="00483A65" w:rsidRPr="00D06D60" w:rsidRDefault="00483A65" w:rsidP="00316F1F">
      <w:pPr>
        <w:numPr>
          <w:ilvl w:val="4"/>
          <w:numId w:val="13"/>
        </w:numPr>
        <w:tabs>
          <w:tab w:val="clear" w:pos="3240"/>
          <w:tab w:val="num" w:pos="720"/>
        </w:tabs>
        <w:autoSpaceDE w:val="0"/>
        <w:autoSpaceDN w:val="0"/>
        <w:adjustRightInd w:val="0"/>
        <w:spacing w:line="480" w:lineRule="auto"/>
        <w:ind w:left="720"/>
        <w:jc w:val="both"/>
        <w:rPr>
          <w:color w:val="000000"/>
        </w:rPr>
      </w:pPr>
      <w:r w:rsidRPr="00CB19B6">
        <w:rPr>
          <w:color w:val="000000"/>
        </w:rPr>
        <w:t xml:space="preserve">Orang yang sakit jiwa </w:t>
      </w:r>
    </w:p>
    <w:p w:rsidR="00483A65" w:rsidRPr="00D06D60" w:rsidRDefault="00483A65" w:rsidP="00316F1F">
      <w:pPr>
        <w:numPr>
          <w:ilvl w:val="4"/>
          <w:numId w:val="13"/>
        </w:numPr>
        <w:tabs>
          <w:tab w:val="clear" w:pos="3240"/>
          <w:tab w:val="num" w:pos="720"/>
        </w:tabs>
        <w:autoSpaceDE w:val="0"/>
        <w:autoSpaceDN w:val="0"/>
        <w:adjustRightInd w:val="0"/>
        <w:spacing w:line="480" w:lineRule="auto"/>
        <w:ind w:left="720"/>
        <w:jc w:val="both"/>
        <w:rPr>
          <w:color w:val="000000"/>
        </w:rPr>
      </w:pPr>
      <w:r w:rsidRPr="00CB19B6">
        <w:rPr>
          <w:color w:val="000000"/>
        </w:rPr>
        <w:t xml:space="preserve">Berjiwa abnormal, namun tidak sakit jiwa </w:t>
      </w:r>
    </w:p>
    <w:p w:rsidR="00483A65" w:rsidRPr="00D06D60" w:rsidRDefault="00483A65" w:rsidP="00316F1F">
      <w:pPr>
        <w:numPr>
          <w:ilvl w:val="0"/>
          <w:numId w:val="13"/>
        </w:numPr>
        <w:autoSpaceDE w:val="0"/>
        <w:autoSpaceDN w:val="0"/>
        <w:adjustRightInd w:val="0"/>
        <w:spacing w:line="480" w:lineRule="auto"/>
        <w:jc w:val="both"/>
        <w:rPr>
          <w:color w:val="000000"/>
        </w:rPr>
      </w:pPr>
      <w:r w:rsidRPr="00CB19B6">
        <w:rPr>
          <w:color w:val="000000"/>
        </w:rPr>
        <w:t xml:space="preserve">Penjahat yang melakukan tindak pidana oleh cacad badani rohani, dan kemunduran jiwa raganya: </w:t>
      </w:r>
    </w:p>
    <w:p w:rsidR="00483A65" w:rsidRPr="00D06D60" w:rsidRDefault="00483A65" w:rsidP="00316F1F">
      <w:pPr>
        <w:numPr>
          <w:ilvl w:val="1"/>
          <w:numId w:val="13"/>
        </w:numPr>
        <w:tabs>
          <w:tab w:val="clear" w:pos="1080"/>
          <w:tab w:val="num" w:pos="720"/>
        </w:tabs>
        <w:autoSpaceDE w:val="0"/>
        <w:autoSpaceDN w:val="0"/>
        <w:adjustRightInd w:val="0"/>
        <w:spacing w:line="480" w:lineRule="auto"/>
        <w:ind w:left="720"/>
        <w:jc w:val="both"/>
        <w:rPr>
          <w:color w:val="000000"/>
        </w:rPr>
      </w:pPr>
      <w:r w:rsidRPr="00CB19B6">
        <w:rPr>
          <w:color w:val="000000"/>
        </w:rPr>
        <w:t xml:space="preserve">Orang-orang dengan gangguan jasmani-rohani sejak lahir dan pada usia muda, sehingga sukar dididik, dan tidak mampu menyesuaikan diri terhadap pola hidup masyarakat umum. </w:t>
      </w:r>
    </w:p>
    <w:p w:rsidR="00483A65" w:rsidRPr="00D06D60" w:rsidRDefault="00483A65" w:rsidP="00316F1F">
      <w:pPr>
        <w:numPr>
          <w:ilvl w:val="1"/>
          <w:numId w:val="13"/>
        </w:numPr>
        <w:tabs>
          <w:tab w:val="clear" w:pos="1080"/>
          <w:tab w:val="num" w:pos="720"/>
        </w:tabs>
        <w:autoSpaceDE w:val="0"/>
        <w:autoSpaceDN w:val="0"/>
        <w:adjustRightInd w:val="0"/>
        <w:spacing w:line="480" w:lineRule="auto"/>
        <w:ind w:left="720"/>
        <w:jc w:val="both"/>
        <w:rPr>
          <w:color w:val="000000"/>
        </w:rPr>
      </w:pPr>
      <w:r w:rsidRPr="00CB19B6">
        <w:rPr>
          <w:color w:val="000000"/>
        </w:rPr>
        <w:t xml:space="preserve">Orang-orang dengan gangguan badani-rohani pada usia lanjut (dementia senilitas), cacad/invalid oleh suatu kecelakaan </w:t>
      </w:r>
    </w:p>
    <w:p w:rsidR="00483A65" w:rsidRPr="00D06D60" w:rsidRDefault="00483A65" w:rsidP="00316F1F">
      <w:pPr>
        <w:numPr>
          <w:ilvl w:val="0"/>
          <w:numId w:val="13"/>
        </w:numPr>
        <w:autoSpaceDE w:val="0"/>
        <w:autoSpaceDN w:val="0"/>
        <w:adjustRightInd w:val="0"/>
        <w:spacing w:line="480" w:lineRule="auto"/>
        <w:rPr>
          <w:color w:val="000000"/>
        </w:rPr>
      </w:pPr>
      <w:r w:rsidRPr="00CB19B6">
        <w:rPr>
          <w:color w:val="000000"/>
        </w:rPr>
        <w:t xml:space="preserve">Penjahat karena faktor-faktor sosial, yaitu: </w:t>
      </w:r>
    </w:p>
    <w:p w:rsidR="00483A65" w:rsidRPr="00D06D60" w:rsidRDefault="00483A65" w:rsidP="00316F1F">
      <w:pPr>
        <w:numPr>
          <w:ilvl w:val="1"/>
          <w:numId w:val="13"/>
        </w:numPr>
        <w:tabs>
          <w:tab w:val="clear" w:pos="1080"/>
          <w:tab w:val="num" w:pos="720"/>
        </w:tabs>
        <w:autoSpaceDE w:val="0"/>
        <w:autoSpaceDN w:val="0"/>
        <w:adjustRightInd w:val="0"/>
        <w:spacing w:line="480" w:lineRule="auto"/>
        <w:ind w:left="720"/>
        <w:rPr>
          <w:color w:val="000000"/>
        </w:rPr>
      </w:pPr>
      <w:r w:rsidRPr="00CB19B6">
        <w:rPr>
          <w:color w:val="000000"/>
        </w:rPr>
        <w:lastRenderedPageBreak/>
        <w:t xml:space="preserve">Penjahat kebiasaan </w:t>
      </w:r>
    </w:p>
    <w:p w:rsidR="00483A65" w:rsidRPr="00D06D60" w:rsidRDefault="00483A65" w:rsidP="00316F1F">
      <w:pPr>
        <w:numPr>
          <w:ilvl w:val="1"/>
          <w:numId w:val="13"/>
        </w:numPr>
        <w:tabs>
          <w:tab w:val="clear" w:pos="1080"/>
          <w:tab w:val="num" w:pos="720"/>
        </w:tabs>
        <w:autoSpaceDE w:val="0"/>
        <w:autoSpaceDN w:val="0"/>
        <w:adjustRightInd w:val="0"/>
        <w:spacing w:line="480" w:lineRule="auto"/>
        <w:ind w:left="720"/>
        <w:rPr>
          <w:color w:val="000000"/>
        </w:rPr>
      </w:pPr>
      <w:r w:rsidRPr="00CB19B6">
        <w:rPr>
          <w:color w:val="000000"/>
        </w:rPr>
        <w:t xml:space="preserve">Penjahat kesempatan oleh kesulitan ekonomi atau kesulitan fisik. </w:t>
      </w:r>
    </w:p>
    <w:p w:rsidR="00483A65" w:rsidRPr="00D06D60" w:rsidRDefault="00483A65" w:rsidP="00316F1F">
      <w:pPr>
        <w:numPr>
          <w:ilvl w:val="1"/>
          <w:numId w:val="13"/>
        </w:numPr>
        <w:tabs>
          <w:tab w:val="clear" w:pos="1080"/>
          <w:tab w:val="num" w:pos="720"/>
        </w:tabs>
        <w:autoSpaceDE w:val="0"/>
        <w:autoSpaceDN w:val="0"/>
        <w:adjustRightInd w:val="0"/>
        <w:spacing w:line="480" w:lineRule="auto"/>
        <w:ind w:left="720"/>
        <w:rPr>
          <w:color w:val="000000"/>
        </w:rPr>
      </w:pPr>
      <w:r w:rsidRPr="00CB19B6">
        <w:rPr>
          <w:color w:val="000000"/>
        </w:rPr>
        <w:t xml:space="preserve">Penjahat kebetulan. </w:t>
      </w:r>
    </w:p>
    <w:p w:rsidR="00483A65" w:rsidRPr="00CB19B6" w:rsidRDefault="00483A65" w:rsidP="00316F1F">
      <w:pPr>
        <w:numPr>
          <w:ilvl w:val="1"/>
          <w:numId w:val="13"/>
        </w:numPr>
        <w:tabs>
          <w:tab w:val="clear" w:pos="1080"/>
          <w:tab w:val="num" w:pos="720"/>
        </w:tabs>
        <w:autoSpaceDE w:val="0"/>
        <w:autoSpaceDN w:val="0"/>
        <w:adjustRightInd w:val="0"/>
        <w:spacing w:line="480" w:lineRule="auto"/>
        <w:ind w:left="720"/>
        <w:rPr>
          <w:color w:val="000000"/>
        </w:rPr>
      </w:pPr>
      <w:r w:rsidRPr="00CB19B6">
        <w:rPr>
          <w:color w:val="000000"/>
        </w:rPr>
        <w:t xml:space="preserve">Penjahat-penjahat berkelompok. </w:t>
      </w:r>
    </w:p>
    <w:p w:rsidR="00483A65" w:rsidRPr="00D06D60" w:rsidRDefault="00483A65" w:rsidP="00483A65">
      <w:pPr>
        <w:autoSpaceDE w:val="0"/>
        <w:autoSpaceDN w:val="0"/>
        <w:adjustRightInd w:val="0"/>
        <w:spacing w:line="480" w:lineRule="auto"/>
        <w:jc w:val="both"/>
        <w:rPr>
          <w:color w:val="000000"/>
        </w:rPr>
      </w:pPr>
      <w:r w:rsidRPr="00D06D60">
        <w:rPr>
          <w:color w:val="000000"/>
        </w:rPr>
        <w:tab/>
        <w:t>Topo Santoso dan Eva Achjani Zulfa</w:t>
      </w:r>
      <w:r w:rsidRPr="00CB19B6">
        <w:rPr>
          <w:color w:val="000000"/>
        </w:rPr>
        <w:t xml:space="preserve">membagi tipe penjahat atas dasar struktur kepribadian pelaku,atau atas </w:t>
      </w:r>
      <w:r w:rsidRPr="00D06D60">
        <w:rPr>
          <w:color w:val="000000"/>
        </w:rPr>
        <w:t xml:space="preserve"> dasar konstitusi jiwani/psikis pelakunya, yaitu:</w:t>
      </w:r>
      <w:r w:rsidRPr="00D06D60">
        <w:rPr>
          <w:rStyle w:val="FootnoteReference"/>
          <w:color w:val="000000"/>
        </w:rPr>
        <w:footnoteReference w:id="23"/>
      </w:r>
    </w:p>
    <w:p w:rsidR="00483A65" w:rsidRPr="00D06D60" w:rsidRDefault="00483A65" w:rsidP="00316F1F">
      <w:pPr>
        <w:numPr>
          <w:ilvl w:val="0"/>
          <w:numId w:val="16"/>
        </w:numPr>
        <w:autoSpaceDE w:val="0"/>
        <w:autoSpaceDN w:val="0"/>
        <w:adjustRightInd w:val="0"/>
        <w:spacing w:line="480" w:lineRule="auto"/>
        <w:ind w:left="360"/>
        <w:jc w:val="both"/>
        <w:rPr>
          <w:color w:val="000000"/>
        </w:rPr>
      </w:pPr>
      <w:r w:rsidRPr="00CB19B6">
        <w:rPr>
          <w:color w:val="000000"/>
        </w:rPr>
        <w:t xml:space="preserve">Penjahat yang didorong oleh sentiment-sentimen yang sangat kuat dan pikiran yang naïf primitive. Misalnya membunuh anak isteri karena membayangkan mereka akan sengsara di duniayang kotor ini, sehingga lebih baik mereka mati. </w:t>
      </w:r>
    </w:p>
    <w:p w:rsidR="00483A65" w:rsidRPr="00D06D60" w:rsidRDefault="00483A65" w:rsidP="00316F1F">
      <w:pPr>
        <w:numPr>
          <w:ilvl w:val="0"/>
          <w:numId w:val="16"/>
        </w:numPr>
        <w:autoSpaceDE w:val="0"/>
        <w:autoSpaceDN w:val="0"/>
        <w:adjustRightInd w:val="0"/>
        <w:spacing w:line="480" w:lineRule="auto"/>
        <w:ind w:left="360"/>
        <w:jc w:val="both"/>
        <w:rPr>
          <w:color w:val="000000"/>
        </w:rPr>
      </w:pPr>
      <w:r w:rsidRPr="00CB19B6">
        <w:rPr>
          <w:color w:val="000000"/>
        </w:rPr>
        <w:t xml:space="preserve">Penjahat yang melakukan tindak pidana didorong oleh satu ideology dan keyakinan kuat, baik yang fanatic kanan (golongan agama), maupun yang fanatic kiri (golongan sosialis dan komunis. Misalnya gerakan “jihad”. </w:t>
      </w:r>
    </w:p>
    <w:p w:rsidR="00483A65" w:rsidRPr="00D06D60" w:rsidRDefault="00483A65" w:rsidP="00483A65">
      <w:pPr>
        <w:autoSpaceDE w:val="0"/>
        <w:autoSpaceDN w:val="0"/>
        <w:adjustRightInd w:val="0"/>
        <w:spacing w:line="480" w:lineRule="auto"/>
        <w:ind w:firstLine="709"/>
        <w:jc w:val="both"/>
        <w:rPr>
          <w:color w:val="000000"/>
        </w:rPr>
      </w:pPr>
      <w:r w:rsidRPr="00CB19B6">
        <w:rPr>
          <w:color w:val="000000"/>
        </w:rPr>
        <w:t xml:space="preserve">Menurut objek hukum yang diserangnya, kejahatan dapat dibagi dalam: </w:t>
      </w:r>
    </w:p>
    <w:p w:rsidR="00483A65" w:rsidRPr="00D06D60" w:rsidRDefault="00483A65" w:rsidP="00316F1F">
      <w:pPr>
        <w:numPr>
          <w:ilvl w:val="6"/>
          <w:numId w:val="13"/>
        </w:numPr>
        <w:tabs>
          <w:tab w:val="clear" w:pos="4680"/>
          <w:tab w:val="num" w:pos="360"/>
        </w:tabs>
        <w:autoSpaceDE w:val="0"/>
        <w:autoSpaceDN w:val="0"/>
        <w:adjustRightInd w:val="0"/>
        <w:spacing w:line="480" w:lineRule="auto"/>
        <w:ind w:left="360"/>
        <w:jc w:val="both"/>
        <w:rPr>
          <w:color w:val="000000"/>
        </w:rPr>
      </w:pPr>
      <w:r w:rsidRPr="00CB19B6">
        <w:rPr>
          <w:color w:val="000000"/>
        </w:rPr>
        <w:t xml:space="preserve">Kejahatan ekonomi </w:t>
      </w:r>
    </w:p>
    <w:p w:rsidR="00483A65" w:rsidRPr="00D06D60" w:rsidRDefault="00483A65" w:rsidP="00316F1F">
      <w:pPr>
        <w:numPr>
          <w:ilvl w:val="6"/>
          <w:numId w:val="13"/>
        </w:numPr>
        <w:tabs>
          <w:tab w:val="clear" w:pos="4680"/>
          <w:tab w:val="num" w:pos="360"/>
        </w:tabs>
        <w:autoSpaceDE w:val="0"/>
        <w:autoSpaceDN w:val="0"/>
        <w:adjustRightInd w:val="0"/>
        <w:spacing w:line="480" w:lineRule="auto"/>
        <w:ind w:left="360"/>
        <w:jc w:val="both"/>
        <w:rPr>
          <w:color w:val="000000"/>
        </w:rPr>
      </w:pPr>
      <w:r w:rsidRPr="00CB19B6">
        <w:rPr>
          <w:color w:val="000000"/>
        </w:rPr>
        <w:t xml:space="preserve">Kejahatan politik dan pertahanan-keamanan </w:t>
      </w:r>
    </w:p>
    <w:p w:rsidR="00483A65" w:rsidRPr="00D06D60" w:rsidRDefault="00483A65" w:rsidP="00316F1F">
      <w:pPr>
        <w:numPr>
          <w:ilvl w:val="6"/>
          <w:numId w:val="13"/>
        </w:numPr>
        <w:tabs>
          <w:tab w:val="clear" w:pos="4680"/>
          <w:tab w:val="num" w:pos="360"/>
        </w:tabs>
        <w:autoSpaceDE w:val="0"/>
        <w:autoSpaceDN w:val="0"/>
        <w:adjustRightInd w:val="0"/>
        <w:spacing w:line="480" w:lineRule="auto"/>
        <w:ind w:left="360"/>
        <w:jc w:val="both"/>
        <w:rPr>
          <w:color w:val="000000"/>
        </w:rPr>
      </w:pPr>
      <w:r w:rsidRPr="00CB19B6">
        <w:rPr>
          <w:color w:val="000000"/>
        </w:rPr>
        <w:t xml:space="preserve">Kejahatan kesusilaan </w:t>
      </w:r>
    </w:p>
    <w:p w:rsidR="00483A65" w:rsidRPr="00CB19B6" w:rsidRDefault="00483A65" w:rsidP="00316F1F">
      <w:pPr>
        <w:numPr>
          <w:ilvl w:val="6"/>
          <w:numId w:val="13"/>
        </w:numPr>
        <w:tabs>
          <w:tab w:val="clear" w:pos="4680"/>
          <w:tab w:val="num" w:pos="360"/>
        </w:tabs>
        <w:autoSpaceDE w:val="0"/>
        <w:autoSpaceDN w:val="0"/>
        <w:adjustRightInd w:val="0"/>
        <w:spacing w:line="480" w:lineRule="auto"/>
        <w:ind w:left="360"/>
        <w:jc w:val="both"/>
        <w:rPr>
          <w:color w:val="000000"/>
        </w:rPr>
      </w:pPr>
      <w:r w:rsidRPr="00CB19B6">
        <w:rPr>
          <w:color w:val="000000"/>
        </w:rPr>
        <w:t>Kejahatan terhadap jiwa orang dan harta benda</w:t>
      </w:r>
      <w:r w:rsidRPr="00D06D60">
        <w:rPr>
          <w:color w:val="000000"/>
        </w:rPr>
        <w:t>.</w:t>
      </w:r>
      <w:r w:rsidRPr="00D06D60">
        <w:rPr>
          <w:rStyle w:val="FootnoteReference"/>
          <w:color w:val="000000"/>
        </w:rPr>
        <w:footnoteReference w:id="24"/>
      </w:r>
    </w:p>
    <w:p w:rsidR="00483A65" w:rsidRPr="00D06D60" w:rsidRDefault="00483A65" w:rsidP="00483A65">
      <w:pPr>
        <w:autoSpaceDE w:val="0"/>
        <w:autoSpaceDN w:val="0"/>
        <w:adjustRightInd w:val="0"/>
        <w:spacing w:line="480" w:lineRule="auto"/>
        <w:ind w:firstLine="709"/>
        <w:jc w:val="both"/>
        <w:rPr>
          <w:color w:val="000000"/>
        </w:rPr>
      </w:pPr>
      <w:r w:rsidRPr="00CB19B6">
        <w:rPr>
          <w:color w:val="000000"/>
        </w:rPr>
        <w:t xml:space="preserve">Pembagian kejahatan menurut tipe penjahat, yang dilakukan oleh Cecaro Lombroso, ialah sebagai berikut: </w:t>
      </w:r>
      <w:r w:rsidRPr="00D06D60">
        <w:rPr>
          <w:rStyle w:val="FootnoteReference"/>
          <w:color w:val="000000"/>
        </w:rPr>
        <w:footnoteReference w:id="25"/>
      </w:r>
    </w:p>
    <w:p w:rsidR="00483A65" w:rsidRPr="00D06D60" w:rsidRDefault="00483A65" w:rsidP="00316F1F">
      <w:pPr>
        <w:numPr>
          <w:ilvl w:val="0"/>
          <w:numId w:val="17"/>
        </w:numPr>
        <w:spacing w:line="480" w:lineRule="auto"/>
        <w:ind w:left="360"/>
        <w:jc w:val="both"/>
      </w:pPr>
      <w:r w:rsidRPr="00D06D60">
        <w:lastRenderedPageBreak/>
        <w:t>Penjahat sejak lahir dengan sifat-sifat herediter (</w:t>
      </w:r>
      <w:r w:rsidRPr="00D06D60">
        <w:rPr>
          <w:i/>
          <w:iCs/>
        </w:rPr>
        <w:t>born criminals</w:t>
      </w:r>
      <w:r w:rsidRPr="00D06D60">
        <w:t>) dengan kelainan-kelainan bnetuk-bentuk jasmani, bagian-bagian badan yang a</w:t>
      </w:r>
      <w:r w:rsidRPr="00CB19B6">
        <w:rPr>
          <w:color w:val="000000"/>
        </w:rPr>
        <w:t>bnormal, stigmata atau noda fisik, anomaly/cacad dan kekurangan jasmaniah.</w:t>
      </w:r>
    </w:p>
    <w:p w:rsidR="00483A65" w:rsidRPr="00D06D60" w:rsidRDefault="00483A65" w:rsidP="00316F1F">
      <w:pPr>
        <w:numPr>
          <w:ilvl w:val="0"/>
          <w:numId w:val="17"/>
        </w:numPr>
        <w:spacing w:line="480" w:lineRule="auto"/>
        <w:ind w:left="360"/>
        <w:jc w:val="both"/>
      </w:pPr>
      <w:r w:rsidRPr="00CB19B6">
        <w:rPr>
          <w:color w:val="000000"/>
        </w:rPr>
        <w:t xml:space="preserve">Penjahat dengan kelainan jiwa, misalnya: gila, setengah gila, idiot, debil, imbesil, dihinggapi hysteria, dll. </w:t>
      </w:r>
    </w:p>
    <w:p w:rsidR="00483A65" w:rsidRPr="00D06D60" w:rsidRDefault="00483A65" w:rsidP="00316F1F">
      <w:pPr>
        <w:numPr>
          <w:ilvl w:val="0"/>
          <w:numId w:val="17"/>
        </w:numPr>
        <w:spacing w:line="480" w:lineRule="auto"/>
        <w:ind w:left="360"/>
        <w:jc w:val="both"/>
      </w:pPr>
      <w:r w:rsidRPr="00CB19B6">
        <w:rPr>
          <w:color w:val="000000"/>
        </w:rPr>
        <w:t xml:space="preserve">Penjahat dirangsang oleh dorongan libido seksualitas atau nafsu-nafsu seks. </w:t>
      </w:r>
    </w:p>
    <w:p w:rsidR="00483A65" w:rsidRPr="00D06D60" w:rsidRDefault="00483A65" w:rsidP="00316F1F">
      <w:pPr>
        <w:numPr>
          <w:ilvl w:val="0"/>
          <w:numId w:val="17"/>
        </w:numPr>
        <w:spacing w:line="480" w:lineRule="auto"/>
        <w:ind w:left="360"/>
        <w:jc w:val="both"/>
      </w:pPr>
      <w:r w:rsidRPr="00CB19B6">
        <w:rPr>
          <w:color w:val="000000"/>
        </w:rPr>
        <w:t xml:space="preserve">Penjahat karena kesempatan. </w:t>
      </w:r>
    </w:p>
    <w:p w:rsidR="00483A65" w:rsidRDefault="00483A65" w:rsidP="00483A65">
      <w:pPr>
        <w:spacing w:line="456" w:lineRule="auto"/>
        <w:ind w:left="360"/>
        <w:jc w:val="both"/>
        <w:rPr>
          <w:color w:val="000000"/>
        </w:rPr>
      </w:pPr>
      <w:r w:rsidRPr="00CB19B6">
        <w:rPr>
          <w:color w:val="000000"/>
        </w:rPr>
        <w:t>Penjahat dengan organ-organ jasmani yang normal, namun mempunyai pola kebiasaan buruk.</w:t>
      </w:r>
    </w:p>
    <w:p w:rsidR="00483A65" w:rsidRPr="00913E27" w:rsidRDefault="00483A65" w:rsidP="00483A65">
      <w:pPr>
        <w:ind w:left="360"/>
        <w:jc w:val="both"/>
        <w:rPr>
          <w:b/>
        </w:rPr>
      </w:pPr>
    </w:p>
    <w:p w:rsidR="00483A65" w:rsidRPr="00913E27" w:rsidRDefault="00483A65" w:rsidP="00316F1F">
      <w:pPr>
        <w:numPr>
          <w:ilvl w:val="0"/>
          <w:numId w:val="4"/>
        </w:numPr>
        <w:tabs>
          <w:tab w:val="num" w:pos="465"/>
        </w:tabs>
        <w:spacing w:line="516" w:lineRule="auto"/>
        <w:ind w:left="360"/>
        <w:jc w:val="both"/>
        <w:rPr>
          <w:b/>
        </w:rPr>
      </w:pPr>
      <w:r w:rsidRPr="00913E27">
        <w:rPr>
          <w:b/>
        </w:rPr>
        <w:t>Pengertian Geng Motor</w:t>
      </w:r>
      <w:bookmarkEnd w:id="6"/>
    </w:p>
    <w:p w:rsidR="00483A65" w:rsidRPr="00913E27" w:rsidRDefault="00483A65" w:rsidP="00483A65">
      <w:pPr>
        <w:autoSpaceDE w:val="0"/>
        <w:autoSpaceDN w:val="0"/>
        <w:adjustRightInd w:val="0"/>
        <w:spacing w:line="516" w:lineRule="auto"/>
        <w:ind w:firstLine="709"/>
        <w:jc w:val="both"/>
      </w:pPr>
      <w:r w:rsidRPr="00913E27">
        <w:t>Kelompok geng motor adalah sekumpulan orang memiliki hobi bersepeda motor yang membuat kegiatan berkendara sepeda motor secara bersama sama baik tujuan konvoi maupun touring dengan sepeda motor. Adapun juga beberapa orang yang berpendapat bahwa geng motor adalah sekumpulan orang atau kelompok yang menggunakan motor sebagai pemersatunya dan biasanya mengarah ke hal-hal negatif. Sebutan geng motor ini selalu memberikan citra buruk yang biasanya identik dengan tindakan anarkis, berbeda dengan komunitas yang merupakan sekumpulan orang yang memiliki hobi sama yaitu pecinta otomotif, biasanya komunitas motor berkumpul dengan kendaraan yang sama dan lebih spesifik dari segi tipe motornya.</w:t>
      </w:r>
    </w:p>
    <w:p w:rsidR="00483A65" w:rsidRPr="00913E27" w:rsidRDefault="00483A65" w:rsidP="00483A65">
      <w:pPr>
        <w:autoSpaceDE w:val="0"/>
        <w:autoSpaceDN w:val="0"/>
        <w:adjustRightInd w:val="0"/>
        <w:spacing w:line="480" w:lineRule="auto"/>
        <w:ind w:firstLine="709"/>
        <w:jc w:val="both"/>
      </w:pPr>
      <w:r w:rsidRPr="00913E27">
        <w:t xml:space="preserve">Dampak negatif kelompok geng motor banyak disebutkan bahwa akan membuat lalu lintas terganggu, juga dapat menimbulkan keresahan masyarakat </w:t>
      </w:r>
      <w:r w:rsidRPr="00913E27">
        <w:lastRenderedPageBreak/>
        <w:t>apabila kelompok geng motor tersebut melakukan tindakan-tindakan yang bersifat negatif. Kelompok geng motor ini sebenarnya berawal dari sebuah kecenderungan hobi yang sama. Pengertian kelompok geng motor memang melekat dengan kekerasan, hal ini karena beberapa geng motor belakangan telah berubah dari kumpulan hobi mengendarai motor menjadi hobi menganiaya orang, hobi melakukan aksi perampokan serta pembunuhan.</w:t>
      </w:r>
    </w:p>
    <w:p w:rsidR="00483A65" w:rsidRPr="00913E27" w:rsidRDefault="00483A65" w:rsidP="00483A65">
      <w:pPr>
        <w:autoSpaceDE w:val="0"/>
        <w:autoSpaceDN w:val="0"/>
        <w:adjustRightInd w:val="0"/>
        <w:spacing w:line="480" w:lineRule="auto"/>
        <w:ind w:firstLine="709"/>
        <w:jc w:val="both"/>
      </w:pPr>
      <w:r w:rsidRPr="00913E27">
        <w:t>Anggota geng motor kebanyakan adalah anak-anak dan remaja. Ini merupakan salah satu permasalahan yang harus dicegah dan ditanggulangi secepatnya. Tindakan kriminalitas yang dilakukan oleh anggota kelompok geng motor sangat banyak terjadi baik di kota besar maupun kota kecil. Perbuatan tersebut banyak dasarnya baik dari diri sendiri ataupun dorongan dari orang lain. Biasanya kriminalitas kebanyakan berlatar belakang dari kondisi ekonomi dan masyarakat sekitar. Tindakan kriminal ada yang bersifat sembunyi- sembunyi dan ada juga yang terang-terangan. Kriminalitas masih menjadi satu kesatuan dengan kemiskinan, setelah diperhatikan kemiskinan tidak hanya miskin harta tetapi juga miskin ilmu, miskin harga diri, miskin hati dan banyak lainnya. Jika kejahatan meningkat itu dalah salah satu faktor dari pengangguran yang ada karena para pengangguran memiliki banyak waktu kosong selain itu juga kesenjangan ekonomi yang terlihat jelas pada sekarang ini sehingga mereka para penganggur merasa tidak adil dan berfikir untuk melakukan tindak kriminalitas. Selain itu perubahan sosial yang ada merupakan salah satu pemicu tindak kriminalitas.</w:t>
      </w:r>
    </w:p>
    <w:p w:rsidR="00483A65" w:rsidRPr="00913E27" w:rsidRDefault="00483A65" w:rsidP="00483A65">
      <w:pPr>
        <w:autoSpaceDE w:val="0"/>
        <w:autoSpaceDN w:val="0"/>
        <w:adjustRightInd w:val="0"/>
        <w:spacing w:line="480" w:lineRule="auto"/>
        <w:ind w:firstLine="709"/>
        <w:jc w:val="both"/>
      </w:pPr>
      <w:r w:rsidRPr="00913E27">
        <w:t xml:space="preserve">Kriminalitas juga identik dengan dunia remaja yang serba ingin tahu dan ingin mencoba hal – hal yang baru. Dapat saya jelaskan seperti salah satu problem </w:t>
      </w:r>
      <w:r w:rsidRPr="00913E27">
        <w:lastRenderedPageBreak/>
        <w:t>pokok yang dihadapi oleh kota besar, dan kota-kota lainnya tanpa menutup kemungkinan terjadi di pedesaan, adalah kriminalitas di kalangan remaja. Dalam berbagai acara liputan kriminal di televisi misalnya, hampir setiap hari selalu ada berita mengenai tindak kriminalitas di kalangan remaja. Hal ini cukup meresahkan, dan fenomena ini terus berkembang di masyarakat. Tentu saja tindakan kriminal yang dilakukan oleh remaja sangat bervariasi, terutama dengan kehadiran geng-geng motor yang sangat meresahkan masyarakat yang menjadi salah satu wadah sebagai watak kebringasan remaja yang dapat menyebabkan terjadinya pelanggaran lalu lintas, penjarahan, pemerkosaan bahkan sampai pada pembunuhan. Tindak kriminalitas yang terjadi di kalangan remaja dianggap kian meresahkan publik. Hal ini bahkan diperparah dengan tidak mampunya institusi sekolah dan kepolisian untuk mengurangi angka kriminalitas di kalangan remaja tersebut. Kenakalan remaja yang terjadi di berbagai wilayah di Indonesia, dan dunia pada umumnya, dapat dikategorikan sebagai sebuah bentuk perilaku menyimpang di masyarakat. Tentu saja fenomena ini dapat dijelaskan dalam tataran ilmu sosial, hanya saja untuk mencari suatu teori yang relevan yang dapat menjelaskan dengan baik mengenai kenakalan remaja dibutuhkan kejelian tersendiri. Kenakalan remaja dapat diidentifikasikan sebagai bentuk penyimpangan yang terjadi di masyarakat.</w:t>
      </w:r>
    </w:p>
    <w:p w:rsidR="00483A65" w:rsidRPr="00913E27" w:rsidRDefault="00483A65" w:rsidP="00483A65">
      <w:pPr>
        <w:autoSpaceDE w:val="0"/>
        <w:autoSpaceDN w:val="0"/>
        <w:adjustRightInd w:val="0"/>
        <w:spacing w:line="480" w:lineRule="auto"/>
        <w:ind w:firstLine="709"/>
        <w:jc w:val="both"/>
      </w:pPr>
      <w:r w:rsidRPr="00913E27">
        <w:t xml:space="preserve">Secara sederhana, dapat dikatakan bahwa perilaku menyimpang yang terjadi di kalangan remaja merupakan adanya konflik antara norma-norma yang berlaku di masyarakat dengan cara-cara dan tujuan-tujuan yang dilakukan oleh </w:t>
      </w:r>
      <w:r w:rsidRPr="00913E27">
        <w:lastRenderedPageBreak/>
        <w:t>individu. Oleh karena itu, penulis membagi keadaan ini dalam lima kategori, yaitu:</w:t>
      </w:r>
    </w:p>
    <w:p w:rsidR="00483A65" w:rsidRPr="00913E27" w:rsidRDefault="00483A65" w:rsidP="00316F1F">
      <w:pPr>
        <w:pStyle w:val="Default"/>
        <w:numPr>
          <w:ilvl w:val="4"/>
          <w:numId w:val="4"/>
        </w:numPr>
        <w:tabs>
          <w:tab w:val="num" w:pos="1080"/>
        </w:tabs>
        <w:ind w:left="1080"/>
        <w:jc w:val="both"/>
        <w:rPr>
          <w:rFonts w:ascii="Times New Roman" w:hAnsi="Times New Roman" w:cs="Times New Roman"/>
        </w:rPr>
      </w:pPr>
      <w:r w:rsidRPr="00913E27">
        <w:rPr>
          <w:rFonts w:ascii="Times New Roman" w:hAnsi="Times New Roman" w:cs="Times New Roman"/>
          <w:i/>
          <w:iCs/>
        </w:rPr>
        <w:t>Conformity</w:t>
      </w:r>
      <w:r w:rsidRPr="00913E27">
        <w:rPr>
          <w:rFonts w:ascii="Times New Roman" w:hAnsi="Times New Roman" w:cs="Times New Roman"/>
        </w:rPr>
        <w:t>‟ atau individu yang terintegrasi penuh dalam masyarakat baik yang  tujuan dan cara-caranya „benar dalam masyarakat.</w:t>
      </w:r>
    </w:p>
    <w:p w:rsidR="00483A65" w:rsidRPr="00913E27" w:rsidRDefault="00483A65" w:rsidP="00316F1F">
      <w:pPr>
        <w:pStyle w:val="Default"/>
        <w:numPr>
          <w:ilvl w:val="4"/>
          <w:numId w:val="4"/>
        </w:numPr>
        <w:tabs>
          <w:tab w:val="num" w:pos="1080"/>
        </w:tabs>
        <w:ind w:left="1080"/>
        <w:jc w:val="both"/>
        <w:rPr>
          <w:rFonts w:ascii="Times New Roman" w:hAnsi="Times New Roman" w:cs="Times New Roman"/>
        </w:rPr>
      </w:pPr>
      <w:r w:rsidRPr="00913E27">
        <w:rPr>
          <w:rFonts w:ascii="Times New Roman" w:hAnsi="Times New Roman" w:cs="Times New Roman"/>
          <w:i/>
          <w:iCs/>
        </w:rPr>
        <w:t>Innovation</w:t>
      </w:r>
      <w:r w:rsidRPr="00913E27">
        <w:rPr>
          <w:rFonts w:ascii="Times New Roman" w:hAnsi="Times New Roman" w:cs="Times New Roman"/>
        </w:rPr>
        <w:t xml:space="preserve">‟ atau individu yang tujuannya benar, namun cara- cara yang dipergunakannya tidak sesuai dengan yang diinginkan dalam masyarakat. </w:t>
      </w:r>
    </w:p>
    <w:p w:rsidR="00483A65" w:rsidRPr="00913E27" w:rsidRDefault="00483A65" w:rsidP="00316F1F">
      <w:pPr>
        <w:pStyle w:val="Default"/>
        <w:numPr>
          <w:ilvl w:val="4"/>
          <w:numId w:val="4"/>
        </w:numPr>
        <w:tabs>
          <w:tab w:val="num" w:pos="1080"/>
        </w:tabs>
        <w:ind w:left="1080"/>
        <w:jc w:val="both"/>
        <w:rPr>
          <w:rFonts w:ascii="Times New Roman" w:hAnsi="Times New Roman" w:cs="Times New Roman"/>
        </w:rPr>
      </w:pPr>
      <w:r w:rsidRPr="00913E27">
        <w:rPr>
          <w:rFonts w:ascii="Times New Roman" w:hAnsi="Times New Roman" w:cs="Times New Roman"/>
          <w:i/>
          <w:iCs/>
        </w:rPr>
        <w:t>Ritualism</w:t>
      </w:r>
      <w:r w:rsidRPr="00913E27">
        <w:rPr>
          <w:rFonts w:ascii="Times New Roman" w:hAnsi="Times New Roman" w:cs="Times New Roman"/>
        </w:rPr>
        <w:t xml:space="preserve">‟ atau individu yang salah secara tujuan namun cara-cara yang dipergunakannya dapat dibenarkan. </w:t>
      </w:r>
    </w:p>
    <w:p w:rsidR="00483A65" w:rsidRPr="00913E27" w:rsidRDefault="00483A65" w:rsidP="00316F1F">
      <w:pPr>
        <w:pStyle w:val="Default"/>
        <w:numPr>
          <w:ilvl w:val="4"/>
          <w:numId w:val="4"/>
        </w:numPr>
        <w:tabs>
          <w:tab w:val="num" w:pos="1080"/>
        </w:tabs>
        <w:ind w:left="1080"/>
        <w:jc w:val="both"/>
        <w:rPr>
          <w:rFonts w:ascii="Times New Roman" w:hAnsi="Times New Roman" w:cs="Times New Roman"/>
        </w:rPr>
      </w:pPr>
      <w:r w:rsidRPr="00913E27">
        <w:rPr>
          <w:rFonts w:ascii="Times New Roman" w:hAnsi="Times New Roman" w:cs="Times New Roman"/>
          <w:i/>
          <w:iCs/>
        </w:rPr>
        <w:t>Retreatism</w:t>
      </w:r>
      <w:r w:rsidRPr="00913E27">
        <w:rPr>
          <w:rFonts w:ascii="Times New Roman" w:hAnsi="Times New Roman" w:cs="Times New Roman"/>
        </w:rPr>
        <w:t xml:space="preserve">‟ atau individu yang salah secara tujuan dan salah berdasarkan cara-cara yang dipergunakan. </w:t>
      </w:r>
    </w:p>
    <w:p w:rsidR="00483A65" w:rsidRPr="00913E27" w:rsidRDefault="00483A65" w:rsidP="00316F1F">
      <w:pPr>
        <w:pStyle w:val="Default"/>
        <w:numPr>
          <w:ilvl w:val="4"/>
          <w:numId w:val="4"/>
        </w:numPr>
        <w:tabs>
          <w:tab w:val="num" w:pos="1080"/>
        </w:tabs>
        <w:ind w:left="1080"/>
        <w:jc w:val="both"/>
        <w:rPr>
          <w:rFonts w:ascii="Times New Roman" w:hAnsi="Times New Roman" w:cs="Times New Roman"/>
        </w:rPr>
      </w:pPr>
      <w:r w:rsidRPr="00913E27">
        <w:rPr>
          <w:rFonts w:ascii="Times New Roman" w:hAnsi="Times New Roman" w:cs="Times New Roman"/>
          <w:i/>
          <w:iCs/>
        </w:rPr>
        <w:t>Rebellion</w:t>
      </w:r>
      <w:r w:rsidRPr="00913E27">
        <w:rPr>
          <w:rFonts w:ascii="Times New Roman" w:hAnsi="Times New Roman" w:cs="Times New Roman"/>
        </w:rPr>
        <w:t xml:space="preserve">‟ atau individu yang meniadakan tujuan-tujuan dan cara-cara yang diterima dengan menciptakan sistem baru yang menerima tujuan-tujuan dan cara-cara baru. </w:t>
      </w:r>
      <w:r w:rsidRPr="00913E27">
        <w:rPr>
          <w:rStyle w:val="FootnoteReference"/>
        </w:rPr>
        <w:footnoteReference w:id="26"/>
      </w:r>
    </w:p>
    <w:p w:rsidR="00483A65" w:rsidRPr="00913E27" w:rsidRDefault="00483A65" w:rsidP="00483A65">
      <w:pPr>
        <w:pStyle w:val="Default"/>
        <w:ind w:left="1080"/>
        <w:jc w:val="both"/>
        <w:rPr>
          <w:rFonts w:ascii="Times New Roman" w:hAnsi="Times New Roman" w:cs="Times New Roman"/>
        </w:rPr>
      </w:pPr>
    </w:p>
    <w:p w:rsidR="00483A65" w:rsidRPr="00913E27" w:rsidRDefault="00483A65" w:rsidP="00483A65">
      <w:pPr>
        <w:autoSpaceDE w:val="0"/>
        <w:autoSpaceDN w:val="0"/>
        <w:adjustRightInd w:val="0"/>
        <w:spacing w:line="480" w:lineRule="auto"/>
        <w:ind w:firstLine="709"/>
        <w:jc w:val="both"/>
      </w:pPr>
      <w:r w:rsidRPr="00913E27">
        <w:t>Perilaku menyimpang yang dilakukan oleh remaja berupa tindakan kriminal boleh jadi membuat berpikir ulang mengenai integrasi dalam masyarakat. Sebagaimana yang dituduhkan dalam media massa, kenakalan remaja berupa tindak kriminal justru memberikan pengaruh yang besar dalam masyarakat, meskipun pengaruh mereka tidaklah diinginkan (</w:t>
      </w:r>
      <w:r w:rsidRPr="00913E27">
        <w:rPr>
          <w:i/>
          <w:iCs/>
        </w:rPr>
        <w:t>unintended</w:t>
      </w:r>
      <w:r w:rsidRPr="00913E27">
        <w:t>). Adanya kriminalitas di kalangan remaja pun mendorong kita bertanya penyebab terjadinya tindakan tersebut.</w:t>
      </w:r>
    </w:p>
    <w:p w:rsidR="00483A65" w:rsidRPr="00913E27" w:rsidRDefault="00483A65" w:rsidP="00483A65">
      <w:pPr>
        <w:autoSpaceDE w:val="0"/>
        <w:autoSpaceDN w:val="0"/>
        <w:adjustRightInd w:val="0"/>
        <w:spacing w:line="480" w:lineRule="auto"/>
        <w:ind w:firstLine="709"/>
        <w:jc w:val="both"/>
      </w:pPr>
      <w:r w:rsidRPr="00913E27">
        <w:t xml:space="preserve">Kenakalan remaja boleh jadi berkaitan erat dengan hormon pertumbuhan yang fluktuatif sehingga menyebabkan perilaku remaja sulit diprediksi, namun ini bukan lah jawaban yang dapat menjadi justifikasi atas perilaku remaja. Rasanya angapan bahwa hormon berpengaruh sangat besar agak dilebih-lebihkan, nampaknya ada faktor lain yang menyebabkan mengapa angka kriminalitas di </w:t>
      </w:r>
      <w:r w:rsidRPr="00913E27">
        <w:lastRenderedPageBreak/>
        <w:t>kalangan remaja menjadi sangat tinggi dan perbuatan kriminalitas tersebut dianggap sangat meresahkan masyarakat secara luas.</w:t>
      </w:r>
    </w:p>
    <w:p w:rsidR="00483A65" w:rsidRPr="00913E27" w:rsidRDefault="00483A65" w:rsidP="00483A65">
      <w:pPr>
        <w:autoSpaceDE w:val="0"/>
        <w:autoSpaceDN w:val="0"/>
        <w:adjustRightInd w:val="0"/>
        <w:spacing w:line="480" w:lineRule="auto"/>
        <w:ind w:firstLine="709"/>
        <w:jc w:val="both"/>
      </w:pPr>
      <w:r w:rsidRPr="00913E27">
        <w:t>Salah satu tuduhan mengenai tingginya angka kriminalitas remaja sebagai salah satu anggota geng motor adalah tidak berfungsinya kelurga dan/atau ketidakberfungsian sosial masyarakat. Keluarga di anggap gagal dalam mendidik remaja sehingga menyebabkan mereka melakukan tindakan penyimpangan yang berujung dengan diberikannya sanksi sosial oleh masyarakat. Alih-alih tertib, sanksi yang diberikan justru menjadikan remaja menjadi lebih sulit diatur. Dan hal ini pula yang menyebabkan masyarakat di anggap gagal dalam melakukan tindakan pencegahan atas terjadinya perilaku menyimpang tersebut. Keluarga memegang peranan yang penting, dan hal ini diakui oleh banyak pihak. Keluarga merupakan elemen penting dalam melakukan sosialisasi nilai, norma, dan tujuan-tujuan yang disepakati dalam masyarakat, dan tingginya angka kriminalitas remaja sebagai konsekuensi dari tidak berjalannya aturan dan norma yang berlaku di masyarakat dianggap sebagai kesalahan keluarga. Jika melihat dari sisi teoritis, tentu saja bukan hanya keluarga yang dipersalahkan, masyarakat pun dapat dipersalahkan dengan tidak ditegakkan aturan secara ketat atau membantu sosialisasi norma dan tujuan dalam masyarakat.</w:t>
      </w:r>
    </w:p>
    <w:p w:rsidR="00E66A6E" w:rsidRPr="00483A65" w:rsidRDefault="00541274" w:rsidP="00483A65">
      <w:bookmarkStart w:id="7" w:name="_GoBack"/>
      <w:bookmarkEnd w:id="7"/>
    </w:p>
    <w:sectPr w:rsidR="00E66A6E" w:rsidRPr="00483A65"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274" w:rsidRDefault="00541274" w:rsidP="00D868D1">
      <w:r>
        <w:separator/>
      </w:r>
    </w:p>
  </w:endnote>
  <w:endnote w:type="continuationSeparator" w:id="1">
    <w:p w:rsidR="00541274" w:rsidRDefault="00541274"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DA" w:rsidRDefault="009B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5412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DA" w:rsidRDefault="009B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274" w:rsidRDefault="00541274" w:rsidP="00D868D1">
      <w:r>
        <w:separator/>
      </w:r>
    </w:p>
  </w:footnote>
  <w:footnote w:type="continuationSeparator" w:id="1">
    <w:p w:rsidR="00541274" w:rsidRDefault="00541274" w:rsidP="00D868D1">
      <w:r>
        <w:continuationSeparator/>
      </w:r>
    </w:p>
  </w:footnote>
  <w:footnote w:id="2">
    <w:p w:rsidR="00483A65" w:rsidRPr="0009535A" w:rsidRDefault="00483A65" w:rsidP="00483A65">
      <w:pPr>
        <w:pStyle w:val="FootnoteText"/>
        <w:ind w:firstLine="720"/>
        <w:jc w:val="both"/>
      </w:pPr>
      <w:r w:rsidRPr="0009535A">
        <w:rPr>
          <w:rStyle w:val="FootnoteReference"/>
        </w:rPr>
        <w:footnoteRef/>
      </w:r>
      <w:r w:rsidRPr="0009535A">
        <w:t>Moeljatno,</w:t>
      </w:r>
      <w:r w:rsidRPr="00D06D60">
        <w:rPr>
          <w:i/>
          <w:iCs/>
          <w:color w:val="000000"/>
        </w:rPr>
        <w:t>Asas-Asas Hukum Pidana</w:t>
      </w:r>
      <w:r w:rsidRPr="00D06D60">
        <w:rPr>
          <w:color w:val="000000"/>
        </w:rPr>
        <w:t xml:space="preserve">, Edisi Revisi, Jakarta, Rineka Cipta, </w:t>
      </w:r>
      <w:r w:rsidRPr="00D06D60">
        <w:t>2018</w:t>
      </w:r>
      <w:r w:rsidRPr="0009535A">
        <w:t xml:space="preserve">, </w:t>
      </w:r>
      <w:r w:rsidRPr="0009535A">
        <w:rPr>
          <w:lang w:val="id-ID"/>
        </w:rPr>
        <w:t>hlm.</w:t>
      </w:r>
      <w:r w:rsidRPr="0009535A">
        <w:t>1</w:t>
      </w:r>
      <w:r w:rsidRPr="0009535A">
        <w:rPr>
          <w:lang w:val="id-ID"/>
        </w:rPr>
        <w:t>.</w:t>
      </w:r>
    </w:p>
  </w:footnote>
  <w:footnote w:id="3">
    <w:p w:rsidR="00483A65" w:rsidRPr="0009535A" w:rsidRDefault="00483A65" w:rsidP="00483A65">
      <w:pPr>
        <w:pStyle w:val="FootnoteText"/>
        <w:ind w:firstLine="720"/>
        <w:jc w:val="both"/>
      </w:pPr>
      <w:r w:rsidRPr="0009535A">
        <w:rPr>
          <w:rStyle w:val="FootnoteReference"/>
        </w:rPr>
        <w:footnoteRef/>
      </w:r>
      <w:bookmarkStart w:id="0" w:name="_Hlk171712466"/>
      <w:r w:rsidRPr="0009535A">
        <w:t xml:space="preserve">Tongat.  </w:t>
      </w:r>
      <w:r w:rsidRPr="0009535A">
        <w:rPr>
          <w:i/>
        </w:rPr>
        <w:t>Dasar-Dasar Hukum Pidana dalam Perspektif Pembaharuan</w:t>
      </w:r>
      <w:r w:rsidRPr="0009535A">
        <w:rPr>
          <w:i/>
          <w:lang w:val="id-ID"/>
        </w:rPr>
        <w:t>,</w:t>
      </w:r>
      <w:r w:rsidRPr="0009535A">
        <w:t xml:space="preserve"> UMM Press, Malang, 20</w:t>
      </w:r>
      <w:r>
        <w:t>1</w:t>
      </w:r>
      <w:r w:rsidRPr="0009535A">
        <w:t>9</w:t>
      </w:r>
      <w:bookmarkEnd w:id="0"/>
      <w:r w:rsidRPr="0009535A">
        <w:t>,</w:t>
      </w:r>
      <w:r w:rsidRPr="0009535A">
        <w:rPr>
          <w:lang w:val="id-ID"/>
        </w:rPr>
        <w:t>hlm.</w:t>
      </w:r>
      <w:r w:rsidRPr="0009535A">
        <w:t>1</w:t>
      </w:r>
      <w:r w:rsidRPr="0009535A">
        <w:rPr>
          <w:lang w:val="id-ID"/>
        </w:rPr>
        <w:t>4</w:t>
      </w:r>
      <w:r w:rsidRPr="0009535A">
        <w:t>.</w:t>
      </w:r>
    </w:p>
  </w:footnote>
  <w:footnote w:id="4">
    <w:p w:rsidR="00483A65" w:rsidRPr="0009535A" w:rsidRDefault="00483A65" w:rsidP="00483A65">
      <w:pPr>
        <w:pStyle w:val="FootnoteText"/>
        <w:ind w:firstLine="720"/>
        <w:jc w:val="both"/>
      </w:pPr>
      <w:r w:rsidRPr="0009535A">
        <w:rPr>
          <w:rStyle w:val="FootnoteReference"/>
        </w:rPr>
        <w:footnoteRef/>
      </w:r>
      <w:bookmarkStart w:id="1" w:name="_Hlk171712482"/>
      <w:r w:rsidRPr="0009535A">
        <w:t>C.S.T. Kansil</w:t>
      </w:r>
      <w:r w:rsidRPr="0009535A">
        <w:rPr>
          <w:lang w:val="id-ID"/>
        </w:rPr>
        <w:t xml:space="preserve">. </w:t>
      </w:r>
      <w:r w:rsidRPr="0009535A">
        <w:rPr>
          <w:i/>
          <w:iCs/>
        </w:rPr>
        <w:t>Pengantar Ilmu Hukum dan Tata Hukum Indonesia</w:t>
      </w:r>
      <w:r w:rsidRPr="0009535A">
        <w:t>, Balai Pustaka, Jakarta, 20</w:t>
      </w:r>
      <w:r>
        <w:t>1</w:t>
      </w:r>
      <w:r w:rsidRPr="0009535A">
        <w:t>9</w:t>
      </w:r>
      <w:bookmarkEnd w:id="1"/>
      <w:r w:rsidRPr="0009535A">
        <w:t xml:space="preserve">, </w:t>
      </w:r>
      <w:r w:rsidRPr="0009535A">
        <w:rPr>
          <w:lang w:val="id-ID"/>
        </w:rPr>
        <w:t>hlm.</w:t>
      </w:r>
      <w:r w:rsidRPr="0009535A">
        <w:t>264.</w:t>
      </w:r>
    </w:p>
  </w:footnote>
  <w:footnote w:id="5">
    <w:p w:rsidR="00483A65" w:rsidRPr="0009535A" w:rsidRDefault="00483A65" w:rsidP="00483A65">
      <w:pPr>
        <w:pStyle w:val="FootnoteText"/>
        <w:ind w:firstLine="720"/>
        <w:jc w:val="both"/>
      </w:pPr>
      <w:r w:rsidRPr="0009535A">
        <w:rPr>
          <w:rStyle w:val="FootnoteReference"/>
        </w:rPr>
        <w:footnoteRef/>
      </w:r>
      <w:r w:rsidRPr="0009535A">
        <w:t>Moeljatno</w:t>
      </w:r>
      <w:r w:rsidRPr="0009535A">
        <w:rPr>
          <w:lang w:val="id-ID"/>
        </w:rPr>
        <w:t xml:space="preserve">. </w:t>
      </w:r>
      <w:r w:rsidRPr="0009535A">
        <w:rPr>
          <w:i/>
        </w:rPr>
        <w:t>Op.Cit</w:t>
      </w:r>
      <w:r w:rsidRPr="0009535A">
        <w:t xml:space="preserve">, </w:t>
      </w:r>
      <w:r w:rsidRPr="0009535A">
        <w:rPr>
          <w:lang w:val="id-ID"/>
        </w:rPr>
        <w:t>hlm.</w:t>
      </w:r>
      <w:r w:rsidRPr="0009535A">
        <w:t xml:space="preserve"> 8.</w:t>
      </w:r>
    </w:p>
  </w:footnote>
  <w:footnote w:id="6">
    <w:p w:rsidR="00483A65" w:rsidRPr="0009535A" w:rsidRDefault="00483A65" w:rsidP="00483A65">
      <w:pPr>
        <w:pStyle w:val="FootnoteText"/>
        <w:ind w:firstLine="720"/>
        <w:jc w:val="both"/>
      </w:pPr>
      <w:r w:rsidRPr="0009535A">
        <w:rPr>
          <w:rStyle w:val="FootnoteReference"/>
        </w:rPr>
        <w:footnoteRef/>
      </w:r>
      <w:bookmarkStart w:id="2" w:name="_Hlk171712502"/>
      <w:r w:rsidRPr="0009535A">
        <w:t xml:space="preserve">Adami Chazawi, </w:t>
      </w:r>
      <w:r w:rsidRPr="0009535A">
        <w:rPr>
          <w:i/>
          <w:iCs/>
        </w:rPr>
        <w:t>Pelajaran Hukum Pidana Bagian 2</w:t>
      </w:r>
      <w:r w:rsidRPr="0009535A">
        <w:t>, RajaGrafindo Persada, Jakarta, 2017</w:t>
      </w:r>
      <w:bookmarkEnd w:id="2"/>
      <w:r w:rsidRPr="0009535A">
        <w:t>, hlm.2.</w:t>
      </w:r>
    </w:p>
  </w:footnote>
  <w:footnote w:id="7">
    <w:p w:rsidR="00483A65" w:rsidRPr="0009535A" w:rsidRDefault="00483A65" w:rsidP="00483A65">
      <w:pPr>
        <w:pStyle w:val="FootnoteText"/>
        <w:ind w:firstLine="720"/>
        <w:jc w:val="both"/>
      </w:pPr>
      <w:r w:rsidRPr="0009535A">
        <w:rPr>
          <w:rStyle w:val="FootnoteReference"/>
        </w:rPr>
        <w:footnoteRef/>
      </w:r>
      <w:r w:rsidRPr="0009535A">
        <w:t xml:space="preserve">Ismu Gunadi, </w:t>
      </w:r>
      <w:r w:rsidRPr="0009535A">
        <w:rPr>
          <w:i/>
        </w:rPr>
        <w:t xml:space="preserve">Hukum Pidana. </w:t>
      </w:r>
      <w:r w:rsidRPr="0009535A">
        <w:t xml:space="preserve"> Kencana Prenadamedia Group, Jakarta, 2014</w:t>
      </w:r>
      <w:r w:rsidRPr="0009535A">
        <w:rPr>
          <w:i/>
        </w:rPr>
        <w:t>,</w:t>
      </w:r>
      <w:r w:rsidRPr="0009535A">
        <w:t xml:space="preserve"> hlm. 8.</w:t>
      </w:r>
    </w:p>
  </w:footnote>
  <w:footnote w:id="8">
    <w:p w:rsidR="00483A65" w:rsidRPr="0009535A" w:rsidRDefault="00483A65" w:rsidP="00483A65">
      <w:pPr>
        <w:pStyle w:val="FootnoteText"/>
        <w:ind w:firstLine="720"/>
        <w:jc w:val="both"/>
      </w:pPr>
      <w:r w:rsidRPr="0009535A">
        <w:rPr>
          <w:rStyle w:val="FootnoteReference"/>
        </w:rPr>
        <w:footnoteRef/>
      </w:r>
      <w:r w:rsidRPr="0009535A">
        <w:rPr>
          <w:i/>
        </w:rPr>
        <w:t>Ibid</w:t>
      </w:r>
      <w:r w:rsidRPr="0009535A">
        <w:t>, hlm. 9.</w:t>
      </w:r>
    </w:p>
  </w:footnote>
  <w:footnote w:id="9">
    <w:p w:rsidR="00483A65" w:rsidRPr="0009535A" w:rsidRDefault="00483A65" w:rsidP="00483A65">
      <w:pPr>
        <w:pStyle w:val="FootnoteText"/>
        <w:ind w:firstLine="720"/>
        <w:jc w:val="both"/>
      </w:pPr>
      <w:r w:rsidRPr="0009535A">
        <w:rPr>
          <w:rStyle w:val="FootnoteReference"/>
        </w:rPr>
        <w:footnoteRef/>
      </w:r>
      <w:bookmarkStart w:id="3" w:name="_Hlk171712658"/>
      <w:r w:rsidRPr="0009535A">
        <w:t xml:space="preserve">Frans Maramis, </w:t>
      </w:r>
      <w:r w:rsidRPr="0009535A">
        <w:rPr>
          <w:i/>
          <w:iCs/>
        </w:rPr>
        <w:t>Hukum Pidana Umum dan Tertulis di Indonesia</w:t>
      </w:r>
      <w:r w:rsidRPr="0009535A">
        <w:t>, Raja Grafindo Persada, Jakarta, 2012</w:t>
      </w:r>
      <w:bookmarkEnd w:id="3"/>
      <w:r w:rsidRPr="0009535A">
        <w:t>, hlm. 57.</w:t>
      </w:r>
    </w:p>
  </w:footnote>
  <w:footnote w:id="10">
    <w:p w:rsidR="00483A65" w:rsidRPr="0009535A" w:rsidRDefault="00483A65" w:rsidP="00483A65">
      <w:pPr>
        <w:pStyle w:val="FootnoteText"/>
        <w:ind w:firstLine="709"/>
        <w:jc w:val="both"/>
      </w:pPr>
      <w:r w:rsidRPr="0009535A">
        <w:rPr>
          <w:rStyle w:val="FootnoteReference"/>
        </w:rPr>
        <w:footnoteRef/>
      </w:r>
      <w:bookmarkStart w:id="4" w:name="_Hlk130751787"/>
      <w:r w:rsidRPr="0009535A">
        <w:rPr>
          <w:color w:val="000000"/>
        </w:rPr>
        <w:t xml:space="preserve">M. Hamdan, </w:t>
      </w:r>
      <w:r w:rsidRPr="0009535A">
        <w:rPr>
          <w:i/>
          <w:iCs/>
          <w:color w:val="000000"/>
        </w:rPr>
        <w:t>Tindak Pidana Suap dan Money Politics</w:t>
      </w:r>
      <w:r w:rsidRPr="0009535A">
        <w:rPr>
          <w:color w:val="000000"/>
        </w:rPr>
        <w:t>, Pustaka Bangsa Press,</w:t>
      </w:r>
      <w:r w:rsidRPr="0009535A">
        <w:rPr>
          <w:color w:val="000000"/>
          <w:lang w:val="fi-FI"/>
        </w:rPr>
        <w:t xml:space="preserve"> Medan, 2015</w:t>
      </w:r>
      <w:bookmarkEnd w:id="4"/>
      <w:r w:rsidRPr="0009535A">
        <w:rPr>
          <w:color w:val="000000"/>
          <w:lang w:val="fi-FI"/>
        </w:rPr>
        <w:t>, hlm. 9.</w:t>
      </w:r>
    </w:p>
  </w:footnote>
  <w:footnote w:id="11">
    <w:p w:rsidR="00483A65" w:rsidRPr="0009535A" w:rsidRDefault="00483A65" w:rsidP="00483A65">
      <w:pPr>
        <w:pStyle w:val="FootnoteText"/>
        <w:ind w:firstLine="720"/>
        <w:jc w:val="both"/>
      </w:pPr>
      <w:r w:rsidRPr="0009535A">
        <w:rPr>
          <w:rStyle w:val="FootnoteReference"/>
        </w:rPr>
        <w:footnoteRef/>
      </w:r>
      <w:r w:rsidRPr="0009535A">
        <w:rPr>
          <w:i/>
        </w:rPr>
        <w:t>Ibid</w:t>
      </w:r>
      <w:r w:rsidRPr="0009535A">
        <w:t>., hlm.8.</w:t>
      </w:r>
    </w:p>
  </w:footnote>
  <w:footnote w:id="12">
    <w:p w:rsidR="00483A65" w:rsidRPr="0009535A" w:rsidRDefault="00483A65" w:rsidP="00483A65">
      <w:pPr>
        <w:pStyle w:val="FootnoteText"/>
        <w:ind w:firstLine="720"/>
        <w:jc w:val="both"/>
      </w:pPr>
      <w:r w:rsidRPr="0009535A">
        <w:rPr>
          <w:rStyle w:val="FootnoteReference"/>
        </w:rPr>
        <w:footnoteRef/>
      </w:r>
      <w:bookmarkStart w:id="5" w:name="_Hlk130751800"/>
      <w:r w:rsidRPr="0009535A">
        <w:t xml:space="preserve">Mahrus Ali,  </w:t>
      </w:r>
      <w:r w:rsidRPr="0009535A">
        <w:rPr>
          <w:i/>
        </w:rPr>
        <w:t>Dasar-Dasar Hukum Pidana</w:t>
      </w:r>
      <w:r w:rsidRPr="0009535A">
        <w:t>,  Sinar Grafika, Jakarta, 2011</w:t>
      </w:r>
      <w:bookmarkEnd w:id="5"/>
      <w:r w:rsidRPr="0009535A">
        <w:t>, hlm.98.</w:t>
      </w:r>
    </w:p>
  </w:footnote>
  <w:footnote w:id="13">
    <w:p w:rsidR="00483A65" w:rsidRPr="0009535A" w:rsidRDefault="00483A65" w:rsidP="00483A65">
      <w:pPr>
        <w:pStyle w:val="FootnoteText"/>
        <w:ind w:firstLine="720"/>
        <w:jc w:val="both"/>
      </w:pPr>
      <w:r w:rsidRPr="0009535A">
        <w:rPr>
          <w:rStyle w:val="FootnoteReference"/>
        </w:rPr>
        <w:footnoteRef/>
      </w:r>
      <w:r w:rsidRPr="0009535A">
        <w:t xml:space="preserve">R. Tresna, </w:t>
      </w:r>
      <w:r w:rsidRPr="0009535A">
        <w:rPr>
          <w:i/>
        </w:rPr>
        <w:t>Asas-Asas Hukum Pidana</w:t>
      </w:r>
      <w:r w:rsidRPr="0009535A">
        <w:t>, Tiara, Jakarta, 2009, hlm.28.</w:t>
      </w:r>
    </w:p>
  </w:footnote>
  <w:footnote w:id="14">
    <w:p w:rsidR="00483A65" w:rsidRPr="0009535A" w:rsidRDefault="00483A65" w:rsidP="00483A65">
      <w:pPr>
        <w:pStyle w:val="FootnoteText"/>
        <w:ind w:firstLine="720"/>
        <w:jc w:val="both"/>
      </w:pPr>
      <w:r w:rsidRPr="0009535A">
        <w:rPr>
          <w:rStyle w:val="FootnoteReference"/>
        </w:rPr>
        <w:footnoteRef/>
      </w:r>
      <w:r w:rsidRPr="0009535A">
        <w:t xml:space="preserve">M. Hamdan. </w:t>
      </w:r>
      <w:r w:rsidRPr="0009535A">
        <w:rPr>
          <w:i/>
          <w:iCs/>
        </w:rPr>
        <w:t>Op.Cit.</w:t>
      </w:r>
      <w:r w:rsidRPr="0009535A">
        <w:t xml:space="preserve"> h</w:t>
      </w:r>
      <w:r>
        <w:t>lm</w:t>
      </w:r>
      <w:r w:rsidRPr="0009535A">
        <w:t>. 10.</w:t>
      </w:r>
    </w:p>
  </w:footnote>
  <w:footnote w:id="15">
    <w:p w:rsidR="00483A65" w:rsidRPr="0009535A" w:rsidRDefault="00483A65" w:rsidP="00483A65">
      <w:pPr>
        <w:pStyle w:val="FootnoteText"/>
        <w:ind w:firstLine="720"/>
        <w:jc w:val="both"/>
      </w:pPr>
      <w:r w:rsidRPr="0009535A">
        <w:rPr>
          <w:rStyle w:val="FootnoteReference"/>
        </w:rPr>
        <w:footnoteRef/>
      </w:r>
      <w:r w:rsidRPr="0009535A">
        <w:t xml:space="preserve">Moeljatno, </w:t>
      </w:r>
      <w:r w:rsidRPr="0009535A">
        <w:rPr>
          <w:i/>
        </w:rPr>
        <w:t xml:space="preserve">Op.Cit, </w:t>
      </w:r>
      <w:r w:rsidRPr="0009535A">
        <w:t xml:space="preserve"> h.47.</w:t>
      </w:r>
    </w:p>
  </w:footnote>
  <w:footnote w:id="16">
    <w:p w:rsidR="00483A65" w:rsidRPr="0009535A" w:rsidRDefault="00483A65" w:rsidP="00483A65">
      <w:pPr>
        <w:pStyle w:val="FootnoteText"/>
        <w:ind w:firstLine="720"/>
        <w:jc w:val="both"/>
      </w:pPr>
      <w:r w:rsidRPr="0009535A">
        <w:rPr>
          <w:rStyle w:val="FootnoteReference"/>
        </w:rPr>
        <w:footnoteRef/>
      </w:r>
      <w:r w:rsidRPr="0009535A">
        <w:t xml:space="preserve">Tongat, </w:t>
      </w:r>
      <w:r w:rsidRPr="0009535A">
        <w:rPr>
          <w:i/>
        </w:rPr>
        <w:t>Op. Cit.</w:t>
      </w:r>
      <w:r w:rsidRPr="0009535A">
        <w:t>, h. 86</w:t>
      </w:r>
    </w:p>
  </w:footnote>
  <w:footnote w:id="17">
    <w:p w:rsidR="00483A65" w:rsidRPr="0009535A" w:rsidRDefault="00483A65" w:rsidP="00483A65">
      <w:pPr>
        <w:pStyle w:val="FootnoteText"/>
        <w:ind w:firstLine="720"/>
        <w:jc w:val="both"/>
      </w:pPr>
      <w:r w:rsidRPr="0009535A">
        <w:rPr>
          <w:rStyle w:val="FootnoteReference"/>
        </w:rPr>
        <w:footnoteRef/>
      </w:r>
      <w:r w:rsidRPr="0009535A">
        <w:rPr>
          <w:i/>
        </w:rPr>
        <w:t>Ibid</w:t>
      </w:r>
      <w:r w:rsidRPr="0009535A">
        <w:t>, h.87</w:t>
      </w:r>
    </w:p>
  </w:footnote>
  <w:footnote w:id="18">
    <w:p w:rsidR="00483A65" w:rsidRPr="005D740D" w:rsidRDefault="00483A65" w:rsidP="00483A65">
      <w:pPr>
        <w:pStyle w:val="Default"/>
        <w:jc w:val="both"/>
        <w:rPr>
          <w:rFonts w:ascii="Times New Roman" w:hAnsi="Times New Roman" w:cs="Times New Roman"/>
          <w:sz w:val="20"/>
          <w:szCs w:val="20"/>
        </w:rPr>
      </w:pPr>
      <w:r w:rsidRPr="005D740D">
        <w:rPr>
          <w:rFonts w:ascii="Times New Roman" w:hAnsi="Times New Roman" w:cs="Times New Roman"/>
          <w:sz w:val="20"/>
          <w:szCs w:val="20"/>
        </w:rPr>
        <w:tab/>
      </w:r>
      <w:r w:rsidRPr="005D740D">
        <w:rPr>
          <w:rStyle w:val="FootnoteReference"/>
          <w:sz w:val="20"/>
          <w:szCs w:val="20"/>
        </w:rPr>
        <w:footnoteRef/>
      </w:r>
      <w:r w:rsidRPr="005D740D">
        <w:rPr>
          <w:rFonts w:ascii="Times New Roman" w:hAnsi="Times New Roman" w:cs="Times New Roman"/>
          <w:sz w:val="20"/>
          <w:szCs w:val="20"/>
        </w:rPr>
        <w:t xml:space="preserve">Moeljatno, </w:t>
      </w:r>
      <w:r w:rsidRPr="005D740D">
        <w:rPr>
          <w:rFonts w:ascii="Times New Roman" w:hAnsi="Times New Roman" w:cs="Times New Roman"/>
          <w:i/>
          <w:iCs/>
          <w:sz w:val="20"/>
          <w:szCs w:val="20"/>
        </w:rPr>
        <w:t>Asas-Asas Hukum Pidana</w:t>
      </w:r>
      <w:r w:rsidRPr="005D740D">
        <w:rPr>
          <w:rFonts w:ascii="Times New Roman" w:hAnsi="Times New Roman" w:cs="Times New Roman"/>
          <w:sz w:val="20"/>
          <w:szCs w:val="20"/>
        </w:rPr>
        <w:t xml:space="preserve">, Edisi Revisi, Rineka Cipta, Jakarta, 2018, hlm. 71   </w:t>
      </w:r>
    </w:p>
  </w:footnote>
  <w:footnote w:id="19">
    <w:p w:rsidR="00483A65" w:rsidRPr="005D740D" w:rsidRDefault="00483A65" w:rsidP="00483A65">
      <w:pPr>
        <w:pStyle w:val="Default"/>
        <w:jc w:val="both"/>
        <w:rPr>
          <w:rFonts w:ascii="Times New Roman" w:hAnsi="Times New Roman" w:cs="Times New Roman"/>
          <w:sz w:val="20"/>
          <w:szCs w:val="20"/>
        </w:rPr>
      </w:pPr>
      <w:r w:rsidRPr="005D740D">
        <w:rPr>
          <w:rFonts w:ascii="Times New Roman" w:hAnsi="Times New Roman" w:cs="Times New Roman"/>
          <w:sz w:val="20"/>
          <w:szCs w:val="20"/>
        </w:rPr>
        <w:tab/>
      </w:r>
      <w:r w:rsidRPr="005D740D">
        <w:rPr>
          <w:rStyle w:val="FootnoteReference"/>
          <w:sz w:val="20"/>
          <w:szCs w:val="20"/>
        </w:rPr>
        <w:footnoteRef/>
      </w:r>
      <w:r w:rsidRPr="005D740D">
        <w:rPr>
          <w:rFonts w:ascii="Times New Roman" w:hAnsi="Times New Roman" w:cs="Times New Roman"/>
          <w:sz w:val="20"/>
          <w:szCs w:val="20"/>
        </w:rPr>
        <w:t xml:space="preserve"> Topo Santoso dan Eva Achjani Zulfa, </w:t>
      </w:r>
      <w:r w:rsidRPr="005D740D">
        <w:rPr>
          <w:rFonts w:ascii="Times New Roman" w:hAnsi="Times New Roman" w:cs="Times New Roman"/>
          <w:i/>
          <w:iCs/>
          <w:sz w:val="20"/>
          <w:szCs w:val="20"/>
        </w:rPr>
        <w:t>Op.Cit</w:t>
      </w:r>
      <w:r w:rsidRPr="005D740D">
        <w:rPr>
          <w:rFonts w:ascii="Times New Roman" w:hAnsi="Times New Roman" w:cs="Times New Roman"/>
          <w:i/>
          <w:sz w:val="20"/>
          <w:szCs w:val="20"/>
        </w:rPr>
        <w:t xml:space="preserve">, </w:t>
      </w:r>
      <w:r w:rsidRPr="005D740D">
        <w:rPr>
          <w:rFonts w:ascii="Times New Roman" w:hAnsi="Times New Roman" w:cs="Times New Roman"/>
          <w:sz w:val="20"/>
          <w:szCs w:val="20"/>
        </w:rPr>
        <w:t>hlm.11</w:t>
      </w:r>
    </w:p>
  </w:footnote>
  <w:footnote w:id="20">
    <w:p w:rsidR="00483A65" w:rsidRPr="005D740D" w:rsidRDefault="00483A65" w:rsidP="00483A65">
      <w:pPr>
        <w:pStyle w:val="FootnoteText"/>
      </w:pPr>
      <w:r w:rsidRPr="005D740D">
        <w:tab/>
      </w:r>
      <w:r w:rsidRPr="005D740D">
        <w:rPr>
          <w:rStyle w:val="FootnoteReference"/>
        </w:rPr>
        <w:footnoteRef/>
      </w:r>
      <w:r w:rsidRPr="005D740D">
        <w:t xml:space="preserve"> A.S. Alam, </w:t>
      </w:r>
      <w:r w:rsidRPr="005D740D">
        <w:rPr>
          <w:i/>
          <w:iCs/>
        </w:rPr>
        <w:t>Pengantar Kriminologi</w:t>
      </w:r>
      <w:r w:rsidRPr="005D740D">
        <w:t>. Penerbit Pustaka Refleksi : Makassar, 2012, hlm.2.</w:t>
      </w:r>
    </w:p>
  </w:footnote>
  <w:footnote w:id="21">
    <w:p w:rsidR="00483A65" w:rsidRPr="005D740D" w:rsidRDefault="00483A65" w:rsidP="00483A65">
      <w:pPr>
        <w:pStyle w:val="FootnoteText"/>
      </w:pPr>
      <w:r w:rsidRPr="005D740D">
        <w:tab/>
      </w:r>
      <w:r w:rsidRPr="005D740D">
        <w:rPr>
          <w:rStyle w:val="FootnoteReference"/>
        </w:rPr>
        <w:footnoteRef/>
      </w:r>
      <w:r w:rsidRPr="005D740D">
        <w:t xml:space="preserve"> Mulyana W, Kusumah, </w:t>
      </w:r>
      <w:r w:rsidRPr="005D740D">
        <w:rPr>
          <w:i/>
          <w:iCs/>
        </w:rPr>
        <w:t>Kejahatan dan Penyimpangan : Suatu Perspektif Kriminologi</w:t>
      </w:r>
      <w:r w:rsidRPr="005D740D">
        <w:t>; YLBHI, 2018, hlm.40</w:t>
      </w:r>
    </w:p>
  </w:footnote>
  <w:footnote w:id="22">
    <w:p w:rsidR="00483A65" w:rsidRPr="005D740D" w:rsidRDefault="00483A65" w:rsidP="00483A65">
      <w:pPr>
        <w:pStyle w:val="FootnoteText"/>
      </w:pPr>
      <w:r w:rsidRPr="005D740D">
        <w:tab/>
      </w:r>
      <w:r w:rsidRPr="005D740D">
        <w:rPr>
          <w:rStyle w:val="FootnoteReference"/>
        </w:rPr>
        <w:footnoteRef/>
      </w:r>
      <w:r w:rsidRPr="005D740D">
        <w:rPr>
          <w:color w:val="000000"/>
        </w:rPr>
        <w:t xml:space="preserve">Topo Santoso dan Eva Achjani Zulfa, </w:t>
      </w:r>
      <w:r w:rsidRPr="005D740D">
        <w:rPr>
          <w:i/>
          <w:color w:val="000000"/>
        </w:rPr>
        <w:t>Op.Cit</w:t>
      </w:r>
      <w:r w:rsidRPr="005D740D">
        <w:rPr>
          <w:color w:val="000000"/>
        </w:rPr>
        <w:t>, hlm.24-25.</w:t>
      </w:r>
    </w:p>
  </w:footnote>
  <w:footnote w:id="23">
    <w:p w:rsidR="00483A65" w:rsidRPr="005D740D" w:rsidRDefault="00483A65" w:rsidP="00483A65">
      <w:pPr>
        <w:pStyle w:val="FootnoteText"/>
      </w:pPr>
      <w:r w:rsidRPr="005D740D">
        <w:tab/>
      </w:r>
      <w:r w:rsidRPr="005D740D">
        <w:rPr>
          <w:rStyle w:val="FootnoteReference"/>
        </w:rPr>
        <w:footnoteRef/>
      </w:r>
      <w:r w:rsidRPr="005D740D">
        <w:rPr>
          <w:i/>
        </w:rPr>
        <w:t>Ibid</w:t>
      </w:r>
      <w:r w:rsidRPr="005D740D">
        <w:t>, hlm.26.</w:t>
      </w:r>
    </w:p>
  </w:footnote>
  <w:footnote w:id="24">
    <w:p w:rsidR="00483A65" w:rsidRPr="005D740D" w:rsidRDefault="00483A65" w:rsidP="00483A65">
      <w:pPr>
        <w:pStyle w:val="FootnoteText"/>
      </w:pPr>
      <w:r w:rsidRPr="005D740D">
        <w:tab/>
      </w:r>
      <w:r w:rsidRPr="005D740D">
        <w:rPr>
          <w:rStyle w:val="FootnoteReference"/>
        </w:rPr>
        <w:footnoteRef/>
      </w:r>
      <w:r w:rsidRPr="005D740D">
        <w:rPr>
          <w:i/>
        </w:rPr>
        <w:t>Ibid</w:t>
      </w:r>
      <w:r w:rsidRPr="005D740D">
        <w:t>, hlm.27.</w:t>
      </w:r>
    </w:p>
  </w:footnote>
  <w:footnote w:id="25">
    <w:p w:rsidR="00483A65" w:rsidRPr="005D740D" w:rsidRDefault="00483A65" w:rsidP="00483A65">
      <w:pPr>
        <w:pStyle w:val="FootnoteText"/>
      </w:pPr>
      <w:r w:rsidRPr="005D740D">
        <w:tab/>
      </w:r>
      <w:r w:rsidRPr="005D740D">
        <w:rPr>
          <w:rStyle w:val="FootnoteReference"/>
        </w:rPr>
        <w:footnoteRef/>
      </w:r>
      <w:r w:rsidRPr="005D740D">
        <w:rPr>
          <w:i/>
        </w:rPr>
        <w:t>Ibid</w:t>
      </w:r>
      <w:r w:rsidRPr="005D740D">
        <w:t>, hlm.28-29.</w:t>
      </w:r>
    </w:p>
  </w:footnote>
  <w:footnote w:id="26">
    <w:p w:rsidR="00483A65" w:rsidRPr="0009535A" w:rsidRDefault="00483A65" w:rsidP="00483A65">
      <w:pPr>
        <w:pStyle w:val="Default"/>
        <w:jc w:val="both"/>
        <w:rPr>
          <w:rFonts w:ascii="Times New Roman" w:hAnsi="Times New Roman" w:cs="Times New Roman"/>
          <w:sz w:val="20"/>
          <w:szCs w:val="20"/>
        </w:rPr>
      </w:pPr>
      <w:r w:rsidRPr="0009535A">
        <w:rPr>
          <w:rFonts w:ascii="Times New Roman" w:hAnsi="Times New Roman" w:cs="Times New Roman"/>
          <w:sz w:val="20"/>
          <w:szCs w:val="20"/>
        </w:rPr>
        <w:tab/>
      </w:r>
      <w:r w:rsidRPr="0009535A">
        <w:rPr>
          <w:rStyle w:val="FootnoteReference"/>
          <w:sz w:val="20"/>
          <w:szCs w:val="20"/>
        </w:rPr>
        <w:footnoteRef/>
      </w:r>
      <w:r w:rsidRPr="0009535A">
        <w:rPr>
          <w:rFonts w:ascii="Times New Roman" w:hAnsi="Times New Roman" w:cs="Times New Roman"/>
          <w:sz w:val="20"/>
          <w:szCs w:val="20"/>
        </w:rPr>
        <w:t xml:space="preserve"> Topo Santoso dan Eva Achjani Zulfa, </w:t>
      </w:r>
      <w:r w:rsidRPr="0009535A">
        <w:rPr>
          <w:rFonts w:ascii="Times New Roman" w:hAnsi="Times New Roman" w:cs="Times New Roman"/>
          <w:i/>
          <w:iCs/>
          <w:sz w:val="20"/>
          <w:szCs w:val="20"/>
        </w:rPr>
        <w:t>Kriminologi</w:t>
      </w:r>
      <w:r w:rsidRPr="0009535A">
        <w:rPr>
          <w:rFonts w:ascii="Times New Roman" w:hAnsi="Times New Roman" w:cs="Times New Roman"/>
          <w:sz w:val="20"/>
          <w:szCs w:val="20"/>
        </w:rPr>
        <w:t>, Raja Grafindo Perkasa, Jakarta, 2014, hlm.10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703442">
    <w:pPr>
      <w:pStyle w:val="Header"/>
    </w:pPr>
    <w:r w:rsidRPr="007034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DA" w:rsidRPr="00246BAF" w:rsidRDefault="009B1EDA" w:rsidP="009B1EDA">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873703" w:rsidRDefault="00703442">
    <w:pPr>
      <w:pStyle w:val="Header"/>
      <w:jc w:val="right"/>
    </w:pPr>
    <w:r w:rsidRPr="00703442">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5412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703442">
    <w:pPr>
      <w:pStyle w:val="Header"/>
    </w:pPr>
    <w:r w:rsidRPr="007034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635"/>
    <w:multiLevelType w:val="hybridMultilevel"/>
    <w:tmpl w:val="0A9EA942"/>
    <w:lvl w:ilvl="0" w:tplc="F5EE45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25B6CCA"/>
    <w:multiLevelType w:val="hybridMultilevel"/>
    <w:tmpl w:val="DC16D610"/>
    <w:lvl w:ilvl="0" w:tplc="A022CD6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8463BA"/>
    <w:multiLevelType w:val="hybridMultilevel"/>
    <w:tmpl w:val="5C0A6BDC"/>
    <w:lvl w:ilvl="0" w:tplc="7130B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54452"/>
    <w:multiLevelType w:val="hybridMultilevel"/>
    <w:tmpl w:val="87600B4E"/>
    <w:lvl w:ilvl="0" w:tplc="DFA08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06F36"/>
    <w:multiLevelType w:val="hybridMultilevel"/>
    <w:tmpl w:val="04687A58"/>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2212998E">
      <w:start w:val="1"/>
      <w:numFmt w:val="lowerLetter"/>
      <w:lvlText w:val="%4."/>
      <w:lvlJc w:val="left"/>
      <w:pPr>
        <w:tabs>
          <w:tab w:val="num" w:pos="2880"/>
        </w:tabs>
        <w:ind w:left="2880" w:hanging="360"/>
      </w:pPr>
      <w:rPr>
        <w:rFonts w:ascii="Arial" w:eastAsia="Times New Roman" w:hAnsi="Arial" w:cs="Arial"/>
        <w:b w:val="0"/>
      </w:rPr>
    </w:lvl>
    <w:lvl w:ilvl="4" w:tplc="F14A2312">
      <w:start w:val="1"/>
      <w:numFmt w:val="lowerLetter"/>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rPr>
        <w:rFonts w:cs="Times New Roman"/>
      </w:rPr>
    </w:lvl>
    <w:lvl w:ilvl="6" w:tplc="F222A650">
      <w:start w:val="1"/>
      <w:numFmt w:val="decimal"/>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3E70D33"/>
    <w:multiLevelType w:val="hybridMultilevel"/>
    <w:tmpl w:val="D8864C4E"/>
    <w:lvl w:ilvl="0" w:tplc="DCF2CF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5C5492"/>
    <w:multiLevelType w:val="hybridMultilevel"/>
    <w:tmpl w:val="6826ED86"/>
    <w:lvl w:ilvl="0" w:tplc="A4FA9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D10B1"/>
    <w:multiLevelType w:val="hybridMultilevel"/>
    <w:tmpl w:val="EFAC5CD0"/>
    <w:lvl w:ilvl="0" w:tplc="3D2AC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E717F"/>
    <w:multiLevelType w:val="hybridMultilevel"/>
    <w:tmpl w:val="CF0ED942"/>
    <w:lvl w:ilvl="0" w:tplc="5E5C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54224"/>
    <w:multiLevelType w:val="hybridMultilevel"/>
    <w:tmpl w:val="207CAAA4"/>
    <w:lvl w:ilvl="0" w:tplc="E5E412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F460730"/>
    <w:multiLevelType w:val="hybridMultilevel"/>
    <w:tmpl w:val="887681EC"/>
    <w:lvl w:ilvl="0" w:tplc="CFE89FC0">
      <w:start w:val="1"/>
      <w:numFmt w:val="decimal"/>
      <w:lvlText w:val="%1."/>
      <w:lvlJc w:val="left"/>
      <w:pPr>
        <w:tabs>
          <w:tab w:val="num" w:pos="720"/>
        </w:tabs>
        <w:ind w:left="720" w:hanging="360"/>
      </w:pPr>
      <w:rPr>
        <w:rFonts w:cs="Times New Roman" w:hint="default"/>
      </w:rPr>
    </w:lvl>
    <w:lvl w:ilvl="1" w:tplc="25882C2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355"/>
        </w:tabs>
        <w:ind w:left="2355" w:hanging="375"/>
      </w:pPr>
      <w:rPr>
        <w:rFonts w:cs="Times New Roman" w:hint="default"/>
      </w:rPr>
    </w:lvl>
    <w:lvl w:ilvl="3" w:tplc="FF3E9360">
      <w:start w:val="1"/>
      <w:numFmt w:val="decimal"/>
      <w:lvlText w:val="%4."/>
      <w:lvlJc w:val="left"/>
      <w:pPr>
        <w:ind w:left="2880" w:hanging="360"/>
      </w:pPr>
      <w:rPr>
        <w:rFonts w:ascii="Times New Roman" w:eastAsia="Times New Roman" w:hAnsi="Times New Roman" w:cs="Times New Roman"/>
        <w:b w:val="0"/>
        <w:sz w:val="24"/>
        <w:szCs w:val="24"/>
      </w:rPr>
    </w:lvl>
    <w:lvl w:ilvl="4" w:tplc="12801792">
      <w:start w:val="1"/>
      <w:numFmt w:val="decimal"/>
      <w:lvlText w:val="%5)"/>
      <w:lvlJc w:val="left"/>
      <w:pPr>
        <w:ind w:left="3600" w:hanging="360"/>
      </w:pPr>
      <w:rPr>
        <w:rFonts w:ascii="Times New Roman" w:eastAsia="Times New Roman" w:hAnsi="Times New Roman" w:cs="Times New Roman" w:hint="default"/>
        <w:b w:val="0"/>
        <w:sz w:val="24"/>
        <w:szCs w:val="24"/>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FE40AD0">
      <w:start w:val="6"/>
      <w:numFmt w:val="upperLetter"/>
      <w:lvlText w:val="%8&gt;"/>
      <w:lvlJc w:val="left"/>
      <w:pPr>
        <w:ind w:left="5760" w:hanging="360"/>
      </w:pPr>
      <w:rPr>
        <w:rFonts w:hint="default"/>
      </w:rPr>
    </w:lvl>
    <w:lvl w:ilvl="8" w:tplc="D68084C2">
      <w:start w:val="1"/>
      <w:numFmt w:val="upperLetter"/>
      <w:lvlText w:val="%9."/>
      <w:lvlJc w:val="left"/>
      <w:pPr>
        <w:ind w:left="6660" w:hanging="360"/>
      </w:pPr>
      <w:rPr>
        <w:rFonts w:hint="default"/>
        <w:color w:val="000000"/>
        <w:sz w:val="23"/>
      </w:rPr>
    </w:lvl>
  </w:abstractNum>
  <w:abstractNum w:abstractNumId="12">
    <w:nsid w:val="57D67D0E"/>
    <w:multiLevelType w:val="multilevel"/>
    <w:tmpl w:val="B94046C8"/>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5C394258"/>
    <w:multiLevelType w:val="multilevel"/>
    <w:tmpl w:val="BE5EADBC"/>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3B56A52"/>
    <w:multiLevelType w:val="multilevel"/>
    <w:tmpl w:val="77A8D688"/>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7276124"/>
    <w:multiLevelType w:val="hybridMultilevel"/>
    <w:tmpl w:val="F3DA77EE"/>
    <w:lvl w:ilvl="0" w:tplc="B73C1D7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97F03E28">
      <w:start w:val="1"/>
      <w:numFmt w:val="decimal"/>
      <w:lvlText w:val="%5."/>
      <w:lvlJc w:val="left"/>
      <w:pPr>
        <w:ind w:left="4320" w:hanging="360"/>
      </w:pPr>
      <w:rPr>
        <w:rFonts w:ascii="Times New Roman" w:eastAsia="Times New Roman" w:hAnsi="Times New Roman" w:cs="Times New Roman"/>
      </w:rPr>
    </w:lvl>
    <w:lvl w:ilvl="5" w:tplc="55D6875A">
      <w:start w:val="1"/>
      <w:numFmt w:val="decimal"/>
      <w:lvlText w:val="%6)"/>
      <w:lvlJc w:val="right"/>
      <w:pPr>
        <w:ind w:left="5040" w:hanging="180"/>
      </w:pPr>
      <w:rPr>
        <w:rFonts w:ascii="Times New Roman" w:eastAsia="Times New Roman" w:hAnsi="Times New Roman"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78831A1B"/>
    <w:multiLevelType w:val="hybridMultilevel"/>
    <w:tmpl w:val="41B2B994"/>
    <w:lvl w:ilvl="0" w:tplc="4AAE8B42">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11"/>
  </w:num>
  <w:num w:numId="7">
    <w:abstractNumId w:val="6"/>
  </w:num>
  <w:num w:numId="8">
    <w:abstractNumId w:val="10"/>
  </w:num>
  <w:num w:numId="9">
    <w:abstractNumId w:val="2"/>
  </w:num>
  <w:num w:numId="10">
    <w:abstractNumId w:val="13"/>
    <w:lvlOverride w:ilvl="0">
      <w:startOverride w:val="1"/>
    </w:lvlOverride>
  </w:num>
  <w:num w:numId="11">
    <w:abstractNumId w:val="3"/>
  </w:num>
  <w:num w:numId="12">
    <w:abstractNumId w:val="1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8"/>
  </w:num>
  <w:num w:numId="1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qtKN1VIu8RZF5a/psnTYGtqMlko=" w:salt="P7bamQIEoo+XlWuIJnsZH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316F1F"/>
    <w:rsid w:val="00366F65"/>
    <w:rsid w:val="00483A65"/>
    <w:rsid w:val="00541274"/>
    <w:rsid w:val="00703442"/>
    <w:rsid w:val="008204BA"/>
    <w:rsid w:val="008D442A"/>
    <w:rsid w:val="0099226A"/>
    <w:rsid w:val="009B1EDA"/>
    <w:rsid w:val="009F53FF"/>
    <w:rsid w:val="00A73316"/>
    <w:rsid w:val="00C95C26"/>
    <w:rsid w:val="00D35656"/>
    <w:rsid w:val="00D868D1"/>
    <w:rsid w:val="00E07730"/>
    <w:rsid w:val="00F254C3"/>
    <w:rsid w:val="00F40725"/>
    <w:rsid w:val="00F433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Footnote Text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2025-11-21T07:50:00Z</dcterms:created>
  <dcterms:modified xsi:type="dcterms:W3CDTF">2025-11-21T07:50:00Z</dcterms:modified>
</cp:coreProperties>
</file>