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276" w:rsidRDefault="004B3276" w:rsidP="004B3276">
      <w:pPr>
        <w:pStyle w:val="Default"/>
        <w:spacing w:line="456" w:lineRule="auto"/>
        <w:jc w:val="center"/>
        <w:rPr>
          <w:b/>
        </w:rPr>
      </w:pPr>
      <w:r>
        <w:rPr>
          <w:b/>
        </w:rPr>
        <w:t>BAB IV</w:t>
      </w:r>
    </w:p>
    <w:p w:rsidR="004B3276" w:rsidRPr="002F7A2D" w:rsidRDefault="004B3276" w:rsidP="004B3276">
      <w:pPr>
        <w:pStyle w:val="Default"/>
        <w:spacing w:line="456" w:lineRule="auto"/>
        <w:jc w:val="center"/>
        <w:rPr>
          <w:b/>
        </w:rPr>
      </w:pPr>
      <w:r>
        <w:rPr>
          <w:b/>
        </w:rPr>
        <w:t>HASIL PENELITIAN DAN PEMBAHASAN</w:t>
      </w:r>
    </w:p>
    <w:p w:rsidR="004B3276" w:rsidRPr="002F7A2D" w:rsidRDefault="004B3276" w:rsidP="000A35B7">
      <w:pPr>
        <w:pStyle w:val="Default"/>
        <w:numPr>
          <w:ilvl w:val="1"/>
          <w:numId w:val="6"/>
        </w:numPr>
        <w:spacing w:line="456" w:lineRule="auto"/>
        <w:ind w:left="360"/>
        <w:jc w:val="both"/>
        <w:rPr>
          <w:b/>
        </w:rPr>
      </w:pPr>
      <w:r w:rsidRPr="002F7A2D">
        <w:rPr>
          <w:rFonts w:eastAsia="Arial"/>
          <w:b/>
        </w:rPr>
        <w:t xml:space="preserve">Pengaturan Hukum Tanggung Renteng Dalam Perjanjian Hutang Piutang </w:t>
      </w:r>
    </w:p>
    <w:p w:rsidR="004B3276" w:rsidRDefault="004B3276" w:rsidP="004B3276">
      <w:pPr>
        <w:pStyle w:val="Default"/>
        <w:spacing w:line="480" w:lineRule="auto"/>
        <w:ind w:firstLine="720"/>
        <w:jc w:val="both"/>
      </w:pPr>
      <w:r w:rsidRPr="00476DA8">
        <w:t>KUHPerdata tidak memberikan satu pengertian atau definisi perikatan tanggung menanggung atau perikatan tanggung renteng.</w:t>
      </w:r>
      <w:r w:rsidRPr="00476DA8">
        <w:rPr>
          <w:rStyle w:val="FootnoteReference"/>
        </w:rPr>
        <w:footnoteReference w:id="2"/>
      </w:r>
      <w:r w:rsidRPr="00476DA8">
        <w:t xml:space="preserve"> Berdasarkan ketentuan Pasal 1278 KUHPerdata </w:t>
      </w:r>
      <w:r>
        <w:t xml:space="preserve">: </w:t>
      </w:r>
      <w:r w:rsidRPr="00476DA8">
        <w:t>“Suatu perikatan tanggung-menanggung atau perikatan tanggung renteng terjadi antara beberapa kreditur, jika dalam bukti persetujuan secara tegas kepada masing-masing diberikan hak untuk menuntut pemenuhan seluru hutang, sedangkan pembayaran yang dilakukan kepada salah seorang di antara mereka, membebaskan debitur meskipun perikatan itu menurut sifatnya dapat dipecah dan dibagi antara para kreditur tadi.”</w:t>
      </w:r>
    </w:p>
    <w:p w:rsidR="004B3276" w:rsidRPr="00476DA8" w:rsidRDefault="004B3276" w:rsidP="004B3276">
      <w:pPr>
        <w:pStyle w:val="Default"/>
        <w:spacing w:line="480" w:lineRule="auto"/>
        <w:ind w:firstLine="720"/>
        <w:jc w:val="both"/>
      </w:pPr>
      <w:r w:rsidRPr="00476DA8">
        <w:t>Pasal 1280 KUHPerdata :</w:t>
      </w:r>
      <w:r>
        <w:t xml:space="preserve"> </w:t>
      </w:r>
      <w:r w:rsidRPr="00476DA8">
        <w:t>“Di pihak para debitur terjadi suatu perikatan tanggung-menanggung, manakala mereka semua wajib melaksanakan satu hal yang sama, sedemikian rupa sehingga salah satu dapat dituntut untuk seluruhnya, dan pelunasan oleh salah satu dapat membebaskan debitur lainnya terhadap kreditur.”</w:t>
      </w:r>
    </w:p>
    <w:p w:rsidR="004B3276" w:rsidRPr="00476DA8" w:rsidRDefault="004B3276" w:rsidP="004B3276">
      <w:pPr>
        <w:pStyle w:val="Default"/>
        <w:spacing w:line="480" w:lineRule="auto"/>
        <w:ind w:firstLine="720"/>
        <w:jc w:val="both"/>
      </w:pPr>
      <w:r w:rsidRPr="00476DA8">
        <w:t>Perjanjian tanggungrenteng adalah :</w:t>
      </w:r>
    </w:p>
    <w:p w:rsidR="004B3276" w:rsidRPr="00476DA8" w:rsidRDefault="004B3276" w:rsidP="000A35B7">
      <w:pPr>
        <w:pStyle w:val="Default"/>
        <w:numPr>
          <w:ilvl w:val="3"/>
          <w:numId w:val="5"/>
        </w:numPr>
        <w:tabs>
          <w:tab w:val="left" w:pos="851"/>
        </w:tabs>
        <w:ind w:left="851" w:hanging="425"/>
        <w:jc w:val="both"/>
      </w:pPr>
      <w:r w:rsidRPr="00476DA8">
        <w:t>Suatu perikatan dengan lebih dari satu kreditur di satu sisi dengan satu debitur, di sisi lain.</w:t>
      </w:r>
    </w:p>
    <w:p w:rsidR="004B3276" w:rsidRPr="00476DA8" w:rsidRDefault="004B3276" w:rsidP="000A35B7">
      <w:pPr>
        <w:pStyle w:val="Default"/>
        <w:numPr>
          <w:ilvl w:val="3"/>
          <w:numId w:val="5"/>
        </w:numPr>
        <w:tabs>
          <w:tab w:val="left" w:pos="851"/>
        </w:tabs>
        <w:ind w:left="851" w:hanging="425"/>
        <w:jc w:val="both"/>
      </w:pPr>
      <w:r w:rsidRPr="00476DA8">
        <w:t>Suatu perikatan dengan lebih dari satu debitur pada satu sisi dengan satu kreditur pada sisi lain.</w:t>
      </w:r>
    </w:p>
    <w:p w:rsidR="004B3276" w:rsidRPr="00476DA8" w:rsidRDefault="004B3276" w:rsidP="000A35B7">
      <w:pPr>
        <w:pStyle w:val="Default"/>
        <w:numPr>
          <w:ilvl w:val="3"/>
          <w:numId w:val="5"/>
        </w:numPr>
        <w:tabs>
          <w:tab w:val="left" w:pos="851"/>
        </w:tabs>
        <w:ind w:left="851" w:hanging="425"/>
        <w:jc w:val="both"/>
      </w:pPr>
      <w:r w:rsidRPr="00476DA8">
        <w:t>Suatu perikatan dengan lebih dari satu kreditur di satu sisi dengan lebih dari satu debitur, di sisi lain, dimana :</w:t>
      </w:r>
    </w:p>
    <w:p w:rsidR="004B3276" w:rsidRPr="00476DA8" w:rsidRDefault="004B3276" w:rsidP="000A35B7">
      <w:pPr>
        <w:pStyle w:val="Default"/>
        <w:numPr>
          <w:ilvl w:val="7"/>
          <w:numId w:val="3"/>
        </w:numPr>
        <w:tabs>
          <w:tab w:val="left" w:pos="851"/>
        </w:tabs>
        <w:ind w:left="1211"/>
        <w:jc w:val="both"/>
      </w:pPr>
      <w:r w:rsidRPr="00476DA8">
        <w:t>Dalam hal terdapat lebih dari satu kreditur, masing-masing kreditur berhak untuk menuntut pemenuhan perikatannya dari debitur;</w:t>
      </w:r>
    </w:p>
    <w:p w:rsidR="004B3276" w:rsidRPr="00476DA8" w:rsidRDefault="004B3276" w:rsidP="000A35B7">
      <w:pPr>
        <w:pStyle w:val="Default"/>
        <w:numPr>
          <w:ilvl w:val="7"/>
          <w:numId w:val="3"/>
        </w:numPr>
        <w:tabs>
          <w:tab w:val="left" w:pos="851"/>
        </w:tabs>
        <w:ind w:left="1211"/>
        <w:jc w:val="both"/>
      </w:pPr>
      <w:r w:rsidRPr="00476DA8">
        <w:lastRenderedPageBreak/>
        <w:t>Dalam hal terdapat lebih dari satu debitur, masing-masing debitur dapat dituntut untuk memenuhi seluruh isi perikatannya oleh kreditur;</w:t>
      </w:r>
    </w:p>
    <w:p w:rsidR="004B3276" w:rsidRPr="00476DA8" w:rsidRDefault="004B3276" w:rsidP="000A35B7">
      <w:pPr>
        <w:pStyle w:val="Default"/>
        <w:numPr>
          <w:ilvl w:val="7"/>
          <w:numId w:val="3"/>
        </w:numPr>
        <w:tabs>
          <w:tab w:val="left" w:pos="851"/>
        </w:tabs>
        <w:ind w:left="1211"/>
        <w:jc w:val="both"/>
      </w:pPr>
      <w:r w:rsidRPr="00476DA8">
        <w:t>Dalam hal terdapat lebih dari satu kreditur, pemenuhan perikatan kepada salah satu kreditur adalah pemenuhan perikatan kepada semua kreditur;</w:t>
      </w:r>
    </w:p>
    <w:p w:rsidR="004B3276" w:rsidRPr="00476DA8" w:rsidRDefault="004B3276" w:rsidP="000A35B7">
      <w:pPr>
        <w:pStyle w:val="Default"/>
        <w:numPr>
          <w:ilvl w:val="7"/>
          <w:numId w:val="3"/>
        </w:numPr>
        <w:tabs>
          <w:tab w:val="left" w:pos="851"/>
        </w:tabs>
        <w:ind w:left="1211"/>
        <w:jc w:val="both"/>
      </w:pPr>
      <w:r w:rsidRPr="00476DA8">
        <w:t>Dalam hal terdapat lebih dari satu debitur, pemenuhan perikatan oleh salah satu debitur adalah pemenuhan perikatan oleh semua debitur.</w:t>
      </w:r>
      <w:r w:rsidRPr="00476DA8">
        <w:rPr>
          <w:rStyle w:val="FootnoteReference"/>
        </w:rPr>
        <w:footnoteReference w:id="3"/>
      </w:r>
    </w:p>
    <w:p w:rsidR="004B3276" w:rsidRPr="00476DA8" w:rsidRDefault="004B3276" w:rsidP="004B3276">
      <w:pPr>
        <w:pStyle w:val="Default"/>
        <w:tabs>
          <w:tab w:val="left" w:pos="851"/>
        </w:tabs>
        <w:jc w:val="both"/>
      </w:pPr>
    </w:p>
    <w:p w:rsidR="004B3276" w:rsidRPr="00476DA8" w:rsidRDefault="004B3276" w:rsidP="004B3276">
      <w:pPr>
        <w:pStyle w:val="Default"/>
        <w:spacing w:line="516" w:lineRule="auto"/>
        <w:ind w:firstLine="720"/>
        <w:jc w:val="both"/>
      </w:pPr>
      <w:r w:rsidRPr="00476DA8">
        <w:t>Berdasarkan hal tersebut di atas, maka dikenal adanya dua macam perjanjian tanggung renteng atau perjanjian tanggung menanggung, yaitu:</w:t>
      </w:r>
    </w:p>
    <w:p w:rsidR="004B3276" w:rsidRPr="00476DA8" w:rsidRDefault="004B3276" w:rsidP="000A35B7">
      <w:pPr>
        <w:pStyle w:val="Default"/>
        <w:numPr>
          <w:ilvl w:val="2"/>
          <w:numId w:val="4"/>
        </w:numPr>
        <w:tabs>
          <w:tab w:val="clear" w:pos="2160"/>
        </w:tabs>
        <w:spacing w:line="516" w:lineRule="auto"/>
        <w:ind w:left="360"/>
        <w:jc w:val="both"/>
      </w:pPr>
      <w:r w:rsidRPr="00476DA8">
        <w:t xml:space="preserve">Perjanjian tanggung renteng atau perikatan tanggung menangung yang bersifat aktif, yaitu suatu perikatan dengan lebih dari satu kreditur, dimana masing-masing kreditur berhak untuk menuntut pemenuhan perikatannya dari debitur, dan pemenuhan perikatan kepada salah satu kreditur adalah pemenuhan perikatan kepada semua kreditur; </w:t>
      </w:r>
    </w:p>
    <w:p w:rsidR="004B3276" w:rsidRPr="00476DA8" w:rsidRDefault="004B3276" w:rsidP="000A35B7">
      <w:pPr>
        <w:pStyle w:val="Default"/>
        <w:numPr>
          <w:ilvl w:val="2"/>
          <w:numId w:val="4"/>
        </w:numPr>
        <w:tabs>
          <w:tab w:val="clear" w:pos="2160"/>
          <w:tab w:val="num" w:pos="360"/>
        </w:tabs>
        <w:spacing w:line="516" w:lineRule="auto"/>
        <w:ind w:left="360"/>
        <w:jc w:val="both"/>
      </w:pPr>
      <w:r w:rsidRPr="00476DA8">
        <w:t>Perjanjian tanggung renteng atau perikatan tanggung menangung yang bersifat pasif, yaitu perikatan dengan lebih dari satu debitur, dimana masing-masing debitur dapat dituntut untuk memenuhi seluruh isiperikatannya oleh kreditur, dan pemenuhan perikatan oleh salah satudebitur adalah pemenuhan perikatan oleh semua debitur.</w:t>
      </w:r>
    </w:p>
    <w:p w:rsidR="004B3276" w:rsidRPr="00476DA8" w:rsidRDefault="004B3276" w:rsidP="004B3276">
      <w:pPr>
        <w:pStyle w:val="Default"/>
        <w:spacing w:line="516" w:lineRule="auto"/>
        <w:ind w:firstLine="720"/>
        <w:jc w:val="both"/>
      </w:pPr>
      <w:r w:rsidRPr="00476DA8">
        <w:t>Menurut ketentuan Pasal 1282 KUHPerdata, perjanjian tanggung menanggung baru ada di antara para kreditur dengan debitur, atau kreditur dengan para debitur jika hal tersebut secara tegas dinyatakan dalam perjanjian yang membentuknya. KUHPerdata bemaksud melindungi kepentingan debitur. Dalam kedua jenis perjanjian tanggung menanggung tersebut dapat dilihat bahwa :</w:t>
      </w:r>
    </w:p>
    <w:p w:rsidR="004B3276" w:rsidRPr="00476DA8" w:rsidRDefault="004B3276" w:rsidP="000A35B7">
      <w:pPr>
        <w:pStyle w:val="Default"/>
        <w:numPr>
          <w:ilvl w:val="3"/>
          <w:numId w:val="4"/>
        </w:numPr>
        <w:tabs>
          <w:tab w:val="clear" w:pos="2880"/>
          <w:tab w:val="num" w:pos="360"/>
        </w:tabs>
        <w:spacing w:line="480" w:lineRule="auto"/>
        <w:ind w:left="360"/>
        <w:jc w:val="both"/>
      </w:pPr>
      <w:r w:rsidRPr="00476DA8">
        <w:lastRenderedPageBreak/>
        <w:t>Dalam perikatan tanggung menanggung aktif, masing-masing kreditur berhak untuk menuntut pelaksanaan atau pemenuhan perikatan untuk seluruhnya dari debitur. Tanpa adanya ketegasan bahwa debitur bersedia untuk itu, maka tentunya debitur hanya berkewajiban untuk memenuhi kewajibannya kepada masing-masing kreditur untuk bagian piutang masing-masing dan tidak untuk seluruh piutang mereka;</w:t>
      </w:r>
    </w:p>
    <w:p w:rsidR="004B3276" w:rsidRPr="00476DA8" w:rsidRDefault="004B3276" w:rsidP="000A35B7">
      <w:pPr>
        <w:pStyle w:val="Default"/>
        <w:numPr>
          <w:ilvl w:val="3"/>
          <w:numId w:val="4"/>
        </w:numPr>
        <w:tabs>
          <w:tab w:val="clear" w:pos="2880"/>
          <w:tab w:val="num" w:pos="360"/>
        </w:tabs>
        <w:spacing w:line="480" w:lineRule="auto"/>
        <w:ind w:left="360"/>
        <w:jc w:val="both"/>
      </w:pPr>
      <w:r w:rsidRPr="00476DA8">
        <w:t>Dalam perikatan tanggung menanggung pasif, masing-masing debitur berhak untuk dituntut guna memenuhi seluruh kewajiban dalam perikatan. Tanpa adanya ketegasan yang demikian, debitur hanya berkewajiban untuk memenuhi kewajiban yang merupakan bagian utangnya saja kepada kreditur, dan tidak untuk menanggung bagian utang dari debitur lain.</w:t>
      </w:r>
    </w:p>
    <w:p w:rsidR="004B3276" w:rsidRPr="00476DA8" w:rsidRDefault="004B3276" w:rsidP="004B3276">
      <w:pPr>
        <w:autoSpaceDE w:val="0"/>
        <w:autoSpaceDN w:val="0"/>
        <w:adjustRightInd w:val="0"/>
        <w:spacing w:line="480" w:lineRule="auto"/>
        <w:ind w:firstLine="720"/>
        <w:jc w:val="both"/>
        <w:rPr>
          <w:rFonts w:eastAsia="TimesNewRoman"/>
        </w:rPr>
      </w:pPr>
      <w:r w:rsidRPr="00476DA8">
        <w:rPr>
          <w:rFonts w:eastAsia="TimesNewRoman"/>
        </w:rPr>
        <w:t>Perutangan tanggung renteng pasif terdiri atas atas faktor-faktor :</w:t>
      </w:r>
    </w:p>
    <w:p w:rsidR="004B3276" w:rsidRPr="00476DA8" w:rsidRDefault="004B3276" w:rsidP="000A35B7">
      <w:pPr>
        <w:numPr>
          <w:ilvl w:val="4"/>
          <w:numId w:val="4"/>
        </w:numPr>
        <w:tabs>
          <w:tab w:val="clear" w:pos="3600"/>
          <w:tab w:val="left" w:pos="709"/>
        </w:tabs>
        <w:autoSpaceDE w:val="0"/>
        <w:autoSpaceDN w:val="0"/>
        <w:adjustRightInd w:val="0"/>
        <w:ind w:left="709" w:hanging="283"/>
        <w:jc w:val="both"/>
        <w:rPr>
          <w:rFonts w:eastAsia="TimesNewRoman"/>
        </w:rPr>
      </w:pPr>
      <w:r w:rsidRPr="00476DA8">
        <w:rPr>
          <w:rFonts w:eastAsia="TimesNewRoman"/>
        </w:rPr>
        <w:t>Adanya dua debitur atau lebih;</w:t>
      </w:r>
    </w:p>
    <w:p w:rsidR="004B3276" w:rsidRPr="00476DA8" w:rsidRDefault="004B3276" w:rsidP="000A35B7">
      <w:pPr>
        <w:numPr>
          <w:ilvl w:val="4"/>
          <w:numId w:val="4"/>
        </w:numPr>
        <w:tabs>
          <w:tab w:val="clear" w:pos="3600"/>
          <w:tab w:val="left" w:pos="709"/>
        </w:tabs>
        <w:autoSpaceDE w:val="0"/>
        <w:autoSpaceDN w:val="0"/>
        <w:adjustRightInd w:val="0"/>
        <w:ind w:left="709" w:hanging="283"/>
        <w:jc w:val="both"/>
        <w:rPr>
          <w:rFonts w:eastAsia="TimesNewRoman"/>
        </w:rPr>
      </w:pPr>
      <w:r w:rsidRPr="00476DA8">
        <w:rPr>
          <w:rFonts w:eastAsia="TimesNewRoman"/>
        </w:rPr>
        <w:t>Masing-masing debitur itu berkewajiban untuk prestasi yang sama yaitu masing-masing untuk seluruh prestasi;</w:t>
      </w:r>
    </w:p>
    <w:p w:rsidR="004B3276" w:rsidRPr="00476DA8" w:rsidRDefault="004B3276" w:rsidP="000A35B7">
      <w:pPr>
        <w:numPr>
          <w:ilvl w:val="4"/>
          <w:numId w:val="4"/>
        </w:numPr>
        <w:tabs>
          <w:tab w:val="clear" w:pos="3600"/>
          <w:tab w:val="left" w:pos="709"/>
        </w:tabs>
        <w:autoSpaceDE w:val="0"/>
        <w:autoSpaceDN w:val="0"/>
        <w:adjustRightInd w:val="0"/>
        <w:ind w:left="709" w:hanging="283"/>
        <w:jc w:val="both"/>
        <w:rPr>
          <w:rFonts w:eastAsia="TimesNewRoman"/>
        </w:rPr>
      </w:pPr>
      <w:r w:rsidRPr="00476DA8">
        <w:rPr>
          <w:rFonts w:eastAsia="TimesNewRoman"/>
        </w:rPr>
        <w:t>Pelunasan oleh seorang debitur membebaskan debitur-debitur yang lain;</w:t>
      </w:r>
    </w:p>
    <w:p w:rsidR="004B3276" w:rsidRPr="00476DA8" w:rsidRDefault="004B3276" w:rsidP="000A35B7">
      <w:pPr>
        <w:numPr>
          <w:ilvl w:val="4"/>
          <w:numId w:val="4"/>
        </w:numPr>
        <w:tabs>
          <w:tab w:val="clear" w:pos="3600"/>
          <w:tab w:val="left" w:pos="709"/>
        </w:tabs>
        <w:autoSpaceDE w:val="0"/>
        <w:autoSpaceDN w:val="0"/>
        <w:adjustRightInd w:val="0"/>
        <w:ind w:left="709" w:hanging="283"/>
        <w:jc w:val="both"/>
        <w:rPr>
          <w:rFonts w:eastAsia="TimesNewRoman"/>
        </w:rPr>
      </w:pPr>
      <w:r w:rsidRPr="00476DA8">
        <w:rPr>
          <w:rFonts w:eastAsia="TimesNewRoman"/>
        </w:rPr>
        <w:t>Perutangan dari debitur tanggung renteng tersebut mempunyai dasar atau asal yang sama.</w:t>
      </w:r>
      <w:r w:rsidRPr="00476DA8">
        <w:rPr>
          <w:rStyle w:val="FootnoteReference"/>
          <w:rFonts w:eastAsia="TimesNewRoman"/>
        </w:rPr>
        <w:footnoteReference w:id="4"/>
      </w:r>
    </w:p>
    <w:p w:rsidR="004B3276" w:rsidRPr="00476DA8" w:rsidRDefault="004B3276" w:rsidP="004B3276">
      <w:pPr>
        <w:tabs>
          <w:tab w:val="left" w:pos="709"/>
        </w:tabs>
        <w:autoSpaceDE w:val="0"/>
        <w:autoSpaceDN w:val="0"/>
        <w:adjustRightInd w:val="0"/>
        <w:ind w:left="709"/>
        <w:jc w:val="both"/>
        <w:rPr>
          <w:rFonts w:eastAsia="TimesNewRoman"/>
        </w:rPr>
      </w:pPr>
    </w:p>
    <w:p w:rsidR="004B3276" w:rsidRPr="00476DA8" w:rsidRDefault="004B3276" w:rsidP="004B3276">
      <w:pPr>
        <w:autoSpaceDE w:val="0"/>
        <w:autoSpaceDN w:val="0"/>
        <w:adjustRightInd w:val="0"/>
        <w:spacing w:line="516" w:lineRule="auto"/>
        <w:ind w:firstLine="720"/>
        <w:jc w:val="both"/>
        <w:rPr>
          <w:rFonts w:eastAsia="TimesNewRoman"/>
        </w:rPr>
      </w:pPr>
      <w:r w:rsidRPr="00476DA8">
        <w:rPr>
          <w:rFonts w:eastAsia="TimesNewRoman"/>
        </w:rPr>
        <w:t>Jaminan tanggung renteng ini dapat timbul dengan syarat harus dikehendaki oleh pihak yang bersangkutan dan tidak pernah dipersangkakan dan harus dengan tegas dinyatakan. Tanpa adanya ketegasan yang demikian, debitur tentu hanya berkewajiban untuk memenuhi kewajiban yang merupakan bagian utangnya saja kepada kreditur, dan tidak untuk menanggung bagian utang dari debitur lain, oleh sebab itu harus diperjanjikan.</w:t>
      </w:r>
    </w:p>
    <w:p w:rsidR="004B3276" w:rsidRPr="00476DA8" w:rsidRDefault="004B3276" w:rsidP="004B3276">
      <w:pPr>
        <w:autoSpaceDE w:val="0"/>
        <w:autoSpaceDN w:val="0"/>
        <w:adjustRightInd w:val="0"/>
        <w:spacing w:line="516" w:lineRule="auto"/>
        <w:ind w:firstLine="720"/>
        <w:jc w:val="both"/>
        <w:rPr>
          <w:rFonts w:eastAsia="TimesNewRoman"/>
        </w:rPr>
      </w:pPr>
      <w:r w:rsidRPr="00476DA8">
        <w:rPr>
          <w:rFonts w:eastAsia="TimesNewRoman"/>
        </w:rPr>
        <w:lastRenderedPageBreak/>
        <w:t>Ketentuan Pasal 1282 KUHPerdata, perjanjian tanggung menanggung baru ada di antara para kreditur dengan debitur, jika hal tersebut secara jelas dinyatakan dalam perjanjian yang membentuknya. Pada prinsipnya tanggung renteng diterapkan apabila terdapat salah satu atau beberapa mitra yang tidak dapat memenuhi kewajibannya, maka mitra yang lain sesuai dengan perjanjian berkewajiban untuk membayar anggota mitra yang tidak dapat membayar tersebut. Dalam hal ini berlaku hubungan hukum yang bersifat ekstern, yaitu hubungan hukum antara pihak debitur dengan kreditur. Dalam hubungan hukum yang bersifat ekstern ini berakibat bahwa masing-masing debitur bertanggung jawab untuk seluruh prestasi terhadap kreditur. Kreditur berhak untuk meminta pemenuhan prestasi dengan memilih dari salah seorang debitur, tetapi juga dapat menuntut pemenuhan prestasi dari kesemuanya. Pemenuhan seluruh prestasi oleh salah seorang debitur membebaskan debitur-debitur lainnya.</w:t>
      </w:r>
    </w:p>
    <w:p w:rsidR="004B3276" w:rsidRPr="00476DA8" w:rsidRDefault="004B3276" w:rsidP="004B3276">
      <w:pPr>
        <w:autoSpaceDE w:val="0"/>
        <w:autoSpaceDN w:val="0"/>
        <w:adjustRightInd w:val="0"/>
        <w:spacing w:line="516" w:lineRule="auto"/>
        <w:ind w:firstLine="720"/>
        <w:jc w:val="both"/>
        <w:rPr>
          <w:rFonts w:eastAsia="TimesNewRoman"/>
        </w:rPr>
      </w:pPr>
      <w:r w:rsidRPr="00476DA8">
        <w:rPr>
          <w:rFonts w:eastAsia="TimesNewRoman"/>
        </w:rPr>
        <w:t xml:space="preserve">Hubungan hukum yang bersifat intern antara sesama debitur menimbulkan hak bagi debitur yang telah memenuhi prestasi untuk menuntut pembayaran kembali dari para debitur lainnya, sejumlah bagian mereka masing-masing. Wanprestasi yang dilakukan oleh mitra dapat dilihat dari ketentuan klasifikasi kondisi mitra. Klasifikasi kondisi mitra adalah klasifikasi terhadap </w:t>
      </w:r>
      <w:r w:rsidRPr="00476DA8">
        <w:rPr>
          <w:rFonts w:eastAsia="TimesNewRoman"/>
          <w:i/>
          <w:iCs/>
        </w:rPr>
        <w:t xml:space="preserve">perfomance </w:t>
      </w:r>
      <w:r w:rsidRPr="00476DA8">
        <w:rPr>
          <w:rFonts w:eastAsia="TimesNewRoman"/>
        </w:rPr>
        <w:t>mitra oleh kreditur yang dilakukan untuk mendeteksi secara dini mitra mana saja yang potensial bermasalah.</w:t>
      </w:r>
    </w:p>
    <w:p w:rsidR="004B3276" w:rsidRPr="00476DA8" w:rsidRDefault="004B3276" w:rsidP="004B3276">
      <w:pPr>
        <w:autoSpaceDE w:val="0"/>
        <w:autoSpaceDN w:val="0"/>
        <w:adjustRightInd w:val="0"/>
        <w:spacing w:line="480" w:lineRule="auto"/>
        <w:ind w:firstLine="720"/>
        <w:jc w:val="both"/>
        <w:rPr>
          <w:rFonts w:eastAsia="TimesNewRoman"/>
        </w:rPr>
      </w:pPr>
      <w:r w:rsidRPr="00476DA8">
        <w:rPr>
          <w:rFonts w:eastAsia="TimesNewRoman"/>
        </w:rPr>
        <w:t>Klasifikasi tersebut dibagi menjadi empat bagian untuk memudahkan pengelompokkan mitra, yaitu :</w:t>
      </w:r>
    </w:p>
    <w:p w:rsidR="004B3276" w:rsidRPr="00476DA8" w:rsidRDefault="004B3276" w:rsidP="000A35B7">
      <w:pPr>
        <w:numPr>
          <w:ilvl w:val="0"/>
          <w:numId w:val="7"/>
        </w:numPr>
        <w:autoSpaceDE w:val="0"/>
        <w:autoSpaceDN w:val="0"/>
        <w:adjustRightInd w:val="0"/>
        <w:jc w:val="both"/>
        <w:rPr>
          <w:rFonts w:eastAsia="TimesNewRoman"/>
        </w:rPr>
      </w:pPr>
      <w:r w:rsidRPr="00476DA8">
        <w:rPr>
          <w:rFonts w:eastAsia="TimesNewRoman"/>
        </w:rPr>
        <w:lastRenderedPageBreak/>
        <w:t xml:space="preserve">Klasifikasi baik; </w:t>
      </w:r>
    </w:p>
    <w:p w:rsidR="004B3276" w:rsidRPr="00476DA8" w:rsidRDefault="004B3276" w:rsidP="004B3276">
      <w:pPr>
        <w:autoSpaceDE w:val="0"/>
        <w:autoSpaceDN w:val="0"/>
        <w:adjustRightInd w:val="0"/>
        <w:ind w:left="720"/>
        <w:jc w:val="both"/>
        <w:rPr>
          <w:rFonts w:eastAsia="TimesNewRoman"/>
        </w:rPr>
      </w:pPr>
      <w:r w:rsidRPr="00476DA8">
        <w:rPr>
          <w:rFonts w:eastAsia="TimesNewRoman"/>
        </w:rPr>
        <w:t>Mitra dapat diketegorikan ke dalam klasifikasi baik apabila kedua aspek penilaian dipenuhi dengan baik.</w:t>
      </w:r>
    </w:p>
    <w:p w:rsidR="004B3276" w:rsidRPr="00476DA8" w:rsidRDefault="004B3276" w:rsidP="000A35B7">
      <w:pPr>
        <w:numPr>
          <w:ilvl w:val="0"/>
          <w:numId w:val="7"/>
        </w:numPr>
        <w:autoSpaceDE w:val="0"/>
        <w:autoSpaceDN w:val="0"/>
        <w:adjustRightInd w:val="0"/>
        <w:jc w:val="both"/>
        <w:rPr>
          <w:rFonts w:eastAsia="TimesNewRoman"/>
        </w:rPr>
      </w:pPr>
      <w:r w:rsidRPr="00476DA8">
        <w:rPr>
          <w:rFonts w:eastAsia="TimesNewRoman"/>
        </w:rPr>
        <w:t>Klasifikasi sedang;</w:t>
      </w:r>
    </w:p>
    <w:p w:rsidR="004B3276" w:rsidRPr="00476DA8" w:rsidRDefault="004B3276" w:rsidP="004B3276">
      <w:pPr>
        <w:autoSpaceDE w:val="0"/>
        <w:autoSpaceDN w:val="0"/>
        <w:adjustRightInd w:val="0"/>
        <w:ind w:left="720"/>
        <w:jc w:val="both"/>
        <w:rPr>
          <w:rFonts w:eastAsia="TimesNewRoman"/>
        </w:rPr>
      </w:pPr>
      <w:r w:rsidRPr="00476DA8">
        <w:rPr>
          <w:rFonts w:eastAsia="TimesNewRoman"/>
        </w:rPr>
        <w:t>Mitra dapat dikategorikan ke dalam klasifikasi sedang apabila mitra hanya dapat memenuhi salah satu dari kedua aspek penilaian, misal mitra tidak hadir tetapi tetap membayar.</w:t>
      </w:r>
    </w:p>
    <w:p w:rsidR="004B3276" w:rsidRPr="00476DA8" w:rsidRDefault="004B3276" w:rsidP="000A35B7">
      <w:pPr>
        <w:numPr>
          <w:ilvl w:val="0"/>
          <w:numId w:val="7"/>
        </w:numPr>
        <w:autoSpaceDE w:val="0"/>
        <w:autoSpaceDN w:val="0"/>
        <w:adjustRightInd w:val="0"/>
        <w:jc w:val="both"/>
        <w:rPr>
          <w:rFonts w:eastAsia="TimesNewRoman"/>
        </w:rPr>
      </w:pPr>
      <w:r w:rsidRPr="00476DA8">
        <w:rPr>
          <w:rFonts w:eastAsia="TimesNewRoman"/>
        </w:rPr>
        <w:t xml:space="preserve">Klasifikasi </w:t>
      </w:r>
      <w:r w:rsidRPr="00476DA8">
        <w:rPr>
          <w:rFonts w:eastAsia="TimesNewRoman"/>
          <w:i/>
          <w:iCs/>
        </w:rPr>
        <w:t>door to door</w:t>
      </w:r>
      <w:r w:rsidRPr="00476DA8">
        <w:rPr>
          <w:rFonts w:eastAsia="TimesNewRoman"/>
        </w:rPr>
        <w:t xml:space="preserve">; </w:t>
      </w:r>
    </w:p>
    <w:p w:rsidR="004B3276" w:rsidRPr="00476DA8" w:rsidRDefault="004B3276" w:rsidP="004B3276">
      <w:pPr>
        <w:autoSpaceDE w:val="0"/>
        <w:autoSpaceDN w:val="0"/>
        <w:adjustRightInd w:val="0"/>
        <w:ind w:left="720"/>
        <w:jc w:val="both"/>
        <w:rPr>
          <w:rFonts w:eastAsia="TimesNewRoman"/>
        </w:rPr>
      </w:pPr>
      <w:r w:rsidRPr="00476DA8">
        <w:rPr>
          <w:rFonts w:eastAsia="TimesNewRoman"/>
        </w:rPr>
        <w:t xml:space="preserve">Mitra dapat dikategorikan ke dalam klasifikasi </w:t>
      </w:r>
      <w:r w:rsidRPr="00476DA8">
        <w:rPr>
          <w:rFonts w:eastAsia="TimesNewRoman"/>
          <w:i/>
          <w:iCs/>
        </w:rPr>
        <w:t xml:space="preserve">door to door </w:t>
      </w:r>
      <w:r w:rsidRPr="00476DA8">
        <w:rPr>
          <w:rFonts w:eastAsia="TimesNewRoman"/>
        </w:rPr>
        <w:t>apabila kedua aspek tersebut tidak dipenuhi oleh mitra, namun dalam hal ini masih dapat dilakukan penagihan dengan mengunjungi rumah mitra satu per mitra untuk meminta pembayaran.</w:t>
      </w:r>
    </w:p>
    <w:p w:rsidR="004B3276" w:rsidRPr="00476DA8" w:rsidRDefault="004B3276" w:rsidP="000A35B7">
      <w:pPr>
        <w:numPr>
          <w:ilvl w:val="0"/>
          <w:numId w:val="7"/>
        </w:numPr>
        <w:autoSpaceDE w:val="0"/>
        <w:autoSpaceDN w:val="0"/>
        <w:adjustRightInd w:val="0"/>
        <w:jc w:val="both"/>
        <w:rPr>
          <w:rFonts w:eastAsia="TimesNewRoman"/>
        </w:rPr>
      </w:pPr>
      <w:r w:rsidRPr="00476DA8">
        <w:rPr>
          <w:rFonts w:eastAsia="TimesNewRoman"/>
        </w:rPr>
        <w:t xml:space="preserve">Klasifikasi </w:t>
      </w:r>
      <w:r w:rsidRPr="00476DA8">
        <w:rPr>
          <w:rFonts w:eastAsia="TimesNewRoman"/>
          <w:i/>
          <w:iCs/>
        </w:rPr>
        <w:t>over tenor</w:t>
      </w:r>
      <w:r w:rsidRPr="00476DA8">
        <w:rPr>
          <w:rFonts w:eastAsia="TimesNewRoman"/>
        </w:rPr>
        <w:t>.</w:t>
      </w:r>
    </w:p>
    <w:p w:rsidR="004B3276" w:rsidRPr="00476DA8" w:rsidRDefault="004B3276" w:rsidP="004B3276">
      <w:pPr>
        <w:autoSpaceDE w:val="0"/>
        <w:autoSpaceDN w:val="0"/>
        <w:adjustRightInd w:val="0"/>
        <w:ind w:left="720"/>
        <w:jc w:val="both"/>
        <w:rPr>
          <w:rFonts w:eastAsia="TimesNewRoman"/>
        </w:rPr>
      </w:pPr>
      <w:r w:rsidRPr="00476DA8">
        <w:rPr>
          <w:rFonts w:eastAsia="TimesNewRoman"/>
        </w:rPr>
        <w:t>Mitra dapat dikategorikan dalam aspek over tenor apabila kedua aspek penilaian tidak dipenuhi dan melebihi jangka waktu pembayaran  sesuai perjanjian.</w:t>
      </w:r>
      <w:r w:rsidRPr="00476DA8">
        <w:rPr>
          <w:rStyle w:val="FootnoteReference"/>
          <w:rFonts w:eastAsia="TimesNewRoman"/>
        </w:rPr>
        <w:footnoteReference w:id="5"/>
      </w:r>
    </w:p>
    <w:p w:rsidR="004B3276" w:rsidRPr="00476DA8" w:rsidRDefault="004B3276" w:rsidP="004B3276">
      <w:pPr>
        <w:autoSpaceDE w:val="0"/>
        <w:autoSpaceDN w:val="0"/>
        <w:adjustRightInd w:val="0"/>
        <w:ind w:left="720"/>
        <w:jc w:val="both"/>
        <w:rPr>
          <w:rFonts w:eastAsia="TimesNewRoman"/>
        </w:rPr>
      </w:pPr>
    </w:p>
    <w:p w:rsidR="004B3276" w:rsidRPr="00476DA8" w:rsidRDefault="004B3276" w:rsidP="004B3276">
      <w:pPr>
        <w:autoSpaceDE w:val="0"/>
        <w:autoSpaceDN w:val="0"/>
        <w:adjustRightInd w:val="0"/>
        <w:spacing w:line="480" w:lineRule="auto"/>
        <w:ind w:firstLine="720"/>
        <w:jc w:val="both"/>
        <w:rPr>
          <w:rFonts w:eastAsia="TimesNewRoman"/>
        </w:rPr>
      </w:pPr>
      <w:r w:rsidRPr="00476DA8">
        <w:rPr>
          <w:rFonts w:eastAsia="TimesNewRoman"/>
        </w:rPr>
        <w:t xml:space="preserve">Tanggung renteng diterapkan pada perjanjian </w:t>
      </w:r>
      <w:r w:rsidRPr="00476DA8">
        <w:rPr>
          <w:rFonts w:eastAsia="Arial"/>
          <w:bCs/>
          <w:iCs/>
          <w:color w:val="000000"/>
        </w:rPr>
        <w:t>hutang piutang</w:t>
      </w:r>
      <w:r w:rsidRPr="00476DA8">
        <w:rPr>
          <w:rFonts w:eastAsia="TimesNewRoman"/>
        </w:rPr>
        <w:t xml:space="preserve"> yang masing-masing terikat tanggung renteng.  Berdasarkan perjanjian yang disepakati terdapat permasalahan, yaitu tidak dipenuhi kewajiban melakukan pembayaran. Hal ini dapat disebabkan kelompok perusahaan pasangan usaha tersebut telah wanprestasi terhadap isi perjanjian.</w:t>
      </w:r>
    </w:p>
    <w:p w:rsidR="004B3276" w:rsidRPr="00476DA8" w:rsidRDefault="004B3276" w:rsidP="004B3276">
      <w:pPr>
        <w:autoSpaceDE w:val="0"/>
        <w:autoSpaceDN w:val="0"/>
        <w:adjustRightInd w:val="0"/>
        <w:spacing w:line="480" w:lineRule="auto"/>
        <w:ind w:firstLine="720"/>
        <w:jc w:val="both"/>
      </w:pPr>
      <w:r w:rsidRPr="00476DA8">
        <w:rPr>
          <w:rFonts w:eastAsia="TimesNewRoman"/>
        </w:rPr>
        <w:t xml:space="preserve">Akibat terjadinya wanprestasi salah satu pihak dalam perjanjian hutang piutang, maka pihak yang dirugikan dapat  mengajukan gugatan kepada pihak yang menimbulkan kerugian. </w:t>
      </w:r>
      <w:r w:rsidRPr="00476DA8">
        <w:t xml:space="preserve">Gugatan tanggung renteng merupakan salah satu bentuk gugatan yang dapat digunakan dalam sengketa keperdataan. </w:t>
      </w:r>
    </w:p>
    <w:p w:rsidR="004B3276" w:rsidRPr="00476DA8" w:rsidRDefault="004B3276" w:rsidP="004B3276">
      <w:pPr>
        <w:autoSpaceDE w:val="0"/>
        <w:autoSpaceDN w:val="0"/>
        <w:adjustRightInd w:val="0"/>
        <w:spacing w:line="480" w:lineRule="auto"/>
        <w:ind w:firstLine="720"/>
        <w:jc w:val="both"/>
      </w:pPr>
      <w:r w:rsidRPr="00476DA8">
        <w:t>Gugatan tanggung renteng dilakukan dalam sengketa wanprestasi dalam hubungan hukum perjanjian antara lebih dari dua pihak. Hal ini terlihat dalam rumusan Pasal 1278 dan 1280 KUHPerdata yang menjelaskan pengertian dari tanggung renteng dalam hubungan perjanjian.</w:t>
      </w:r>
    </w:p>
    <w:p w:rsidR="004B3276" w:rsidRPr="00476DA8" w:rsidRDefault="004B3276" w:rsidP="004B3276">
      <w:pPr>
        <w:autoSpaceDE w:val="0"/>
        <w:autoSpaceDN w:val="0"/>
        <w:adjustRightInd w:val="0"/>
        <w:spacing w:line="480" w:lineRule="auto"/>
        <w:ind w:firstLine="720"/>
        <w:jc w:val="both"/>
      </w:pPr>
      <w:r w:rsidRPr="00476DA8">
        <w:lastRenderedPageBreak/>
        <w:t xml:space="preserve">Gugatan tanggung renteng bisa dilakukan ketika terjadi wanprestasi dalam perjanjian hutang piutang. Sengketa wanprestasi yang menggunakan gugatan tanggung renteng misalnya dalam perjanjian </w:t>
      </w:r>
      <w:r w:rsidRPr="00476DA8">
        <w:rPr>
          <w:rFonts w:eastAsia="Arial"/>
          <w:iCs/>
          <w:color w:val="000000"/>
        </w:rPr>
        <w:t xml:space="preserve">hutang piutang </w:t>
      </w:r>
      <w:r w:rsidRPr="00476DA8">
        <w:rPr>
          <w:bCs/>
          <w:color w:val="000000"/>
        </w:rPr>
        <w:t xml:space="preserve">dalam Putusan Mahkamah Agung </w:t>
      </w:r>
      <w:r w:rsidRPr="00476DA8">
        <w:rPr>
          <w:lang w:val="id-ID"/>
        </w:rPr>
        <w:t xml:space="preserve">RI Nomor </w:t>
      </w:r>
      <w:r w:rsidRPr="00476DA8">
        <w:t>1017 K/Pdt/2021</w:t>
      </w:r>
      <w:r w:rsidRPr="00476DA8">
        <w:rPr>
          <w:bCs/>
          <w:color w:val="000000"/>
        </w:rPr>
        <w:t xml:space="preserve">. </w:t>
      </w:r>
      <w:r w:rsidRPr="00476DA8">
        <w:t xml:space="preserve">Dalam kasus tersebut, para penggugat (PT. </w:t>
      </w:r>
      <w:r w:rsidRPr="00476DA8">
        <w:rPr>
          <w:lang w:val="en-ID" w:eastAsia="en-ID"/>
        </w:rPr>
        <w:t>Bintang Muda Kreasi dan PT. Mega Graha Nusantara)</w:t>
      </w:r>
      <w:r w:rsidRPr="00476DA8">
        <w:rPr>
          <w:rFonts w:eastAsia="Arial"/>
          <w:color w:val="000000"/>
        </w:rPr>
        <w:t xml:space="preserve"> yang </w:t>
      </w:r>
      <w:r w:rsidRPr="00476DA8">
        <w:rPr>
          <w:lang w:val="en-ID" w:eastAsia="en-ID"/>
        </w:rPr>
        <w:t>badan hukum dan didirikan berdasarkan hukum Indonesia yang bergerak dibidang perdagangan dan penjualan alat-alat material bangunan, yang telah men</w:t>
      </w:r>
      <w:r w:rsidRPr="00476DA8">
        <w:rPr>
          <w:i/>
          <w:iCs/>
          <w:lang w:val="en-ID" w:eastAsia="en-ID"/>
        </w:rPr>
        <w:t xml:space="preserve">supply </w:t>
      </w:r>
      <w:r w:rsidRPr="00476DA8">
        <w:rPr>
          <w:lang w:val="en-ID" w:eastAsia="en-ID"/>
        </w:rPr>
        <w:t>barangnya ke toko Tergugat I (PT. Asia Bangunan Center).</w:t>
      </w:r>
      <w:r w:rsidRPr="00476DA8">
        <w:t xml:space="preserve"> </w:t>
      </w:r>
    </w:p>
    <w:p w:rsidR="004B3276" w:rsidRPr="00476DA8" w:rsidRDefault="004B3276" w:rsidP="004B3276">
      <w:pPr>
        <w:autoSpaceDE w:val="0"/>
        <w:autoSpaceDN w:val="0"/>
        <w:adjustRightInd w:val="0"/>
        <w:spacing w:line="480" w:lineRule="auto"/>
        <w:ind w:firstLine="720"/>
        <w:jc w:val="both"/>
      </w:pPr>
      <w:r w:rsidRPr="00476DA8">
        <w:t xml:space="preserve">Para penggugat menggugat secara tanggung renteng </w:t>
      </w:r>
      <w:r w:rsidRPr="00476DA8">
        <w:rPr>
          <w:lang w:val="en-ID" w:eastAsia="en-ID"/>
        </w:rPr>
        <w:t>Tergugat I  (PT. Asia Bangunan Center) yang merupaan badan hukum dan didirikan menurut hukum dan peraturan di Indonesia, yang memesan dan mengambil barang dari Penggugat I dan Penggugat II.  Anto Wijaya (Tergugat II) adalah Direktur PT. Asia Bangunan Center Warga Negara Indonesia, yang telah menjaminkan serta memberikan dan menandatangani surat pernyataan hutang dan atau tagihan yang dimiliki Tergugat I  (PT. Asia Bangunan Center) terhadap para penggugat. Gugatan dilakukan akibat</w:t>
      </w:r>
      <w:r w:rsidRPr="00476DA8">
        <w:t xml:space="preserve"> wanprestasi yang dilakukan terhadap isi perjanjian yang telah disepakati bersama.</w:t>
      </w:r>
    </w:p>
    <w:p w:rsidR="004B3276" w:rsidRPr="00476DA8" w:rsidRDefault="004B3276" w:rsidP="004B3276">
      <w:pPr>
        <w:autoSpaceDE w:val="0"/>
        <w:autoSpaceDN w:val="0"/>
        <w:adjustRightInd w:val="0"/>
        <w:spacing w:line="480" w:lineRule="auto"/>
        <w:ind w:firstLine="720"/>
        <w:jc w:val="both"/>
      </w:pPr>
      <w:r w:rsidRPr="00476DA8">
        <w:t xml:space="preserve">Wanprestasi ini terjadi akibat para Terggugat telah memesan atau membeli berupa granit kepada para Penggugat dengan cara mencicil pembayaran, namun sampai gugatan ini diajukan oleh para Penggugat, para Tergugat tidak melakukan pembayaran terhadap barang yang telah dibelinya. </w:t>
      </w:r>
      <w:r w:rsidRPr="00476DA8">
        <w:rPr>
          <w:lang w:val="en-ID" w:eastAsia="en-ID"/>
        </w:rPr>
        <w:t xml:space="preserve">Para Tergugat tidak memenuhi kewajibannya kepada Para Penggugat sejumlah Rp.320.916.800,00 (tiga ratus dua </w:t>
      </w:r>
      <w:r w:rsidRPr="00476DA8">
        <w:rPr>
          <w:lang w:val="en-ID" w:eastAsia="en-ID"/>
        </w:rPr>
        <w:lastRenderedPageBreak/>
        <w:t>puluh juta sembilan ratus enam belas ribu delapan ratus rupiah) meskipun telah diperingatkan oleh para Penggugat</w:t>
      </w:r>
      <w:r w:rsidRPr="00476DA8">
        <w:t xml:space="preserve">. </w:t>
      </w:r>
    </w:p>
    <w:p w:rsidR="004B3276" w:rsidRDefault="004B3276" w:rsidP="004B3276">
      <w:pPr>
        <w:autoSpaceDE w:val="0"/>
        <w:autoSpaceDN w:val="0"/>
        <w:adjustRightInd w:val="0"/>
        <w:spacing w:line="480" w:lineRule="auto"/>
        <w:ind w:firstLine="720"/>
        <w:jc w:val="both"/>
        <w:rPr>
          <w:lang w:val="en-ID" w:eastAsia="en-ID"/>
        </w:rPr>
      </w:pPr>
      <w:r w:rsidRPr="00476DA8">
        <w:rPr>
          <w:lang w:val="en-ID" w:eastAsia="en-ID"/>
        </w:rPr>
        <w:t>Perbuatan para Tergugat yang telah melakukan wanprestasi/cidera janji dengan tidak melakukan pembayaran kepada Penggugat I (PT. Bintang Muda Kreasi dan Penggugat II (PT. Mega Graha Nusantara  membuat para Penggugat mengalami kerugian baik secara materiel dan immaterial. Adapun nilai kerugian materiil dan imateriil yang dialami para penggugat adalah sebesar Rp.320.916.800,00 (tiga ratus dua puluh juta sembilan ratus enam belas ribu delapan ratus rupiah).</w:t>
      </w:r>
    </w:p>
    <w:p w:rsidR="004B3276" w:rsidRPr="00476DA8" w:rsidRDefault="004B3276" w:rsidP="004B3276">
      <w:pPr>
        <w:autoSpaceDE w:val="0"/>
        <w:autoSpaceDN w:val="0"/>
        <w:adjustRightInd w:val="0"/>
        <w:ind w:firstLine="720"/>
        <w:jc w:val="both"/>
      </w:pPr>
    </w:p>
    <w:p w:rsidR="004B3276" w:rsidRPr="00476DA8" w:rsidRDefault="004B3276" w:rsidP="000A35B7">
      <w:pPr>
        <w:pStyle w:val="Default"/>
        <w:numPr>
          <w:ilvl w:val="2"/>
          <w:numId w:val="5"/>
        </w:numPr>
        <w:tabs>
          <w:tab w:val="clear" w:pos="2340"/>
          <w:tab w:val="num" w:pos="360"/>
        </w:tabs>
        <w:spacing w:line="456" w:lineRule="auto"/>
        <w:ind w:left="360"/>
        <w:jc w:val="both"/>
        <w:rPr>
          <w:b/>
          <w:bCs/>
        </w:rPr>
      </w:pPr>
      <w:r w:rsidRPr="00476DA8">
        <w:rPr>
          <w:rFonts w:eastAsia="Arial"/>
          <w:b/>
          <w:bCs/>
        </w:rPr>
        <w:t>Akibat Hukum Wanprestasi Terhadap Perjanjian Tanggung Renteng Hutang Piutang</w:t>
      </w:r>
    </w:p>
    <w:p w:rsidR="004B3276" w:rsidRPr="00476DA8" w:rsidRDefault="004B3276" w:rsidP="004B3276">
      <w:pPr>
        <w:pStyle w:val="BodyText"/>
        <w:ind w:firstLine="720"/>
        <w:rPr>
          <w:bCs/>
        </w:rPr>
      </w:pPr>
      <w:r w:rsidRPr="00476DA8">
        <w:rPr>
          <w:bCs/>
        </w:rPr>
        <w:t>Para pihak terikat untuk mematuhi perjanjian yang telah mereka buat tersebut sekaligus dengan hak dan kewajiban yang timbul akibat terjadinya perjanjian tersebut. Hak tersebut dilindungi hukum berkaitan dengan kepentingan yaitu merupakan tuntutan dari salah satu pihak yang diharapkan untuk dipenuhi. Kepentingan tersebut pada hakikatnya mengandung kekuasaan yang dijamin dan dilindungi oleh hukum dalam melaksanakannya.</w:t>
      </w:r>
    </w:p>
    <w:p w:rsidR="004B3276" w:rsidRPr="00476DA8" w:rsidRDefault="004B3276" w:rsidP="004B3276">
      <w:pPr>
        <w:pStyle w:val="NoSpacing"/>
        <w:spacing w:line="480" w:lineRule="auto"/>
        <w:ind w:firstLine="720"/>
        <w:jc w:val="both"/>
        <w:rPr>
          <w:rFonts w:ascii="Times New Roman" w:hAnsi="Times New Roman" w:cs="Times New Roman"/>
          <w:sz w:val="24"/>
          <w:szCs w:val="24"/>
        </w:rPr>
      </w:pPr>
      <w:r w:rsidRPr="00476DA8">
        <w:rPr>
          <w:rFonts w:ascii="Times New Roman" w:hAnsi="Times New Roman" w:cs="Times New Roman"/>
          <w:sz w:val="24"/>
          <w:szCs w:val="24"/>
        </w:rPr>
        <w:t xml:space="preserve">Perjanjian yang telah ditentukan bahwa objek dari suatu perjanjian akan diserahkan pada waktu yang telah ditentukan, namun pada waktu tersebut objek tidak diserahkan, sedangkan waktu telah tiba untuk diserahkan, maka dikatakan wanprestasi atau ingkar janji yaitu tidak dipenuhinya janji karena disengaja maupun tidak disengaja. “Pihak yang tidak sengaja wanprestasi ini dapat terjadi </w:t>
      </w:r>
      <w:r w:rsidRPr="00476DA8">
        <w:rPr>
          <w:rFonts w:ascii="Times New Roman" w:hAnsi="Times New Roman" w:cs="Times New Roman"/>
          <w:sz w:val="24"/>
          <w:szCs w:val="24"/>
        </w:rPr>
        <w:lastRenderedPageBreak/>
        <w:t>karena memang tidak mampu untuk memenuhi prestasi tersebut atau juga karena terpaksa untuk tidak melakukan prestasi tersebut”.</w:t>
      </w:r>
      <w:r w:rsidRPr="00476DA8">
        <w:rPr>
          <w:rStyle w:val="FootnoteReference"/>
          <w:rFonts w:ascii="Times New Roman" w:hAnsi="Times New Roman" w:cs="Times New Roman"/>
          <w:sz w:val="24"/>
          <w:szCs w:val="24"/>
          <w:lang w:val="en-US"/>
        </w:rPr>
        <w:footnoteReference w:id="6"/>
      </w:r>
    </w:p>
    <w:p w:rsidR="004B3276" w:rsidRPr="00476DA8" w:rsidRDefault="004B3276" w:rsidP="004B3276">
      <w:pPr>
        <w:pStyle w:val="NoSpacing"/>
        <w:spacing w:line="480" w:lineRule="auto"/>
        <w:ind w:firstLine="720"/>
        <w:jc w:val="both"/>
        <w:rPr>
          <w:rFonts w:ascii="Times New Roman" w:hAnsi="Times New Roman" w:cs="Times New Roman"/>
          <w:sz w:val="24"/>
          <w:szCs w:val="24"/>
          <w:lang w:val="en-US"/>
        </w:rPr>
      </w:pPr>
      <w:r w:rsidRPr="00476DA8">
        <w:rPr>
          <w:rFonts w:ascii="Times New Roman" w:hAnsi="Times New Roman" w:cs="Times New Roman"/>
          <w:sz w:val="24"/>
          <w:szCs w:val="24"/>
          <w:lang w:val="en-US"/>
        </w:rPr>
        <w:t>Wanprestasi dapat berupa:</w:t>
      </w:r>
    </w:p>
    <w:p w:rsidR="004B3276" w:rsidRPr="00476DA8" w:rsidRDefault="004B3276" w:rsidP="000A35B7">
      <w:pPr>
        <w:pStyle w:val="NoSpacing"/>
        <w:numPr>
          <w:ilvl w:val="0"/>
          <w:numId w:val="14"/>
        </w:numPr>
        <w:spacing w:line="480" w:lineRule="auto"/>
        <w:ind w:left="360"/>
        <w:jc w:val="both"/>
        <w:rPr>
          <w:rFonts w:ascii="Times New Roman" w:hAnsi="Times New Roman" w:cs="Times New Roman"/>
          <w:sz w:val="24"/>
          <w:szCs w:val="24"/>
          <w:lang w:val="en-US"/>
        </w:rPr>
      </w:pPr>
      <w:r w:rsidRPr="00476DA8">
        <w:rPr>
          <w:rFonts w:ascii="Times New Roman" w:hAnsi="Times New Roman" w:cs="Times New Roman"/>
          <w:sz w:val="24"/>
          <w:szCs w:val="24"/>
          <w:lang w:val="en-US"/>
        </w:rPr>
        <w:t>Sama sekali tidak memenuhi prestasi.</w:t>
      </w:r>
    </w:p>
    <w:p w:rsidR="004B3276" w:rsidRPr="00476DA8" w:rsidRDefault="004B3276" w:rsidP="000A35B7">
      <w:pPr>
        <w:pStyle w:val="NoSpacing"/>
        <w:numPr>
          <w:ilvl w:val="0"/>
          <w:numId w:val="14"/>
        </w:numPr>
        <w:spacing w:line="480" w:lineRule="auto"/>
        <w:ind w:left="360"/>
        <w:jc w:val="both"/>
        <w:rPr>
          <w:rFonts w:ascii="Times New Roman" w:hAnsi="Times New Roman" w:cs="Times New Roman"/>
          <w:sz w:val="24"/>
          <w:szCs w:val="24"/>
          <w:lang w:val="en-US"/>
        </w:rPr>
      </w:pPr>
      <w:r w:rsidRPr="00476DA8">
        <w:rPr>
          <w:rFonts w:ascii="Times New Roman" w:hAnsi="Times New Roman" w:cs="Times New Roman"/>
          <w:sz w:val="24"/>
          <w:szCs w:val="24"/>
          <w:lang w:val="en-US"/>
        </w:rPr>
        <w:t>Prestasi yang dilakukan tidak sempurna.</w:t>
      </w:r>
    </w:p>
    <w:p w:rsidR="004B3276" w:rsidRPr="00476DA8" w:rsidRDefault="004B3276" w:rsidP="000A35B7">
      <w:pPr>
        <w:pStyle w:val="NoSpacing"/>
        <w:numPr>
          <w:ilvl w:val="0"/>
          <w:numId w:val="14"/>
        </w:numPr>
        <w:spacing w:line="480" w:lineRule="auto"/>
        <w:ind w:left="360"/>
        <w:jc w:val="both"/>
        <w:rPr>
          <w:rFonts w:ascii="Times New Roman" w:hAnsi="Times New Roman" w:cs="Times New Roman"/>
          <w:sz w:val="24"/>
          <w:szCs w:val="24"/>
          <w:lang w:val="en-US"/>
        </w:rPr>
      </w:pPr>
      <w:r w:rsidRPr="00476DA8">
        <w:rPr>
          <w:rFonts w:ascii="Times New Roman" w:hAnsi="Times New Roman" w:cs="Times New Roman"/>
          <w:sz w:val="24"/>
          <w:szCs w:val="24"/>
          <w:lang w:val="en-US"/>
        </w:rPr>
        <w:t>Terlambat memenuhi prestasi.</w:t>
      </w:r>
    </w:p>
    <w:p w:rsidR="004B3276" w:rsidRPr="00476DA8" w:rsidRDefault="004B3276" w:rsidP="000A35B7">
      <w:pPr>
        <w:pStyle w:val="NoSpacing"/>
        <w:numPr>
          <w:ilvl w:val="0"/>
          <w:numId w:val="14"/>
        </w:numPr>
        <w:spacing w:line="480" w:lineRule="auto"/>
        <w:ind w:left="360"/>
        <w:jc w:val="both"/>
        <w:rPr>
          <w:rFonts w:ascii="Times New Roman" w:hAnsi="Times New Roman" w:cs="Times New Roman"/>
          <w:sz w:val="24"/>
          <w:szCs w:val="24"/>
          <w:lang w:val="en-US"/>
        </w:rPr>
      </w:pPr>
      <w:r w:rsidRPr="00476DA8">
        <w:rPr>
          <w:rFonts w:ascii="Times New Roman" w:hAnsi="Times New Roman" w:cs="Times New Roman"/>
          <w:sz w:val="24"/>
          <w:szCs w:val="24"/>
          <w:lang w:val="en-US"/>
        </w:rPr>
        <w:t>Melakukan apa yang dalam perjanjian dilarang untuk dilakukan.</w:t>
      </w:r>
      <w:r w:rsidRPr="00476DA8">
        <w:rPr>
          <w:rStyle w:val="FootnoteReference"/>
          <w:rFonts w:ascii="Times New Roman" w:hAnsi="Times New Roman" w:cs="Times New Roman"/>
          <w:sz w:val="24"/>
          <w:szCs w:val="24"/>
          <w:lang w:val="en-US"/>
        </w:rPr>
        <w:footnoteReference w:id="7"/>
      </w:r>
    </w:p>
    <w:p w:rsidR="004B3276" w:rsidRPr="00476DA8" w:rsidRDefault="004B3276" w:rsidP="004B3276">
      <w:pPr>
        <w:autoSpaceDE w:val="0"/>
        <w:autoSpaceDN w:val="0"/>
        <w:adjustRightInd w:val="0"/>
        <w:spacing w:line="480" w:lineRule="auto"/>
        <w:ind w:firstLine="720"/>
        <w:jc w:val="both"/>
      </w:pPr>
      <w:r w:rsidRPr="00476DA8">
        <w:t xml:space="preserve">Penyebab terjadinya wanprestasi atau cidera janji dalam pelaksanaan perjanjian  hutang piutang adalah  para tergugat  tidak membayar </w:t>
      </w:r>
      <w:r w:rsidRPr="00476DA8">
        <w:rPr>
          <w:lang w:val="en-ID" w:eastAsia="en-ID"/>
        </w:rPr>
        <w:t xml:space="preserve">alat-alat material bangunan </w:t>
      </w:r>
      <w:r w:rsidRPr="00476DA8">
        <w:t xml:space="preserve">kepada para penggugat sebesar Rp.1.251.286.500,- </w:t>
      </w:r>
      <w:r w:rsidRPr="00476DA8">
        <w:rPr>
          <w:lang w:val="en-ID" w:eastAsia="en-ID"/>
        </w:rPr>
        <w:t>sebesar Rp.320.916.800,00 (tiga ratus dua puluh juta sembilan ratus enam belas ribu delapan ratus rupiah)</w:t>
      </w:r>
      <w:r w:rsidRPr="00476DA8">
        <w:t xml:space="preserve"> sebagai hutang piutang sehingga para penggugat mengalami kerugian. </w:t>
      </w:r>
    </w:p>
    <w:p w:rsidR="004B3276" w:rsidRDefault="004B3276" w:rsidP="004B3276">
      <w:pPr>
        <w:pStyle w:val="NoSpacing"/>
        <w:spacing w:line="456" w:lineRule="auto"/>
        <w:ind w:firstLine="720"/>
        <w:jc w:val="both"/>
        <w:rPr>
          <w:rFonts w:ascii="Times New Roman" w:hAnsi="Times New Roman" w:cs="Times New Roman"/>
          <w:sz w:val="24"/>
          <w:szCs w:val="24"/>
          <w:lang w:val="en-US"/>
        </w:rPr>
      </w:pPr>
      <w:r w:rsidRPr="00476DA8">
        <w:rPr>
          <w:rFonts w:ascii="Times New Roman" w:hAnsi="Times New Roman" w:cs="Times New Roman"/>
          <w:sz w:val="24"/>
          <w:szCs w:val="24"/>
        </w:rPr>
        <w:t xml:space="preserve">Apabila salah satu pihak dalam hal perjanjian </w:t>
      </w:r>
      <w:r w:rsidRPr="00476DA8">
        <w:rPr>
          <w:rFonts w:ascii="Times New Roman" w:hAnsi="Times New Roman" w:cs="Times New Roman"/>
          <w:sz w:val="24"/>
          <w:szCs w:val="24"/>
          <w:lang w:val="en-US"/>
        </w:rPr>
        <w:t xml:space="preserve">pembangunan perumahan </w:t>
      </w:r>
      <w:r w:rsidRPr="00476DA8">
        <w:rPr>
          <w:rFonts w:ascii="Times New Roman" w:hAnsi="Times New Roman" w:cs="Times New Roman"/>
          <w:sz w:val="24"/>
          <w:szCs w:val="24"/>
        </w:rPr>
        <w:t>tidak menepati janjinya pada waktu yang telah ditentukan, maka pihak yang merasa dirugikan diharuskan melaksanakan peneguran terlebih dahulu supaya pihak yang lain memenuhi prestasinya.</w:t>
      </w:r>
      <w:r w:rsidRPr="00476DA8">
        <w:rPr>
          <w:rStyle w:val="FootnoteReference"/>
          <w:rFonts w:ascii="Times New Roman" w:hAnsi="Times New Roman" w:cs="Times New Roman"/>
          <w:sz w:val="24"/>
          <w:szCs w:val="24"/>
        </w:rPr>
        <w:t xml:space="preserve"> </w:t>
      </w:r>
      <w:r w:rsidRPr="00476DA8">
        <w:rPr>
          <w:rFonts w:ascii="Times New Roman" w:hAnsi="Times New Roman" w:cs="Times New Roman"/>
          <w:sz w:val="24"/>
          <w:szCs w:val="24"/>
          <w:lang w:val="en-US"/>
        </w:rPr>
        <w:t xml:space="preserve"> </w:t>
      </w:r>
    </w:p>
    <w:p w:rsidR="004B3276" w:rsidRPr="00476DA8" w:rsidRDefault="004B3276" w:rsidP="004B3276">
      <w:pPr>
        <w:pStyle w:val="NoSpacing"/>
        <w:spacing w:line="456" w:lineRule="auto"/>
        <w:ind w:firstLine="720"/>
        <w:jc w:val="both"/>
        <w:rPr>
          <w:rFonts w:ascii="Times New Roman" w:hAnsi="Times New Roman" w:cs="Times New Roman"/>
          <w:sz w:val="24"/>
          <w:szCs w:val="24"/>
          <w:lang w:val="en-US"/>
        </w:rPr>
      </w:pPr>
      <w:r w:rsidRPr="00476DA8">
        <w:rPr>
          <w:rFonts w:ascii="Times New Roman" w:hAnsi="Times New Roman" w:cs="Times New Roman"/>
          <w:sz w:val="24"/>
          <w:szCs w:val="24"/>
        </w:rPr>
        <w:t>Tindakan wanprestasi membawa konsekuensi terhadap timbulnya hak pihak yang dirugikan untuk menuntut pihak yang melakukan wanprestasi untuk memberikan ganti rugi, sehingga oleh hukum diharapkan agar  tidak ada satu pihak pun yang dirugikan karena wanprestasi tersebut.</w:t>
      </w:r>
      <w:r w:rsidRPr="00476DA8">
        <w:rPr>
          <w:rStyle w:val="FootnoteReference"/>
          <w:rFonts w:ascii="Times New Roman" w:hAnsi="Times New Roman" w:cs="Times New Roman"/>
          <w:sz w:val="24"/>
          <w:szCs w:val="24"/>
          <w:lang w:val="en-US"/>
        </w:rPr>
        <w:footnoteReference w:id="8"/>
      </w:r>
      <w:r w:rsidRPr="00476DA8">
        <w:rPr>
          <w:rFonts w:ascii="Times New Roman" w:hAnsi="Times New Roman" w:cs="Times New Roman"/>
          <w:sz w:val="24"/>
          <w:szCs w:val="24"/>
        </w:rPr>
        <w:t xml:space="preserve"> </w:t>
      </w:r>
      <w:r w:rsidRPr="00476DA8">
        <w:rPr>
          <w:rFonts w:ascii="Times New Roman" w:hAnsi="Times New Roman" w:cs="Times New Roman"/>
          <w:sz w:val="24"/>
          <w:szCs w:val="24"/>
          <w:lang w:val="en-US"/>
        </w:rPr>
        <w:t xml:space="preserve">Tindakan wanprestasi ini </w:t>
      </w:r>
      <w:r w:rsidRPr="00476DA8">
        <w:rPr>
          <w:rFonts w:ascii="Times New Roman" w:hAnsi="Times New Roman" w:cs="Times New Roman"/>
          <w:sz w:val="24"/>
          <w:szCs w:val="24"/>
          <w:lang w:val="en-US"/>
        </w:rPr>
        <w:lastRenderedPageBreak/>
        <w:t>dapat terjadi karena kesengajaan, kelalaian dan tanpa kesalahan (tanpa kesengajaan dan kelalaian).</w:t>
      </w:r>
      <w:r w:rsidRPr="00476DA8">
        <w:rPr>
          <w:rStyle w:val="FootnoteReference"/>
          <w:rFonts w:ascii="Times New Roman" w:hAnsi="Times New Roman" w:cs="Times New Roman"/>
          <w:sz w:val="24"/>
          <w:szCs w:val="24"/>
          <w:lang w:val="en-US"/>
        </w:rPr>
        <w:footnoteReference w:id="9"/>
      </w:r>
    </w:p>
    <w:p w:rsidR="004B3276" w:rsidRPr="00476DA8" w:rsidRDefault="004B3276" w:rsidP="004B3276">
      <w:pPr>
        <w:pStyle w:val="NoSpacing"/>
        <w:spacing w:line="444" w:lineRule="auto"/>
        <w:ind w:firstLine="709"/>
        <w:jc w:val="both"/>
        <w:rPr>
          <w:rFonts w:ascii="Times New Roman" w:hAnsi="Times New Roman" w:cs="Times New Roman"/>
          <w:sz w:val="24"/>
          <w:szCs w:val="24"/>
        </w:rPr>
      </w:pPr>
      <w:r w:rsidRPr="00476DA8">
        <w:rPr>
          <w:rFonts w:ascii="Times New Roman" w:hAnsi="Times New Roman" w:cs="Times New Roman"/>
          <w:sz w:val="24"/>
          <w:szCs w:val="24"/>
          <w:lang w:val="en-US"/>
        </w:rPr>
        <w:t xml:space="preserve">Berdasarkan pendapat tersebut di atas, maka </w:t>
      </w:r>
      <w:r w:rsidRPr="00476DA8">
        <w:rPr>
          <w:rFonts w:ascii="Times New Roman" w:hAnsi="Times New Roman" w:cs="Times New Roman"/>
          <w:bCs/>
          <w:color w:val="000000"/>
          <w:sz w:val="24"/>
          <w:szCs w:val="24"/>
        </w:rPr>
        <w:t xml:space="preserve">bentuk </w:t>
      </w:r>
      <w:r w:rsidRPr="00476DA8">
        <w:rPr>
          <w:rFonts w:ascii="Times New Roman" w:hAnsi="Times New Roman" w:cs="Times New Roman"/>
          <w:sz w:val="24"/>
          <w:szCs w:val="24"/>
        </w:rPr>
        <w:t xml:space="preserve">wanprestasi dalam </w:t>
      </w:r>
      <w:r w:rsidRPr="00476DA8">
        <w:rPr>
          <w:rFonts w:ascii="Times New Roman" w:hAnsi="Times New Roman" w:cs="Times New Roman"/>
          <w:sz w:val="24"/>
          <w:szCs w:val="24"/>
          <w:lang w:val="en-US"/>
        </w:rPr>
        <w:t>pembangunan perumahan</w:t>
      </w:r>
      <w:r w:rsidRPr="00476DA8">
        <w:rPr>
          <w:rFonts w:ascii="Times New Roman" w:hAnsi="Times New Roman" w:cs="Times New Roman"/>
          <w:sz w:val="24"/>
          <w:szCs w:val="24"/>
        </w:rPr>
        <w:t xml:space="preserve"> adalah apabila salah satu pihak telah melanggar kewajibannya atau tidak melaksanakan kewajibannya sebagaimana diatur dalam perjanjian tersebut.</w:t>
      </w:r>
      <w:r w:rsidRPr="00476DA8">
        <w:rPr>
          <w:rFonts w:ascii="Times New Roman" w:hAnsi="Times New Roman" w:cs="Times New Roman"/>
          <w:b/>
          <w:sz w:val="24"/>
          <w:szCs w:val="24"/>
          <w:lang w:val="en-US"/>
        </w:rPr>
        <w:t xml:space="preserve"> </w:t>
      </w:r>
      <w:r w:rsidRPr="00476DA8">
        <w:rPr>
          <w:rFonts w:ascii="Times New Roman" w:hAnsi="Times New Roman" w:cs="Times New Roman"/>
          <w:sz w:val="24"/>
          <w:szCs w:val="24"/>
        </w:rPr>
        <w:t xml:space="preserve">Prakteknya dalam perjanjian </w:t>
      </w:r>
      <w:r w:rsidRPr="00476DA8">
        <w:rPr>
          <w:rFonts w:ascii="Times New Roman" w:hAnsi="Times New Roman" w:cs="Times New Roman"/>
          <w:sz w:val="24"/>
          <w:szCs w:val="24"/>
          <w:lang w:val="en-US"/>
        </w:rPr>
        <w:t>pembangunan perumahan</w:t>
      </w:r>
      <w:r w:rsidRPr="00476DA8">
        <w:rPr>
          <w:rFonts w:ascii="Times New Roman" w:hAnsi="Times New Roman" w:cs="Times New Roman"/>
          <w:sz w:val="24"/>
          <w:szCs w:val="24"/>
        </w:rPr>
        <w:t xml:space="preserve"> apabila salah satu pihak tidak melakukan kewajibannya, berarti telah melakukan wanprestasi yang mempunyai akibat hukum  yaitu:</w:t>
      </w:r>
    </w:p>
    <w:p w:rsidR="004B3276" w:rsidRPr="00476DA8" w:rsidRDefault="004B3276" w:rsidP="000A35B7">
      <w:pPr>
        <w:pStyle w:val="BodyText"/>
        <w:numPr>
          <w:ilvl w:val="0"/>
          <w:numId w:val="15"/>
        </w:numPr>
        <w:tabs>
          <w:tab w:val="clear" w:pos="709"/>
        </w:tabs>
        <w:ind w:left="360"/>
        <w:rPr>
          <w:bCs/>
        </w:rPr>
      </w:pPr>
      <w:r w:rsidRPr="00476DA8">
        <w:rPr>
          <w:bCs/>
        </w:rPr>
        <w:t xml:space="preserve">Pembatalan perjanjian </w:t>
      </w:r>
    </w:p>
    <w:p w:rsidR="004B3276" w:rsidRPr="00476DA8" w:rsidRDefault="004B3276" w:rsidP="004B3276">
      <w:pPr>
        <w:spacing w:line="516" w:lineRule="auto"/>
        <w:ind w:firstLine="720"/>
        <w:jc w:val="both"/>
      </w:pPr>
      <w:r w:rsidRPr="00476DA8">
        <w:t xml:space="preserve">Pembatalan perjanjian disini bukanlah pembatalan karena tidak memenuhi syarat subjektif dalam perjanjian, akan tetapi karena salah satu pihak telah melakukan wanprestasi. </w:t>
      </w:r>
      <w:r>
        <w:t xml:space="preserve"> </w:t>
      </w:r>
      <w:r w:rsidRPr="00476DA8">
        <w:t>Pembatalan perjanjian dalam khasanah hukum perikatan adalah suatu keadaan yang membawa akibat suatu hubungan perikatan itu dianggap tidak pernah ada. Dengan pembatalan perjanjian maka eksistensi perikatan dengan sendiri hapus. Akibat hukum kebatalan yang menghapus eksistensi perikatan selalu dianggap berlaku surut sejak dibuatnya perjanjian.</w:t>
      </w:r>
      <w:r w:rsidRPr="00476DA8">
        <w:rPr>
          <w:rStyle w:val="FootnoteReference"/>
        </w:rPr>
        <w:footnoteReference w:id="10"/>
      </w:r>
    </w:p>
    <w:p w:rsidR="004B3276" w:rsidRPr="00476DA8" w:rsidRDefault="004B3276" w:rsidP="000A35B7">
      <w:pPr>
        <w:pStyle w:val="BodyText"/>
        <w:numPr>
          <w:ilvl w:val="0"/>
          <w:numId w:val="15"/>
        </w:numPr>
        <w:tabs>
          <w:tab w:val="clear" w:pos="709"/>
        </w:tabs>
        <w:spacing w:line="516" w:lineRule="auto"/>
        <w:ind w:left="360"/>
      </w:pPr>
      <w:r w:rsidRPr="00476DA8">
        <w:rPr>
          <w:color w:val="000000"/>
        </w:rPr>
        <w:t>Pembayaan ganti rugi</w:t>
      </w:r>
    </w:p>
    <w:p w:rsidR="004B3276" w:rsidRPr="00476DA8" w:rsidRDefault="004B3276" w:rsidP="004B3276">
      <w:pPr>
        <w:spacing w:line="516" w:lineRule="auto"/>
        <w:ind w:firstLine="720"/>
        <w:jc w:val="both"/>
      </w:pPr>
      <w:r w:rsidRPr="00476DA8">
        <w:t>Ganti rugi terdiri dari tiga unsur yaitu biaya, rugi dan bunga.</w:t>
      </w:r>
      <w:r w:rsidRPr="00476DA8">
        <w:rPr>
          <w:rStyle w:val="FootnoteReference"/>
        </w:rPr>
        <w:footnoteReference w:id="11"/>
      </w:r>
      <w:r w:rsidRPr="00476DA8">
        <w:t xml:space="preserve"> Ganti rugi yang dimaksud dengan biaya adalah segala pengeluaran atau ongkos yang nyata-nyata sudah dikeluarkan oleh salah satu pihak. Sedangkan rugi adalah kerugian karena kerusakan barang-barang milik kreditur yang diakibatkan oleh kelalaian </w:t>
      </w:r>
      <w:r w:rsidRPr="00476DA8">
        <w:lastRenderedPageBreak/>
        <w:t>debitur. Bunga adalah kerugian yang berupa kehilangan keuntungan yang sudah dibayangkan atau dihitung oleh kreditur.</w:t>
      </w:r>
    </w:p>
    <w:p w:rsidR="004B3276" w:rsidRPr="00476DA8" w:rsidRDefault="004B3276" w:rsidP="004B3276">
      <w:pPr>
        <w:spacing w:line="480" w:lineRule="auto"/>
        <w:ind w:firstLine="720"/>
        <w:jc w:val="both"/>
      </w:pPr>
      <w:r w:rsidRPr="00476DA8">
        <w:t>Menurut Agus Yudha Hernoko disebutkan bahwa ganti rugi terdiri dari dua faktor yaitu:</w:t>
      </w:r>
    </w:p>
    <w:p w:rsidR="004B3276" w:rsidRDefault="004B3276" w:rsidP="000A35B7">
      <w:pPr>
        <w:pStyle w:val="Title"/>
        <w:numPr>
          <w:ilvl w:val="0"/>
          <w:numId w:val="26"/>
        </w:numPr>
        <w:spacing w:line="480" w:lineRule="auto"/>
        <w:ind w:left="360"/>
        <w:jc w:val="both"/>
        <w:rPr>
          <w:rFonts w:ascii="Times New Roman" w:hAnsi="Times New Roman"/>
          <w:b/>
        </w:rPr>
      </w:pPr>
      <w:r w:rsidRPr="00476DA8">
        <w:rPr>
          <w:rFonts w:ascii="Times New Roman" w:hAnsi="Times New Roman"/>
          <w:b/>
        </w:rPr>
        <w:t xml:space="preserve">Kerugian yang nyata diderita </w:t>
      </w:r>
      <w:r w:rsidRPr="00476DA8">
        <w:rPr>
          <w:rFonts w:ascii="Times New Roman" w:hAnsi="Times New Roman"/>
          <w:b/>
          <w:i/>
        </w:rPr>
        <w:t>(damnum emergens)</w:t>
      </w:r>
      <w:r w:rsidRPr="00476DA8">
        <w:rPr>
          <w:rFonts w:ascii="Times New Roman" w:hAnsi="Times New Roman"/>
          <w:b/>
        </w:rPr>
        <w:t xml:space="preserve"> meliputi biaya dan rugi.</w:t>
      </w:r>
    </w:p>
    <w:p w:rsidR="004B3276" w:rsidRPr="002F7A2D" w:rsidRDefault="004B3276" w:rsidP="000A35B7">
      <w:pPr>
        <w:pStyle w:val="Title"/>
        <w:numPr>
          <w:ilvl w:val="0"/>
          <w:numId w:val="26"/>
        </w:numPr>
        <w:spacing w:line="480" w:lineRule="auto"/>
        <w:ind w:left="360"/>
        <w:jc w:val="both"/>
        <w:rPr>
          <w:rFonts w:ascii="Times New Roman" w:hAnsi="Times New Roman"/>
          <w:b/>
        </w:rPr>
      </w:pPr>
      <w:r w:rsidRPr="002F7A2D">
        <w:rPr>
          <w:rFonts w:ascii="Times New Roman" w:hAnsi="Times New Roman"/>
          <w:b/>
        </w:rPr>
        <w:t xml:space="preserve">Keuntungan yang tidak diperoleh </w:t>
      </w:r>
      <w:r w:rsidRPr="002F7A2D">
        <w:rPr>
          <w:rFonts w:ascii="Times New Roman" w:hAnsi="Times New Roman"/>
          <w:b/>
          <w:i/>
        </w:rPr>
        <w:t>(lucrum cessan)</w:t>
      </w:r>
      <w:r w:rsidRPr="002F7A2D">
        <w:rPr>
          <w:rFonts w:ascii="Times New Roman" w:hAnsi="Times New Roman"/>
          <w:b/>
        </w:rPr>
        <w:t xml:space="preserve"> berupa bunga.</w:t>
      </w:r>
      <w:r w:rsidRPr="002F7A2D">
        <w:rPr>
          <w:rStyle w:val="FootnoteReference"/>
          <w:rFonts w:ascii="Times New Roman" w:hAnsi="Times New Roman"/>
          <w:b/>
        </w:rPr>
        <w:t xml:space="preserve"> </w:t>
      </w:r>
      <w:r w:rsidRPr="00476DA8">
        <w:rPr>
          <w:rStyle w:val="FootnoteReference"/>
          <w:rFonts w:ascii="Times New Roman" w:hAnsi="Times New Roman"/>
          <w:b/>
        </w:rPr>
        <w:footnoteReference w:id="12"/>
      </w:r>
    </w:p>
    <w:p w:rsidR="004B3276" w:rsidRPr="00476DA8" w:rsidRDefault="004B3276" w:rsidP="004B3276">
      <w:pPr>
        <w:pStyle w:val="Title"/>
        <w:spacing w:line="480" w:lineRule="auto"/>
        <w:ind w:firstLine="720"/>
        <w:jc w:val="both"/>
        <w:rPr>
          <w:rFonts w:ascii="Times New Roman" w:hAnsi="Times New Roman"/>
          <w:b/>
        </w:rPr>
      </w:pPr>
      <w:r w:rsidRPr="00476DA8">
        <w:rPr>
          <w:rFonts w:ascii="Times New Roman" w:hAnsi="Times New Roman"/>
          <w:b/>
        </w:rPr>
        <w:t>Kedua faktor tersebut dicakup dalam pengertian, biaya, kerugian dan bunga. Biaya adalah pengeluaran-pengeluaran nyata, misalnya biaya Notaris, biaya perjalanan dan seterusnya. Kerugian adalah berkurangnya kekayaan kreditur sebagai akibat dari pada ingkar janji dan bunga adalah keuntungan yang seharusnya diperoleh kreditur jika tidak terjadi ingkar janji.</w:t>
      </w:r>
    </w:p>
    <w:p w:rsidR="004B3276" w:rsidRPr="00476DA8" w:rsidRDefault="004B3276" w:rsidP="004B3276">
      <w:pPr>
        <w:spacing w:line="480" w:lineRule="auto"/>
        <w:ind w:firstLine="720"/>
        <w:jc w:val="both"/>
      </w:pPr>
      <w:r w:rsidRPr="00476DA8">
        <w:t>Perjanjian menentukan bahwa dalam hal terlambatnya salah satu pihak  untuk melaksanakan kewajibannya sesuai dengan ketentuan dan dalam jadwal waktu yang telah ditentukan adalah merupakan salah satu bentuk dari wanprestasi. “Pelanggaran hak-hak kontraktual tersebut menimbulkan kewajiban ganti rugi berdasarkan wanprestasi”.</w:t>
      </w:r>
      <w:r w:rsidRPr="00476DA8">
        <w:rPr>
          <w:rStyle w:val="FootnoteReference"/>
        </w:rPr>
        <w:footnoteReference w:id="13"/>
      </w:r>
      <w:r w:rsidRPr="00476DA8">
        <w:t xml:space="preserve"> Penentuan wanprestasi ini sendiri erat kaitannya dengan suatu pernyataan lalai yaitu suatu pesan dari salah satu pihak untuk memberitahukan pada saat kapan selambatnya ia mengharapkan pemenuhan prestasi. Dengan demikian sebagai hal yang tidak dapat dipisahkan dalam </w:t>
      </w:r>
      <w:r w:rsidRPr="00476DA8">
        <w:lastRenderedPageBreak/>
        <w:t>penentuan pernyataan wanprestasinya pihak  adalah ketentuan batas pelaksanaan  perjanjian itu sendiri.</w:t>
      </w:r>
    </w:p>
    <w:p w:rsidR="004B3276" w:rsidRPr="00476DA8" w:rsidRDefault="004B3276" w:rsidP="004B3276">
      <w:pPr>
        <w:spacing w:line="480" w:lineRule="auto"/>
        <w:ind w:firstLine="720"/>
        <w:jc w:val="both"/>
      </w:pPr>
      <w:r w:rsidRPr="00476DA8">
        <w:t>Keterlambatan melakukan kewajiban ini dapat juga terjadi dari bentuk wanprestasi lainnya, seperti halnya melaksanakan sesuatu yang tidak sesuai dengan apa yang telah diperjanjikan.</w:t>
      </w:r>
      <w:r w:rsidRPr="00476DA8">
        <w:rPr>
          <w:rStyle w:val="FootnoteReference"/>
        </w:rPr>
        <w:footnoteReference w:id="14"/>
      </w:r>
      <w:r w:rsidRPr="00476DA8">
        <w:t xml:space="preserve"> Sementara bentuk wanprestasi ini juga harus dapat dibedakan terhadap lalainya pihak kedua untuk tidak melakukan kewajibannya sama sekali, karena dalam hal demikian pihak kedua tidak dapat dianggap terlambat memenuhi pelaksanaan prestasi.</w:t>
      </w:r>
    </w:p>
    <w:p w:rsidR="004B3276" w:rsidRPr="00476DA8" w:rsidRDefault="004B3276" w:rsidP="004B3276">
      <w:pPr>
        <w:spacing w:line="480" w:lineRule="auto"/>
        <w:ind w:firstLine="720"/>
        <w:jc w:val="both"/>
      </w:pPr>
      <w:r w:rsidRPr="00476DA8">
        <w:t>Prakteknya dalam perjanjian jika timbul  kerugian di salah satu pihak, maka pihak yang menimbulkan kerugian harus bertanggung jawab untuk memberikan ganti rugi kepada pihak yang dirugikan. Adapun dasar hukum yang dipakai dalam tanggung jawab adalah Pasal 1367 KUHPerdata yang menyebutkan bahwa seseorang bertanggung jawab juga untuk kerugian yang disebabkan karena perbuatan orang-orang yang menjadi tanggungannya atau disebabkan oleh barang-barang yang berada di bawah pengawasannya.</w:t>
      </w:r>
    </w:p>
    <w:p w:rsidR="004B3276" w:rsidRPr="00476DA8" w:rsidRDefault="004B3276" w:rsidP="004B3276">
      <w:pPr>
        <w:spacing w:line="480" w:lineRule="auto"/>
        <w:ind w:firstLine="720"/>
        <w:jc w:val="both"/>
      </w:pPr>
      <w:r w:rsidRPr="00476DA8">
        <w:t>Pekerjaan pasti mempunyai risiko  yaitu kewajiban untuk memikul kerugian jika ada suatu kejadian di luar kesalahan salah satu pihak yang menimpa benda yang dimaksudkan dalam perjanjian. Dengan demikian risiko adalah untuk menentukan siapa yang harus menanggung kerugian apabila pembeli tidak memenuhi prestasi di luar kesalahan.</w:t>
      </w:r>
    </w:p>
    <w:p w:rsidR="004B3276" w:rsidRDefault="004B3276" w:rsidP="004B3276">
      <w:pPr>
        <w:spacing w:line="480" w:lineRule="auto"/>
        <w:ind w:firstLine="720"/>
        <w:jc w:val="both"/>
      </w:pPr>
      <w:r w:rsidRPr="00476DA8">
        <w:t xml:space="preserve">Wanprestasi karena kesalahan salah satu pihak, maka ganti rugi sudah pasti akan ditanggung oleh pihak yang menimbulkan kerugian. Tetapi akan lain </w:t>
      </w:r>
      <w:r w:rsidRPr="00476DA8">
        <w:lastRenderedPageBreak/>
        <w:t>halnya jika tidak dipenuhinya sesuatu prestasi karena di luar kesalahan  para pihak yang dalam hal ini berarti terjadi sesuatu peristiwa secara mendadak yang tidak dapat diduga-duga terlebih dahulu dan karena itu tidak dapat dipertanggung jawabkan kepada pihak yang menderita kerugian.</w:t>
      </w:r>
    </w:p>
    <w:p w:rsidR="004B3276" w:rsidRPr="00476DA8" w:rsidRDefault="004B3276" w:rsidP="004B3276">
      <w:pPr>
        <w:spacing w:line="480" w:lineRule="auto"/>
        <w:ind w:firstLine="720"/>
        <w:jc w:val="both"/>
      </w:pPr>
      <w:r w:rsidRPr="00476DA8">
        <w:t>Kerugian yang dapat dimintakan penggantian itu tidak hanya yang berupa biaya-biaya yang sungguh-sungguh telah dikeluarkan atau kerugian yang sungguh-sungguh menimpa harta benda yang berpiutang tetapi juga yang berupa kehilangan keuntungan yaitu keuntungan yang akan didapat jika debitur tidak lalai.</w:t>
      </w:r>
      <w:r w:rsidRPr="00476DA8">
        <w:rPr>
          <w:rStyle w:val="FootnoteReference"/>
        </w:rPr>
        <w:footnoteReference w:id="15"/>
      </w:r>
    </w:p>
    <w:p w:rsidR="004B3276" w:rsidRDefault="004B3276" w:rsidP="004B3276">
      <w:pPr>
        <w:spacing w:line="480" w:lineRule="auto"/>
        <w:ind w:firstLine="720"/>
        <w:jc w:val="both"/>
      </w:pPr>
      <w:r w:rsidRPr="00476DA8">
        <w:t>Tidak semua kerugian dapat dimintakan penggantian. Undang-undang mengadakan pembatasan mengenai apa yang boleh dituntut sebagai ganti rugi yaitu dengan menetapkan hanya kerugian yang dapat dikira-kira atau diduga pada waktu perjanjian dibuat dan yang sungguh-sungguh dapat dianggap sebagai suatu akibat langsung dari kelalaian si berhutang saja dapat dimintakan penggantian.</w:t>
      </w:r>
    </w:p>
    <w:p w:rsidR="004B3276" w:rsidRPr="00476DA8" w:rsidRDefault="004B3276" w:rsidP="004B3276">
      <w:pPr>
        <w:spacing w:line="480" w:lineRule="auto"/>
        <w:ind w:firstLine="720"/>
        <w:jc w:val="both"/>
        <w:rPr>
          <w:bCs/>
        </w:rPr>
      </w:pPr>
      <w:r w:rsidRPr="00476DA8">
        <w:t xml:space="preserve">Terjadinya keadaan atau kejadian </w:t>
      </w:r>
      <w:r w:rsidRPr="00476DA8">
        <w:rPr>
          <w:i/>
        </w:rPr>
        <w:t xml:space="preserve">forcemajeur </w:t>
      </w:r>
      <w:r w:rsidRPr="00476DA8">
        <w:t xml:space="preserve">atau keadaan memaksa di luar kemampuan manusia dan hal-hal lain yang berada diluar kekuasaan yang wajar pihak bersangkutan dan terjadi secara mendadak, tidak disengaja dan tidak terduga, seperti gempa bencana alam, kebakaran, huru hara, epidemi (wabah penyakit), perang, perang saudara dan peraturan pemerintah yang kesemuanya langsung berhubungan dengan perjanjian ini, maka sesuai dengan perjanjian, maka masing-masing pihak dibebaskan dari kewajiban atau pelaksanaan kewajibannya. </w:t>
      </w:r>
      <w:r w:rsidRPr="00476DA8">
        <w:rPr>
          <w:bCs/>
        </w:rPr>
        <w:t xml:space="preserve">Salah satu pengecualian hukuman terhadap tindakan yang </w:t>
      </w:r>
      <w:r w:rsidRPr="00476DA8">
        <w:rPr>
          <w:bCs/>
        </w:rPr>
        <w:lastRenderedPageBreak/>
        <w:t xml:space="preserve">dilakukan  untuk memberikan ganti rugi adalah apabila terjadi suatu keadaan memaksa </w:t>
      </w:r>
      <w:r w:rsidRPr="00476DA8">
        <w:rPr>
          <w:bCs/>
          <w:i/>
        </w:rPr>
        <w:t>(force majeur)</w:t>
      </w:r>
      <w:r w:rsidRPr="00476DA8">
        <w:rPr>
          <w:bCs/>
        </w:rPr>
        <w:t xml:space="preserve">. Keadaan memaksa </w:t>
      </w:r>
      <w:r w:rsidRPr="00476DA8">
        <w:rPr>
          <w:bCs/>
          <w:i/>
        </w:rPr>
        <w:t>(force majeur)</w:t>
      </w:r>
      <w:r w:rsidRPr="00476DA8">
        <w:rPr>
          <w:bCs/>
        </w:rPr>
        <w:t xml:space="preserve"> adalah suatu keadaan yang dapat menyebabkan bahwa suatu hak atau suatu kewajiban dalam suatu perjanjian tidak dapat dilaksanakan.</w:t>
      </w:r>
      <w:r w:rsidRPr="00476DA8">
        <w:rPr>
          <w:rStyle w:val="FootnoteReference"/>
          <w:bCs/>
        </w:rPr>
        <w:footnoteReference w:id="16"/>
      </w:r>
    </w:p>
    <w:p w:rsidR="004B3276" w:rsidRPr="00476DA8" w:rsidRDefault="004B3276" w:rsidP="004B3276">
      <w:pPr>
        <w:pStyle w:val="Title"/>
        <w:spacing w:line="480" w:lineRule="auto"/>
        <w:ind w:firstLine="720"/>
        <w:jc w:val="both"/>
        <w:rPr>
          <w:rFonts w:ascii="Times New Roman" w:hAnsi="Times New Roman"/>
          <w:b/>
        </w:rPr>
      </w:pPr>
      <w:r w:rsidRPr="00476DA8">
        <w:rPr>
          <w:rFonts w:ascii="Times New Roman" w:hAnsi="Times New Roman"/>
          <w:b/>
          <w:lang w:val="id-ID"/>
        </w:rPr>
        <w:t xml:space="preserve">Keadaan memaksa ini dapat diartikan sebagai suatu keadaan yang terjadi di luar kesalahan salah satu pihak hingga menghalangi pembeli untuk memenuhi prestasinya. </w:t>
      </w:r>
      <w:r w:rsidRPr="00476DA8">
        <w:rPr>
          <w:rFonts w:ascii="Times New Roman" w:hAnsi="Times New Roman"/>
          <w:b/>
        </w:rPr>
        <w:t xml:space="preserve">Meskipun demikian keadaan memaksa ini harus dapat dinilai hingga benar-benar dapat dipastikan bahwa secara logika atau akal sehat prestasi tersebut tidak akan mungkin terlaksana. </w:t>
      </w:r>
    </w:p>
    <w:p w:rsidR="004B3276" w:rsidRPr="00476DA8" w:rsidRDefault="004B3276" w:rsidP="004B3276">
      <w:pPr>
        <w:autoSpaceDE w:val="0"/>
        <w:autoSpaceDN w:val="0"/>
        <w:adjustRightInd w:val="0"/>
        <w:spacing w:line="480" w:lineRule="auto"/>
        <w:ind w:firstLine="720"/>
        <w:jc w:val="both"/>
        <w:rPr>
          <w:color w:val="000000"/>
          <w:lang w:eastAsia="id-ID"/>
        </w:rPr>
      </w:pPr>
      <w:r w:rsidRPr="00476DA8">
        <w:rPr>
          <w:color w:val="000000"/>
          <w:lang w:eastAsia="id-ID"/>
        </w:rPr>
        <w:t xml:space="preserve">Menurut Hasanuddin Rahman, ada beberapa pasal dalam KUHPerdata yang dapat digunakan sebagai pedoman ketentuan </w:t>
      </w:r>
      <w:r w:rsidRPr="00476DA8">
        <w:rPr>
          <w:i/>
          <w:color w:val="000000"/>
          <w:lang w:eastAsia="id-ID"/>
        </w:rPr>
        <w:t>force majeure</w:t>
      </w:r>
      <w:r w:rsidRPr="00476DA8">
        <w:rPr>
          <w:color w:val="000000"/>
          <w:lang w:eastAsia="id-ID"/>
        </w:rPr>
        <w:t>, antara lain:</w:t>
      </w:r>
    </w:p>
    <w:p w:rsidR="004B3276" w:rsidRPr="00476DA8" w:rsidRDefault="004B3276" w:rsidP="000A35B7">
      <w:pPr>
        <w:numPr>
          <w:ilvl w:val="0"/>
          <w:numId w:val="9"/>
        </w:numPr>
        <w:tabs>
          <w:tab w:val="left" w:pos="851"/>
        </w:tabs>
        <w:autoSpaceDE w:val="0"/>
        <w:autoSpaceDN w:val="0"/>
        <w:adjustRightInd w:val="0"/>
        <w:ind w:left="851"/>
        <w:jc w:val="both"/>
        <w:rPr>
          <w:color w:val="000000"/>
          <w:lang w:eastAsia="id-ID"/>
        </w:rPr>
      </w:pPr>
      <w:r w:rsidRPr="00476DA8">
        <w:rPr>
          <w:color w:val="000000"/>
          <w:lang w:eastAsia="id-ID"/>
        </w:rPr>
        <w:t>Pasal 1244: “Jika ada alasan untuk itu, si berhutang harus dihukum mengganti biaya, rugi dan bunga apabila ia tidak dapat membuktikan, bahwa hal tidak atau tidak pada waktu yang tepat dilaksanakannya perikatan itu, disebabkan karena suatu hal yang tidak terduga, pun tidak dapat dipertanggungjawabkan padanya. Kesemuanya itupun jika itikad buruk tidaklah ada pada pihaknya.</w:t>
      </w:r>
    </w:p>
    <w:p w:rsidR="004B3276" w:rsidRPr="00476DA8" w:rsidRDefault="004B3276" w:rsidP="000A35B7">
      <w:pPr>
        <w:numPr>
          <w:ilvl w:val="0"/>
          <w:numId w:val="9"/>
        </w:numPr>
        <w:tabs>
          <w:tab w:val="left" w:pos="851"/>
        </w:tabs>
        <w:autoSpaceDE w:val="0"/>
        <w:autoSpaceDN w:val="0"/>
        <w:adjustRightInd w:val="0"/>
        <w:ind w:left="851"/>
        <w:jc w:val="both"/>
        <w:rPr>
          <w:color w:val="000000"/>
          <w:lang w:eastAsia="id-ID"/>
        </w:rPr>
      </w:pPr>
      <w:r w:rsidRPr="00476DA8">
        <w:rPr>
          <w:color w:val="000000"/>
          <w:lang w:eastAsia="id-ID"/>
        </w:rPr>
        <w:t>Pasal 1245: “Tidaklah biaya rugi dan bunga, harus digantinya, apabila lantaran keadaan memaksa atau lantaran suatu kejadian tidak disengaja siberhutang berhalangan memberikan atau berbuat sesuatu yang diwajibkan, atau lantaran hal-hal yang sama telah melakukan perbuatan yang terlarang.”</w:t>
      </w:r>
    </w:p>
    <w:p w:rsidR="004B3276" w:rsidRPr="00476DA8" w:rsidRDefault="004B3276" w:rsidP="000A35B7">
      <w:pPr>
        <w:numPr>
          <w:ilvl w:val="0"/>
          <w:numId w:val="9"/>
        </w:numPr>
        <w:tabs>
          <w:tab w:val="left" w:pos="851"/>
        </w:tabs>
        <w:autoSpaceDE w:val="0"/>
        <w:autoSpaceDN w:val="0"/>
        <w:adjustRightInd w:val="0"/>
        <w:ind w:left="851"/>
        <w:jc w:val="both"/>
        <w:rPr>
          <w:color w:val="000000"/>
          <w:lang w:eastAsia="id-ID"/>
        </w:rPr>
      </w:pPr>
      <w:r w:rsidRPr="00476DA8">
        <w:rPr>
          <w:color w:val="000000"/>
          <w:lang w:eastAsia="id-ID"/>
        </w:rPr>
        <w:t>Pasal 1545: “Jika suatu barang tertentu, yang telah dijanjikan untuk ditukar, musnah diluar salah pemiliknya, maka persetujuan dianggap sebagai gugur, dan siapa yang dari pihaknya telah memenuhi persetujuan, dapat menuntut kembali barang yang ia telah berikan dalam tukar-menukar.”</w:t>
      </w:r>
    </w:p>
    <w:p w:rsidR="004B3276" w:rsidRPr="00476DA8" w:rsidRDefault="004B3276" w:rsidP="000A35B7">
      <w:pPr>
        <w:numPr>
          <w:ilvl w:val="0"/>
          <w:numId w:val="9"/>
        </w:numPr>
        <w:tabs>
          <w:tab w:val="left" w:pos="851"/>
        </w:tabs>
        <w:autoSpaceDE w:val="0"/>
        <w:autoSpaceDN w:val="0"/>
        <w:adjustRightInd w:val="0"/>
        <w:ind w:left="851"/>
        <w:jc w:val="both"/>
        <w:rPr>
          <w:color w:val="000000"/>
          <w:lang w:eastAsia="id-ID"/>
        </w:rPr>
      </w:pPr>
      <w:r w:rsidRPr="00476DA8">
        <w:rPr>
          <w:color w:val="000000"/>
          <w:lang w:eastAsia="id-ID"/>
        </w:rPr>
        <w:t>Pasal 1553: “Jika selama waktu sewa, barang yang disewakan sama sekali musnah karena suatu kejadian yang tidak disengaja, maka persetujuan sewa gugur demi hukum.”</w:t>
      </w:r>
      <w:r w:rsidRPr="00476DA8">
        <w:rPr>
          <w:rStyle w:val="FootnoteReference"/>
          <w:color w:val="000000"/>
          <w:lang w:eastAsia="id-ID"/>
        </w:rPr>
        <w:t xml:space="preserve"> </w:t>
      </w:r>
      <w:r w:rsidRPr="00476DA8">
        <w:rPr>
          <w:rStyle w:val="FootnoteReference"/>
          <w:color w:val="000000"/>
          <w:lang w:eastAsia="id-ID"/>
        </w:rPr>
        <w:footnoteReference w:id="17"/>
      </w:r>
    </w:p>
    <w:p w:rsidR="004B3276" w:rsidRPr="00476DA8" w:rsidRDefault="004B3276" w:rsidP="004B3276">
      <w:pPr>
        <w:tabs>
          <w:tab w:val="left" w:pos="851"/>
        </w:tabs>
        <w:autoSpaceDE w:val="0"/>
        <w:autoSpaceDN w:val="0"/>
        <w:adjustRightInd w:val="0"/>
        <w:ind w:left="851"/>
        <w:jc w:val="both"/>
        <w:rPr>
          <w:color w:val="000000"/>
          <w:lang w:eastAsia="id-ID"/>
        </w:rPr>
      </w:pPr>
    </w:p>
    <w:p w:rsidR="004B3276" w:rsidRPr="00476DA8" w:rsidRDefault="004B3276" w:rsidP="004B3276">
      <w:pPr>
        <w:autoSpaceDE w:val="0"/>
        <w:autoSpaceDN w:val="0"/>
        <w:adjustRightInd w:val="0"/>
        <w:spacing w:line="480" w:lineRule="auto"/>
        <w:ind w:firstLine="720"/>
        <w:jc w:val="both"/>
        <w:rPr>
          <w:color w:val="000000"/>
          <w:lang w:eastAsia="id-ID"/>
        </w:rPr>
      </w:pPr>
      <w:r w:rsidRPr="00476DA8">
        <w:rPr>
          <w:color w:val="000000"/>
          <w:lang w:eastAsia="id-ID"/>
        </w:rPr>
        <w:lastRenderedPageBreak/>
        <w:t xml:space="preserve">Kata tidak disengaja dalam Pasal 1245 dan Pasal 1553 pada dasarnya kurang tepat, karena kata “tidak disengaja” berkonotasi kelalaian </w:t>
      </w:r>
      <w:r w:rsidRPr="00476DA8">
        <w:rPr>
          <w:i/>
          <w:color w:val="000000"/>
          <w:lang w:eastAsia="id-ID"/>
        </w:rPr>
        <w:t>(negligence)</w:t>
      </w:r>
      <w:r w:rsidRPr="00476DA8">
        <w:rPr>
          <w:color w:val="000000"/>
          <w:lang w:eastAsia="id-ID"/>
        </w:rPr>
        <w:t xml:space="preserve"> yang dalam Hukum Perdata, juga diatur dalam ketentuan hukum tersendiri. Sehingga kata yang tepat adalah diluar kesalahan.</w:t>
      </w:r>
      <w:r w:rsidRPr="00476DA8">
        <w:rPr>
          <w:rStyle w:val="FootnoteReference"/>
          <w:color w:val="000000"/>
          <w:lang w:eastAsia="id-ID"/>
        </w:rPr>
        <w:t xml:space="preserve"> </w:t>
      </w:r>
    </w:p>
    <w:p w:rsidR="004B3276" w:rsidRPr="00476DA8" w:rsidRDefault="004B3276" w:rsidP="004B3276">
      <w:pPr>
        <w:autoSpaceDE w:val="0"/>
        <w:autoSpaceDN w:val="0"/>
        <w:adjustRightInd w:val="0"/>
        <w:spacing w:line="480" w:lineRule="auto"/>
        <w:ind w:firstLine="720"/>
        <w:jc w:val="both"/>
        <w:rPr>
          <w:color w:val="000000"/>
          <w:lang w:eastAsia="id-ID"/>
        </w:rPr>
      </w:pPr>
      <w:r w:rsidRPr="00476DA8">
        <w:rPr>
          <w:color w:val="000000"/>
          <w:lang w:eastAsia="id-ID"/>
        </w:rPr>
        <w:t xml:space="preserve">Berdasarkan rumusan pasal-pasal tersebut, setidaknya terdapat 3 (tiga) unsur yang harus di penuhi untuk </w:t>
      </w:r>
      <w:r w:rsidRPr="00476DA8">
        <w:rPr>
          <w:i/>
          <w:color w:val="000000"/>
          <w:lang w:eastAsia="id-ID"/>
        </w:rPr>
        <w:t>force majeure</w:t>
      </w:r>
      <w:r w:rsidRPr="00476DA8">
        <w:rPr>
          <w:color w:val="000000"/>
          <w:lang w:eastAsia="id-ID"/>
        </w:rPr>
        <w:t xml:space="preserve"> ini, yaitu:</w:t>
      </w:r>
    </w:p>
    <w:p w:rsidR="004B3276" w:rsidRPr="00476DA8" w:rsidRDefault="004B3276" w:rsidP="000A35B7">
      <w:pPr>
        <w:numPr>
          <w:ilvl w:val="0"/>
          <w:numId w:val="10"/>
        </w:numPr>
        <w:autoSpaceDE w:val="0"/>
        <w:autoSpaceDN w:val="0"/>
        <w:adjustRightInd w:val="0"/>
        <w:spacing w:line="480" w:lineRule="auto"/>
        <w:ind w:left="360"/>
        <w:rPr>
          <w:color w:val="000000"/>
          <w:lang w:eastAsia="id-ID"/>
        </w:rPr>
      </w:pPr>
      <w:r w:rsidRPr="00476DA8">
        <w:rPr>
          <w:color w:val="000000"/>
          <w:lang w:eastAsia="id-ID"/>
        </w:rPr>
        <w:t>Tidak memenuhi prestasi;</w:t>
      </w:r>
    </w:p>
    <w:p w:rsidR="004B3276" w:rsidRPr="00476DA8" w:rsidRDefault="004B3276" w:rsidP="000A35B7">
      <w:pPr>
        <w:numPr>
          <w:ilvl w:val="0"/>
          <w:numId w:val="10"/>
        </w:numPr>
        <w:autoSpaceDE w:val="0"/>
        <w:autoSpaceDN w:val="0"/>
        <w:adjustRightInd w:val="0"/>
        <w:spacing w:line="480" w:lineRule="auto"/>
        <w:ind w:left="360"/>
        <w:rPr>
          <w:color w:val="000000"/>
          <w:lang w:eastAsia="id-ID"/>
        </w:rPr>
      </w:pPr>
      <w:r w:rsidRPr="00476DA8">
        <w:rPr>
          <w:color w:val="000000"/>
          <w:lang w:eastAsia="id-ID"/>
        </w:rPr>
        <w:t>Ada sebab yang terletak di luar kesalahan yang bersangkutan;</w:t>
      </w:r>
    </w:p>
    <w:p w:rsidR="004B3276" w:rsidRPr="00476DA8" w:rsidRDefault="004B3276" w:rsidP="000A35B7">
      <w:pPr>
        <w:numPr>
          <w:ilvl w:val="0"/>
          <w:numId w:val="10"/>
        </w:numPr>
        <w:autoSpaceDE w:val="0"/>
        <w:autoSpaceDN w:val="0"/>
        <w:adjustRightInd w:val="0"/>
        <w:spacing w:line="480" w:lineRule="auto"/>
        <w:ind w:left="360"/>
        <w:jc w:val="both"/>
        <w:rPr>
          <w:color w:val="000000"/>
          <w:lang w:eastAsia="id-ID"/>
        </w:rPr>
      </w:pPr>
      <w:r w:rsidRPr="00476DA8">
        <w:rPr>
          <w:color w:val="000000"/>
          <w:lang w:eastAsia="id-ID"/>
        </w:rPr>
        <w:t>Faktor penyebab itu tidak diduga sebelumnya dan tidak dapat dipertanggungjawabkan kepada yang bersangkutan.</w:t>
      </w:r>
      <w:r w:rsidRPr="00476DA8">
        <w:rPr>
          <w:rStyle w:val="FootnoteReference"/>
          <w:color w:val="000000"/>
          <w:lang w:eastAsia="id-ID"/>
        </w:rPr>
        <w:footnoteReference w:id="18"/>
      </w:r>
    </w:p>
    <w:p w:rsidR="004B3276" w:rsidRPr="00476DA8" w:rsidRDefault="004B3276" w:rsidP="004B3276">
      <w:pPr>
        <w:autoSpaceDE w:val="0"/>
        <w:autoSpaceDN w:val="0"/>
        <w:adjustRightInd w:val="0"/>
        <w:spacing w:line="480" w:lineRule="auto"/>
        <w:ind w:firstLine="720"/>
        <w:jc w:val="both"/>
        <w:rPr>
          <w:color w:val="000000"/>
          <w:lang w:eastAsia="id-ID"/>
        </w:rPr>
      </w:pPr>
      <w:r w:rsidRPr="00476DA8">
        <w:rPr>
          <w:color w:val="000000"/>
          <w:lang w:eastAsia="id-ID"/>
        </w:rPr>
        <w:t xml:space="preserve">Menurut Munir Fuady, </w:t>
      </w:r>
      <w:r w:rsidRPr="00476DA8">
        <w:rPr>
          <w:i/>
          <w:color w:val="000000"/>
          <w:lang w:eastAsia="id-ID"/>
        </w:rPr>
        <w:t>force majeure</w:t>
      </w:r>
      <w:r w:rsidRPr="00476DA8">
        <w:rPr>
          <w:color w:val="000000"/>
          <w:lang w:eastAsia="id-ID"/>
        </w:rPr>
        <w:t xml:space="preserve"> dapat dibedakan dalam berbagai jenis :</w:t>
      </w:r>
    </w:p>
    <w:p w:rsidR="004B3276" w:rsidRPr="00476DA8" w:rsidRDefault="004B3276" w:rsidP="000A35B7">
      <w:pPr>
        <w:numPr>
          <w:ilvl w:val="0"/>
          <w:numId w:val="11"/>
        </w:numPr>
        <w:tabs>
          <w:tab w:val="left" w:pos="709"/>
        </w:tabs>
        <w:autoSpaceDE w:val="0"/>
        <w:autoSpaceDN w:val="0"/>
        <w:adjustRightInd w:val="0"/>
        <w:ind w:left="709" w:hanging="357"/>
        <w:jc w:val="both"/>
        <w:rPr>
          <w:color w:val="000000"/>
          <w:lang w:eastAsia="id-ID"/>
        </w:rPr>
      </w:pPr>
      <w:r w:rsidRPr="00476DA8">
        <w:rPr>
          <w:i/>
          <w:color w:val="000000"/>
          <w:lang w:eastAsia="id-ID"/>
        </w:rPr>
        <w:t>Force majeure</w:t>
      </w:r>
      <w:r w:rsidRPr="00476DA8">
        <w:rPr>
          <w:color w:val="000000"/>
          <w:lang w:eastAsia="id-ID"/>
        </w:rPr>
        <w:t xml:space="preserve"> yang obyektif, yaitu </w:t>
      </w:r>
      <w:r w:rsidRPr="00476DA8">
        <w:rPr>
          <w:i/>
          <w:color w:val="000000"/>
          <w:lang w:eastAsia="id-ID"/>
        </w:rPr>
        <w:t>force majeure</w:t>
      </w:r>
      <w:r w:rsidRPr="00476DA8">
        <w:rPr>
          <w:color w:val="000000"/>
          <w:lang w:eastAsia="id-ID"/>
        </w:rPr>
        <w:t xml:space="preserve"> yang terjadi atas benda yang merupakan obyek kontrak tersebut. Artinya, keadaan benda tersebut sedemikian rupa sehingga tidak mungkin lagi dipenuhi prestasi sesuai kontrak, tanpa adanya unsur kesalahan dari pihak debitur. Misalnya benda tersebut terbakar, maka pemenuhan prestasi sama sekali tidak mungkin dilakukan, karena yang terkena adalah benda yang merupakan obyek kontrak. </w:t>
      </w:r>
      <w:r w:rsidRPr="00476DA8">
        <w:rPr>
          <w:i/>
          <w:color w:val="000000"/>
          <w:lang w:eastAsia="id-ID"/>
        </w:rPr>
        <w:t>Force majeure</w:t>
      </w:r>
      <w:r w:rsidRPr="00476DA8">
        <w:rPr>
          <w:color w:val="000000"/>
          <w:lang w:eastAsia="id-ID"/>
        </w:rPr>
        <w:t xml:space="preserve"> seperti ini disebut juga dengan </w:t>
      </w:r>
      <w:r w:rsidRPr="00476DA8">
        <w:rPr>
          <w:i/>
          <w:iCs/>
          <w:color w:val="000000"/>
          <w:lang w:eastAsia="id-ID"/>
        </w:rPr>
        <w:t>physical impossibility.</w:t>
      </w:r>
    </w:p>
    <w:p w:rsidR="004B3276" w:rsidRPr="00476DA8" w:rsidRDefault="004B3276" w:rsidP="000A35B7">
      <w:pPr>
        <w:numPr>
          <w:ilvl w:val="0"/>
          <w:numId w:val="11"/>
        </w:numPr>
        <w:tabs>
          <w:tab w:val="left" w:pos="709"/>
        </w:tabs>
        <w:autoSpaceDE w:val="0"/>
        <w:autoSpaceDN w:val="0"/>
        <w:adjustRightInd w:val="0"/>
        <w:ind w:left="709" w:hanging="357"/>
        <w:jc w:val="both"/>
        <w:rPr>
          <w:color w:val="000000"/>
          <w:lang w:eastAsia="id-ID"/>
        </w:rPr>
      </w:pPr>
      <w:r w:rsidRPr="00476DA8">
        <w:rPr>
          <w:i/>
          <w:color w:val="000000"/>
          <w:lang w:eastAsia="id-ID"/>
        </w:rPr>
        <w:t>Force majeure</w:t>
      </w:r>
      <w:r w:rsidRPr="00476DA8">
        <w:rPr>
          <w:color w:val="000000"/>
          <w:lang w:eastAsia="id-ID"/>
        </w:rPr>
        <w:t xml:space="preserve"> yang subyektif, yaitu </w:t>
      </w:r>
      <w:r w:rsidRPr="00476DA8">
        <w:rPr>
          <w:i/>
          <w:color w:val="000000"/>
          <w:lang w:eastAsia="id-ID"/>
        </w:rPr>
        <w:t>force majeure</w:t>
      </w:r>
      <w:r w:rsidRPr="00476DA8">
        <w:rPr>
          <w:color w:val="000000"/>
          <w:lang w:eastAsia="id-ID"/>
        </w:rPr>
        <w:t xml:space="preserve"> yang terjadi dalam hubungannya dengan perbuatan atau kemampuan debitur itu sendiri. Misalnya jika si debitur sakit berat sehingga tidak mungkin berprestasi lagi.</w:t>
      </w:r>
      <w:r w:rsidRPr="00476DA8">
        <w:rPr>
          <w:rStyle w:val="FootnoteReference"/>
          <w:color w:val="000000"/>
          <w:lang w:eastAsia="id-ID"/>
        </w:rPr>
        <w:footnoteReference w:id="19"/>
      </w:r>
    </w:p>
    <w:p w:rsidR="004B3276" w:rsidRPr="00476DA8" w:rsidRDefault="004B3276" w:rsidP="004B3276">
      <w:pPr>
        <w:autoSpaceDE w:val="0"/>
        <w:autoSpaceDN w:val="0"/>
        <w:adjustRightInd w:val="0"/>
        <w:ind w:left="720"/>
        <w:jc w:val="both"/>
        <w:rPr>
          <w:color w:val="000000"/>
          <w:lang w:eastAsia="id-ID"/>
        </w:rPr>
      </w:pPr>
    </w:p>
    <w:p w:rsidR="004B3276" w:rsidRPr="00476DA8" w:rsidRDefault="004B3276" w:rsidP="004B3276">
      <w:pPr>
        <w:autoSpaceDE w:val="0"/>
        <w:autoSpaceDN w:val="0"/>
        <w:adjustRightInd w:val="0"/>
        <w:spacing w:line="480" w:lineRule="auto"/>
        <w:ind w:firstLine="720"/>
        <w:jc w:val="both"/>
        <w:rPr>
          <w:color w:val="000000"/>
          <w:lang w:eastAsia="id-ID"/>
        </w:rPr>
      </w:pPr>
      <w:r w:rsidRPr="00476DA8">
        <w:rPr>
          <w:color w:val="000000"/>
          <w:lang w:eastAsia="id-ID"/>
        </w:rPr>
        <w:t xml:space="preserve">Apabila dilihat dari segi kemungkinan pelaksanaan prestasi dalam kontrak, suatu </w:t>
      </w:r>
      <w:r w:rsidRPr="00476DA8">
        <w:rPr>
          <w:i/>
          <w:color w:val="000000"/>
          <w:lang w:eastAsia="id-ID"/>
        </w:rPr>
        <w:t>force majeure</w:t>
      </w:r>
      <w:r w:rsidRPr="00476DA8">
        <w:rPr>
          <w:color w:val="000000"/>
          <w:lang w:eastAsia="id-ID"/>
        </w:rPr>
        <w:t xml:space="preserve"> dapat dibedakan dalam:</w:t>
      </w:r>
    </w:p>
    <w:p w:rsidR="004B3276" w:rsidRPr="00476DA8" w:rsidRDefault="004B3276" w:rsidP="000A35B7">
      <w:pPr>
        <w:numPr>
          <w:ilvl w:val="0"/>
          <w:numId w:val="12"/>
        </w:numPr>
        <w:autoSpaceDE w:val="0"/>
        <w:autoSpaceDN w:val="0"/>
        <w:adjustRightInd w:val="0"/>
        <w:ind w:left="709"/>
        <w:jc w:val="both"/>
        <w:rPr>
          <w:color w:val="000000"/>
          <w:lang w:eastAsia="id-ID"/>
        </w:rPr>
      </w:pPr>
      <w:r w:rsidRPr="00476DA8">
        <w:rPr>
          <w:i/>
          <w:color w:val="000000"/>
          <w:lang w:eastAsia="id-ID"/>
        </w:rPr>
        <w:lastRenderedPageBreak/>
        <w:t>Force majeure</w:t>
      </w:r>
      <w:r w:rsidRPr="00476DA8">
        <w:rPr>
          <w:color w:val="000000"/>
          <w:lang w:eastAsia="id-ID"/>
        </w:rPr>
        <w:t xml:space="preserve"> yang absolut, yaitu suatu </w:t>
      </w:r>
      <w:r w:rsidRPr="00476DA8">
        <w:rPr>
          <w:i/>
          <w:color w:val="000000"/>
          <w:lang w:eastAsia="id-ID"/>
        </w:rPr>
        <w:t>force majeure</w:t>
      </w:r>
      <w:r w:rsidRPr="00476DA8">
        <w:rPr>
          <w:color w:val="000000"/>
          <w:lang w:eastAsia="id-ID"/>
        </w:rPr>
        <w:t xml:space="preserve"> yang terjadi sehingga prestasi dari kontrak sama sekali tidak mungkin dilakukan. Misalnya, barang yang merupakan obyek kontrak musnah.</w:t>
      </w:r>
    </w:p>
    <w:p w:rsidR="004B3276" w:rsidRPr="00476DA8" w:rsidRDefault="004B3276" w:rsidP="000A35B7">
      <w:pPr>
        <w:numPr>
          <w:ilvl w:val="0"/>
          <w:numId w:val="12"/>
        </w:numPr>
        <w:autoSpaceDE w:val="0"/>
        <w:autoSpaceDN w:val="0"/>
        <w:adjustRightInd w:val="0"/>
        <w:ind w:left="709"/>
        <w:jc w:val="both"/>
        <w:rPr>
          <w:color w:val="000000"/>
          <w:lang w:eastAsia="id-ID"/>
        </w:rPr>
      </w:pPr>
      <w:r w:rsidRPr="00476DA8">
        <w:rPr>
          <w:i/>
          <w:color w:val="000000"/>
          <w:lang w:eastAsia="id-ID"/>
        </w:rPr>
        <w:t>Force majeure</w:t>
      </w:r>
      <w:r w:rsidRPr="00476DA8">
        <w:rPr>
          <w:color w:val="000000"/>
          <w:lang w:eastAsia="id-ID"/>
        </w:rPr>
        <w:t xml:space="preserve"> yang relatif, yaitu suatu </w:t>
      </w:r>
      <w:r w:rsidRPr="00476DA8">
        <w:rPr>
          <w:i/>
          <w:color w:val="000000"/>
          <w:lang w:eastAsia="id-ID"/>
        </w:rPr>
        <w:t>force majeure</w:t>
      </w:r>
      <w:r w:rsidRPr="00476DA8">
        <w:rPr>
          <w:color w:val="000000"/>
          <w:lang w:eastAsia="id-ID"/>
        </w:rPr>
        <w:t xml:space="preserve"> di mana pemenuhan prestasi secara formal tidak mungkin dilakukan, walaupun secara tidak normal masih mungkin dilakukan. Misalnya, terhadap kontrak eksporimpor, dimana setelah kontrak di buat, terdapat larangan impor atas barang tersebut.</w:t>
      </w:r>
      <w:r w:rsidRPr="00476DA8">
        <w:rPr>
          <w:rStyle w:val="FootnoteReference"/>
          <w:color w:val="000000"/>
          <w:lang w:eastAsia="id-ID"/>
        </w:rPr>
        <w:footnoteReference w:id="20"/>
      </w:r>
    </w:p>
    <w:p w:rsidR="004B3276" w:rsidRPr="00476DA8" w:rsidRDefault="004B3276" w:rsidP="004B3276">
      <w:pPr>
        <w:autoSpaceDE w:val="0"/>
        <w:autoSpaceDN w:val="0"/>
        <w:adjustRightInd w:val="0"/>
        <w:ind w:left="709"/>
        <w:jc w:val="both"/>
        <w:rPr>
          <w:color w:val="000000"/>
          <w:lang w:eastAsia="id-ID"/>
        </w:rPr>
      </w:pPr>
    </w:p>
    <w:p w:rsidR="004B3276" w:rsidRPr="00476DA8" w:rsidRDefault="004B3276" w:rsidP="004B3276">
      <w:pPr>
        <w:autoSpaceDE w:val="0"/>
        <w:autoSpaceDN w:val="0"/>
        <w:adjustRightInd w:val="0"/>
        <w:spacing w:line="480" w:lineRule="auto"/>
        <w:ind w:firstLine="720"/>
        <w:jc w:val="both"/>
        <w:rPr>
          <w:color w:val="000000"/>
          <w:lang w:eastAsia="id-ID"/>
        </w:rPr>
      </w:pPr>
      <w:r w:rsidRPr="00476DA8">
        <w:rPr>
          <w:color w:val="000000"/>
          <w:lang w:eastAsia="id-ID"/>
        </w:rPr>
        <w:t xml:space="preserve">Dilihat dari segi jangka waktu berlakunya keadaan yang menyebabkan terjadinya </w:t>
      </w:r>
      <w:r w:rsidRPr="00476DA8">
        <w:rPr>
          <w:i/>
          <w:color w:val="000000"/>
          <w:lang w:eastAsia="id-ID"/>
        </w:rPr>
        <w:t>force majeure</w:t>
      </w:r>
      <w:r w:rsidRPr="00476DA8">
        <w:rPr>
          <w:color w:val="000000"/>
          <w:lang w:eastAsia="id-ID"/>
        </w:rPr>
        <w:t xml:space="preserve">, maka </w:t>
      </w:r>
      <w:r w:rsidRPr="00476DA8">
        <w:rPr>
          <w:i/>
          <w:color w:val="000000"/>
          <w:lang w:eastAsia="id-ID"/>
        </w:rPr>
        <w:t>force majeure</w:t>
      </w:r>
      <w:r w:rsidRPr="00476DA8">
        <w:rPr>
          <w:color w:val="000000"/>
          <w:lang w:eastAsia="id-ID"/>
        </w:rPr>
        <w:t xml:space="preserve"> dapat dibedakan dalam:</w:t>
      </w:r>
    </w:p>
    <w:p w:rsidR="004B3276" w:rsidRPr="00476DA8" w:rsidRDefault="004B3276" w:rsidP="000A35B7">
      <w:pPr>
        <w:numPr>
          <w:ilvl w:val="0"/>
          <w:numId w:val="13"/>
        </w:numPr>
        <w:tabs>
          <w:tab w:val="left" w:pos="851"/>
        </w:tabs>
        <w:autoSpaceDE w:val="0"/>
        <w:autoSpaceDN w:val="0"/>
        <w:adjustRightInd w:val="0"/>
        <w:ind w:left="851"/>
        <w:jc w:val="both"/>
        <w:rPr>
          <w:color w:val="000000"/>
          <w:lang w:eastAsia="id-ID"/>
        </w:rPr>
      </w:pPr>
      <w:r w:rsidRPr="00476DA8">
        <w:rPr>
          <w:i/>
          <w:color w:val="000000"/>
          <w:lang w:eastAsia="id-ID"/>
        </w:rPr>
        <w:t>Force majeure</w:t>
      </w:r>
      <w:r w:rsidRPr="00476DA8">
        <w:rPr>
          <w:color w:val="000000"/>
          <w:lang w:eastAsia="id-ID"/>
        </w:rPr>
        <w:t xml:space="preserve"> permanen, yaitu jika sama sekali sampai kapanpun suatu prestasi yang terbit dari kontrak tidak mungkin dilakukan lagi. Misalnya jika barang yang merupakan obyek dari kontrak tersebut musnah di luar kesalahan debitur.</w:t>
      </w:r>
    </w:p>
    <w:p w:rsidR="004B3276" w:rsidRPr="00476DA8" w:rsidRDefault="004B3276" w:rsidP="000A35B7">
      <w:pPr>
        <w:numPr>
          <w:ilvl w:val="0"/>
          <w:numId w:val="13"/>
        </w:numPr>
        <w:tabs>
          <w:tab w:val="left" w:pos="851"/>
        </w:tabs>
        <w:autoSpaceDE w:val="0"/>
        <w:autoSpaceDN w:val="0"/>
        <w:adjustRightInd w:val="0"/>
        <w:ind w:left="851"/>
        <w:jc w:val="both"/>
        <w:rPr>
          <w:color w:val="000000"/>
          <w:lang w:eastAsia="id-ID"/>
        </w:rPr>
      </w:pPr>
      <w:r w:rsidRPr="00476DA8">
        <w:rPr>
          <w:i/>
          <w:color w:val="000000"/>
          <w:lang w:eastAsia="id-ID"/>
        </w:rPr>
        <w:t>Force majeure</w:t>
      </w:r>
      <w:r w:rsidRPr="00476DA8">
        <w:rPr>
          <w:color w:val="000000"/>
          <w:lang w:eastAsia="id-ID"/>
        </w:rPr>
        <w:t xml:space="preserve"> temporer, yaitu jika terhadap pemenuhan prestasi dari kontrak tersebut tidak mungkin dilakukan untuk sementara waktu. Atau dengan kata lain, karena terjadi peristiwa tertentu di mana setelah peristiwa tersebut berhenti, prestasi tersebut dapat dipenuhi kembali. Misalnya, jika barang yang menjadi obyek kontrak tersebut tidak mungkin dikirim karena terjadi pergolakan social. Akan tetapi, nanti pada saat kondisi sudah aman, maka barang tersebut dapat dikirim kembali.</w:t>
      </w:r>
      <w:r w:rsidRPr="00476DA8">
        <w:rPr>
          <w:rStyle w:val="FootnoteReference"/>
          <w:color w:val="000000"/>
          <w:lang w:eastAsia="id-ID"/>
        </w:rPr>
        <w:footnoteReference w:id="21"/>
      </w:r>
    </w:p>
    <w:p w:rsidR="004B3276" w:rsidRPr="00476DA8" w:rsidRDefault="004B3276" w:rsidP="004B3276">
      <w:pPr>
        <w:autoSpaceDE w:val="0"/>
        <w:autoSpaceDN w:val="0"/>
        <w:adjustRightInd w:val="0"/>
        <w:ind w:left="1080"/>
        <w:jc w:val="both"/>
        <w:rPr>
          <w:color w:val="000000"/>
          <w:lang w:eastAsia="id-ID"/>
        </w:rPr>
      </w:pPr>
    </w:p>
    <w:p w:rsidR="004B3276" w:rsidRPr="00476DA8" w:rsidRDefault="004B3276" w:rsidP="004B3276">
      <w:pPr>
        <w:pStyle w:val="Title"/>
        <w:spacing w:line="480" w:lineRule="auto"/>
        <w:ind w:firstLine="720"/>
        <w:jc w:val="both"/>
        <w:rPr>
          <w:rFonts w:ascii="Times New Roman" w:hAnsi="Times New Roman"/>
          <w:b/>
          <w:color w:val="000000"/>
        </w:rPr>
      </w:pPr>
      <w:r w:rsidRPr="00476DA8">
        <w:rPr>
          <w:rFonts w:ascii="Times New Roman" w:hAnsi="Times New Roman"/>
          <w:b/>
          <w:color w:val="000000"/>
          <w:lang w:val="id-ID"/>
        </w:rPr>
        <w:t xml:space="preserve">Pelaksanaan suatu perjanjian, maka pada umumnya ditentukan tentang keadaan memaksa ini telah diberikan batasan tertentu hingga hanya terhadap keadaan yang demikian dapat disebut sebagai suatu keadaan memaksa. </w:t>
      </w:r>
      <w:r w:rsidRPr="00476DA8">
        <w:rPr>
          <w:rFonts w:ascii="Times New Roman" w:hAnsi="Times New Roman"/>
          <w:b/>
          <w:color w:val="000000"/>
        </w:rPr>
        <w:t xml:space="preserve">Penentuan ini sendiri pada dasarnya tidak bertentangan dengan asas kebebasan berkontrak dalam KUHPerdata. Keadaan memaksa </w:t>
      </w:r>
      <w:r w:rsidRPr="00476DA8">
        <w:rPr>
          <w:rFonts w:ascii="Times New Roman" w:hAnsi="Times New Roman"/>
          <w:b/>
          <w:i/>
          <w:color w:val="000000"/>
        </w:rPr>
        <w:t>(force majeur)</w:t>
      </w:r>
      <w:r w:rsidRPr="00476DA8">
        <w:rPr>
          <w:rFonts w:ascii="Times New Roman" w:hAnsi="Times New Roman"/>
          <w:b/>
          <w:color w:val="000000"/>
        </w:rPr>
        <w:t xml:space="preserve"> itu adalah suatu keadaan tidak dapat dipenuhinya prestasi oleh  karena terjadi suatu peristiwa bukan karena kesalahannya, sebab peristiwa tersebut tidak dapat diketahui atau tidak dapat diduga akan terjadi pada waktu membuat perjanjian.</w:t>
      </w:r>
      <w:r w:rsidRPr="00476DA8">
        <w:rPr>
          <w:rStyle w:val="FootnoteReference"/>
          <w:rFonts w:ascii="Times New Roman" w:hAnsi="Times New Roman"/>
          <w:b/>
          <w:color w:val="000000"/>
        </w:rPr>
        <w:footnoteReference w:id="22"/>
      </w:r>
    </w:p>
    <w:p w:rsidR="004B3276" w:rsidRPr="00476DA8" w:rsidRDefault="004B3276" w:rsidP="004B3276">
      <w:pPr>
        <w:pStyle w:val="Title"/>
        <w:spacing w:line="480" w:lineRule="auto"/>
        <w:ind w:firstLine="720"/>
        <w:jc w:val="both"/>
        <w:rPr>
          <w:rFonts w:ascii="Times New Roman" w:hAnsi="Times New Roman"/>
          <w:b/>
          <w:color w:val="000000"/>
        </w:rPr>
      </w:pPr>
      <w:r w:rsidRPr="00476DA8">
        <w:rPr>
          <w:rFonts w:ascii="Times New Roman" w:hAnsi="Times New Roman"/>
          <w:b/>
          <w:color w:val="000000"/>
        </w:rPr>
        <w:lastRenderedPageBreak/>
        <w:t xml:space="preserve">Unsur-unsur yang terdapat dalam keadaan memaksa </w:t>
      </w:r>
      <w:r w:rsidRPr="00476DA8">
        <w:rPr>
          <w:rFonts w:ascii="Times New Roman" w:hAnsi="Times New Roman"/>
          <w:b/>
          <w:i/>
          <w:color w:val="000000"/>
        </w:rPr>
        <w:t>(force majeur)</w:t>
      </w:r>
      <w:r w:rsidRPr="00476DA8">
        <w:rPr>
          <w:rFonts w:ascii="Times New Roman" w:hAnsi="Times New Roman"/>
          <w:b/>
          <w:color w:val="000000"/>
        </w:rPr>
        <w:t xml:space="preserve"> dalam perjanjian  adalah :</w:t>
      </w:r>
    </w:p>
    <w:p w:rsidR="004B3276" w:rsidRPr="00476DA8" w:rsidRDefault="004B3276" w:rsidP="000A35B7">
      <w:pPr>
        <w:pStyle w:val="Title"/>
        <w:numPr>
          <w:ilvl w:val="0"/>
          <w:numId w:val="8"/>
        </w:numPr>
        <w:tabs>
          <w:tab w:val="clear" w:pos="480"/>
          <w:tab w:val="num" w:pos="655"/>
          <w:tab w:val="left" w:pos="1276"/>
        </w:tabs>
        <w:spacing w:line="204" w:lineRule="auto"/>
        <w:ind w:left="709" w:hanging="284"/>
        <w:jc w:val="both"/>
        <w:rPr>
          <w:rFonts w:ascii="Times New Roman" w:hAnsi="Times New Roman"/>
          <w:b/>
          <w:color w:val="000000"/>
        </w:rPr>
      </w:pPr>
      <w:r w:rsidRPr="00476DA8">
        <w:rPr>
          <w:rFonts w:ascii="Times New Roman" w:hAnsi="Times New Roman"/>
          <w:b/>
          <w:color w:val="000000"/>
        </w:rPr>
        <w:t>Tidak dipenuhi prestasi karena suatu peristiwa yang membinasakan atau memusnahkan benda yang menjadi objek perjanjian.</w:t>
      </w:r>
    </w:p>
    <w:p w:rsidR="004B3276" w:rsidRPr="00476DA8" w:rsidRDefault="004B3276" w:rsidP="000A35B7">
      <w:pPr>
        <w:pStyle w:val="Title"/>
        <w:numPr>
          <w:ilvl w:val="0"/>
          <w:numId w:val="8"/>
        </w:numPr>
        <w:tabs>
          <w:tab w:val="clear" w:pos="480"/>
          <w:tab w:val="left" w:pos="709"/>
        </w:tabs>
        <w:spacing w:line="204" w:lineRule="auto"/>
        <w:ind w:left="709" w:hanging="284"/>
        <w:jc w:val="both"/>
        <w:rPr>
          <w:rFonts w:ascii="Times New Roman" w:hAnsi="Times New Roman"/>
          <w:b/>
          <w:color w:val="000000"/>
        </w:rPr>
      </w:pPr>
      <w:r w:rsidRPr="00476DA8">
        <w:rPr>
          <w:rFonts w:ascii="Times New Roman" w:hAnsi="Times New Roman"/>
          <w:b/>
          <w:color w:val="000000"/>
        </w:rPr>
        <w:t>Tidak dapat dipenuhi prestasi karena suatu peristiwa yang menghalangi perbuatan  untuk berprestasi.</w:t>
      </w:r>
    </w:p>
    <w:p w:rsidR="004B3276" w:rsidRPr="00476DA8" w:rsidRDefault="004B3276" w:rsidP="000A35B7">
      <w:pPr>
        <w:pStyle w:val="Title"/>
        <w:numPr>
          <w:ilvl w:val="0"/>
          <w:numId w:val="8"/>
        </w:numPr>
        <w:tabs>
          <w:tab w:val="clear" w:pos="480"/>
          <w:tab w:val="left" w:pos="709"/>
        </w:tabs>
        <w:ind w:left="709" w:hanging="284"/>
        <w:jc w:val="both"/>
        <w:rPr>
          <w:rFonts w:ascii="Times New Roman" w:hAnsi="Times New Roman"/>
          <w:b/>
          <w:color w:val="000000"/>
        </w:rPr>
      </w:pPr>
      <w:r w:rsidRPr="00476DA8">
        <w:rPr>
          <w:rFonts w:ascii="Times New Roman" w:hAnsi="Times New Roman"/>
          <w:b/>
          <w:bCs/>
          <w:color w:val="000000"/>
        </w:rPr>
        <w:t>Peristiwa itu tidak dapat diketahui atau diduga akan terjadi pada waktu membuat perjanjian.</w:t>
      </w:r>
      <w:r w:rsidRPr="00476DA8">
        <w:rPr>
          <w:rStyle w:val="FootnoteReference"/>
          <w:rFonts w:ascii="Times New Roman" w:hAnsi="Times New Roman"/>
          <w:b/>
          <w:bCs/>
          <w:color w:val="000000"/>
        </w:rPr>
        <w:footnoteReference w:id="23"/>
      </w:r>
    </w:p>
    <w:p w:rsidR="004B3276" w:rsidRPr="00476DA8" w:rsidRDefault="004B3276" w:rsidP="004B3276">
      <w:pPr>
        <w:jc w:val="center"/>
        <w:rPr>
          <w:b/>
          <w:color w:val="000000"/>
        </w:rPr>
      </w:pPr>
    </w:p>
    <w:p w:rsidR="004B3276" w:rsidRPr="00476DA8" w:rsidRDefault="004B3276" w:rsidP="004B3276">
      <w:pPr>
        <w:autoSpaceDE w:val="0"/>
        <w:autoSpaceDN w:val="0"/>
        <w:adjustRightInd w:val="0"/>
        <w:spacing w:line="480" w:lineRule="auto"/>
        <w:ind w:firstLine="709"/>
        <w:jc w:val="both"/>
      </w:pPr>
      <w:r w:rsidRPr="00476DA8">
        <w:t xml:space="preserve">Berdasarkan hal tersebit di atas, maka akibat wanprestasi yang dilakukan oleh para tergugat karena tidak melakukan pembayaran atas barang atau alat-alat bangunan yang telah dikirim ke para tergugat, maka para penggugat mengalami kerugian </w:t>
      </w:r>
      <w:r w:rsidRPr="00476DA8">
        <w:rPr>
          <w:lang w:val="en-ID" w:eastAsia="en-ID"/>
        </w:rPr>
        <w:t>sebesar Rp.320.916.800,00 (tiga ratus dua puluh juta sembilan ratus enam belas ribu delapan ratus rupiah).</w:t>
      </w:r>
      <w:r w:rsidRPr="00476DA8">
        <w:t>.</w:t>
      </w:r>
    </w:p>
    <w:p w:rsidR="004B3276" w:rsidRPr="00476DA8" w:rsidRDefault="004B3276" w:rsidP="004B3276">
      <w:pPr>
        <w:pStyle w:val="Default"/>
        <w:ind w:left="360"/>
        <w:jc w:val="both"/>
        <w:rPr>
          <w:b/>
          <w:bCs/>
        </w:rPr>
      </w:pPr>
    </w:p>
    <w:p w:rsidR="004B3276" w:rsidRPr="00476DA8" w:rsidRDefault="004B3276" w:rsidP="000A35B7">
      <w:pPr>
        <w:pStyle w:val="Default"/>
        <w:numPr>
          <w:ilvl w:val="2"/>
          <w:numId w:val="5"/>
        </w:numPr>
        <w:tabs>
          <w:tab w:val="clear" w:pos="2340"/>
          <w:tab w:val="num" w:pos="360"/>
        </w:tabs>
        <w:spacing w:line="456" w:lineRule="auto"/>
        <w:ind w:left="360"/>
        <w:jc w:val="both"/>
        <w:rPr>
          <w:b/>
          <w:bCs/>
        </w:rPr>
      </w:pPr>
      <w:bookmarkStart w:id="2" w:name="_Hlk100845773"/>
      <w:r w:rsidRPr="00476DA8">
        <w:rPr>
          <w:rFonts w:eastAsia="Arial"/>
          <w:b/>
          <w:bCs/>
        </w:rPr>
        <w:t xml:space="preserve">Pertimbangan Hukum Hakim Dalam Putusan Mahkamah Agung Nomor </w:t>
      </w:r>
      <w:r w:rsidRPr="00476DA8">
        <w:rPr>
          <w:b/>
          <w:bCs/>
        </w:rPr>
        <w:t>1017</w:t>
      </w:r>
      <w:r w:rsidRPr="00476DA8">
        <w:rPr>
          <w:rFonts w:eastAsia="Arial"/>
          <w:b/>
          <w:bCs/>
        </w:rPr>
        <w:t xml:space="preserve"> K/Pdt/2019</w:t>
      </w:r>
      <w:bookmarkEnd w:id="2"/>
    </w:p>
    <w:p w:rsidR="004B3276" w:rsidRPr="00476DA8" w:rsidRDefault="004B3276" w:rsidP="000A35B7">
      <w:pPr>
        <w:numPr>
          <w:ilvl w:val="3"/>
          <w:numId w:val="16"/>
        </w:numPr>
        <w:tabs>
          <w:tab w:val="clear" w:pos="2880"/>
          <w:tab w:val="num" w:pos="720"/>
        </w:tabs>
        <w:spacing w:line="480" w:lineRule="auto"/>
        <w:ind w:left="720"/>
        <w:jc w:val="both"/>
        <w:rPr>
          <w:b/>
          <w:bCs/>
        </w:rPr>
      </w:pPr>
      <w:r w:rsidRPr="00476DA8">
        <w:rPr>
          <w:b/>
          <w:bCs/>
        </w:rPr>
        <w:t>Duduk Perkara</w:t>
      </w:r>
    </w:p>
    <w:p w:rsidR="004B3276" w:rsidRPr="00476DA8" w:rsidRDefault="004B3276" w:rsidP="004B3276">
      <w:pPr>
        <w:spacing w:line="480" w:lineRule="auto"/>
        <w:ind w:firstLine="720"/>
        <w:jc w:val="both"/>
        <w:rPr>
          <w:lang w:val="en-ID" w:eastAsia="en-ID"/>
        </w:rPr>
      </w:pPr>
      <w:r w:rsidRPr="00476DA8">
        <w:t xml:space="preserve">Penggugat dengan surat gugatan </w:t>
      </w:r>
      <w:r w:rsidRPr="00476DA8">
        <w:rPr>
          <w:lang w:val="en-ID" w:eastAsia="en-ID"/>
        </w:rPr>
        <w:t>tertanggal 4 Februari 2019 yang telah didaftarkan di Kepaniteraan Pengadilan Negeri Tangerang dengan register Nomor : 122/Pdt.G/2019/PN.Tng, tanggal 7 Februari 2019 telah mengajukan gugatan terhadap Tergugat I dengan dalil-dalil :</w:t>
      </w:r>
    </w:p>
    <w:p w:rsidR="004B3276" w:rsidRPr="00476DA8" w:rsidRDefault="004B3276" w:rsidP="000A35B7">
      <w:pPr>
        <w:numPr>
          <w:ilvl w:val="1"/>
          <w:numId w:val="17"/>
        </w:numPr>
        <w:tabs>
          <w:tab w:val="clear" w:pos="1440"/>
          <w:tab w:val="num" w:pos="360"/>
        </w:tabs>
        <w:spacing w:line="480" w:lineRule="auto"/>
        <w:ind w:left="360"/>
        <w:jc w:val="both"/>
      </w:pPr>
      <w:r w:rsidRPr="00476DA8">
        <w:rPr>
          <w:lang w:val="en-ID" w:eastAsia="en-ID"/>
        </w:rPr>
        <w:t>Duduk Perkara Penggugat I (PT. Bintang Muda Kreasi) adalah :</w:t>
      </w:r>
    </w:p>
    <w:p w:rsidR="004B3276" w:rsidRPr="00476DA8" w:rsidRDefault="004B3276" w:rsidP="000A35B7">
      <w:pPr>
        <w:numPr>
          <w:ilvl w:val="0"/>
          <w:numId w:val="22"/>
        </w:numPr>
        <w:spacing w:line="480" w:lineRule="auto"/>
        <w:ind w:left="720"/>
        <w:jc w:val="both"/>
      </w:pPr>
      <w:r w:rsidRPr="00476DA8">
        <w:rPr>
          <w:lang w:val="en-ID" w:eastAsia="en-ID"/>
        </w:rPr>
        <w:t xml:space="preserve">Pada tanggal 15 Februari 2018, tergugat I (PT. Asia Bangunan Center) telah mengajukan 2 (dua) </w:t>
      </w:r>
      <w:r w:rsidRPr="00476DA8">
        <w:rPr>
          <w:i/>
          <w:iCs/>
          <w:lang w:val="en-ID" w:eastAsia="en-ID"/>
        </w:rPr>
        <w:t>purchase order</w:t>
      </w:r>
      <w:r w:rsidRPr="00476DA8">
        <w:rPr>
          <w:lang w:val="en-ID" w:eastAsia="en-ID"/>
        </w:rPr>
        <w:t>/pesanan kepada penggugat I (PT. Bintang Muda Kreasi), dengan pemesanan sebagai berikut:</w:t>
      </w:r>
    </w:p>
    <w:p w:rsidR="004B3276" w:rsidRPr="00476DA8" w:rsidRDefault="004B3276" w:rsidP="000A35B7">
      <w:pPr>
        <w:numPr>
          <w:ilvl w:val="0"/>
          <w:numId w:val="23"/>
        </w:numPr>
        <w:autoSpaceDE w:val="0"/>
        <w:autoSpaceDN w:val="0"/>
        <w:adjustRightInd w:val="0"/>
        <w:spacing w:line="480" w:lineRule="auto"/>
        <w:ind w:left="1080"/>
        <w:jc w:val="both"/>
        <w:rPr>
          <w:lang w:val="en-ID" w:eastAsia="en-ID"/>
        </w:rPr>
      </w:pPr>
      <w:r w:rsidRPr="00476DA8">
        <w:rPr>
          <w:lang w:val="en-ID" w:eastAsia="en-ID"/>
        </w:rPr>
        <w:lastRenderedPageBreak/>
        <w:t xml:space="preserve">15 Februari 2018, memesan berupa keramik Granite dengan spesifikasi 60x60 </w:t>
      </w:r>
      <w:r w:rsidRPr="00476DA8">
        <w:rPr>
          <w:i/>
          <w:iCs/>
          <w:lang w:val="en-ID" w:eastAsia="en-ID"/>
        </w:rPr>
        <w:t>snow white</w:t>
      </w:r>
      <w:r w:rsidRPr="00476DA8">
        <w:rPr>
          <w:lang w:val="en-ID" w:eastAsia="en-ID"/>
        </w:rPr>
        <w:t xml:space="preserve"> sebanyak 971 Box, dengan nomor Faktur penjualan, purchase order dan nomor surat jalan 002/GAJ/02/18, dengan nilai Rp139.824.000,00 (seratus tiga puluh Sembilan delapan ratus duapuluh empa tribu rupiah);</w:t>
      </w:r>
    </w:p>
    <w:p w:rsidR="004B3276" w:rsidRPr="00476DA8" w:rsidRDefault="004B3276" w:rsidP="000A35B7">
      <w:pPr>
        <w:numPr>
          <w:ilvl w:val="0"/>
          <w:numId w:val="23"/>
        </w:numPr>
        <w:autoSpaceDE w:val="0"/>
        <w:autoSpaceDN w:val="0"/>
        <w:adjustRightInd w:val="0"/>
        <w:spacing w:line="480" w:lineRule="auto"/>
        <w:ind w:left="1080"/>
        <w:jc w:val="both"/>
        <w:rPr>
          <w:lang w:val="en-ID" w:eastAsia="en-ID"/>
        </w:rPr>
      </w:pPr>
      <w:r w:rsidRPr="00476DA8">
        <w:rPr>
          <w:lang w:val="en-ID" w:eastAsia="en-ID"/>
        </w:rPr>
        <w:t xml:space="preserve">15 Februari 2018, memesan berupa keramik Granite dengan spesifikasi 60x60 </w:t>
      </w:r>
      <w:r w:rsidRPr="00476DA8">
        <w:rPr>
          <w:i/>
          <w:iCs/>
          <w:lang w:val="en-ID" w:eastAsia="en-ID"/>
        </w:rPr>
        <w:t>snow white</w:t>
      </w:r>
      <w:r w:rsidRPr="00476DA8">
        <w:rPr>
          <w:lang w:val="en-ID" w:eastAsia="en-ID"/>
        </w:rPr>
        <w:t xml:space="preserve"> sebanyak 972 Box, dengan nomor Faktur penjualan, purchase order dan nomor surat jalan 003/GAJ/02/18, dengan nilai Rp118.972.800,00 (seratus delapan belas juta sembilan ratus tujuh puluh dua ribu delapan ratus rupiah);</w:t>
      </w:r>
    </w:p>
    <w:p w:rsidR="004B3276" w:rsidRPr="00476DA8" w:rsidRDefault="004B3276" w:rsidP="004B3276">
      <w:pPr>
        <w:autoSpaceDE w:val="0"/>
        <w:autoSpaceDN w:val="0"/>
        <w:adjustRightInd w:val="0"/>
        <w:spacing w:line="480" w:lineRule="auto"/>
        <w:ind w:left="720"/>
        <w:jc w:val="both"/>
        <w:rPr>
          <w:lang w:val="en-ID" w:eastAsia="en-ID"/>
        </w:rPr>
      </w:pPr>
      <w:r w:rsidRPr="00476DA8">
        <w:rPr>
          <w:lang w:val="en-ID" w:eastAsia="en-ID"/>
        </w:rPr>
        <w:t>Dengan total nilai pemesanan sebesar Rp258.796.800,00 (duaratus lima puluh delapan juta tujuh ratus Sembilan puluh enam ribu delapan ratus rupiah) dan sampai dengan saat gugatan ini diajukan, belum dilakukan pembayaran dan diterima oleh penggugat I (PT. Bintang Muda Kreasi),</w:t>
      </w:r>
    </w:p>
    <w:p w:rsidR="004B3276" w:rsidRPr="00476DA8" w:rsidRDefault="004B3276" w:rsidP="000A35B7">
      <w:pPr>
        <w:numPr>
          <w:ilvl w:val="0"/>
          <w:numId w:val="22"/>
        </w:numPr>
        <w:autoSpaceDE w:val="0"/>
        <w:autoSpaceDN w:val="0"/>
        <w:adjustRightInd w:val="0"/>
        <w:spacing w:line="480" w:lineRule="auto"/>
        <w:ind w:left="720"/>
        <w:jc w:val="both"/>
        <w:rPr>
          <w:lang w:val="en-ID" w:eastAsia="en-ID"/>
        </w:rPr>
      </w:pPr>
      <w:r w:rsidRPr="00476DA8">
        <w:rPr>
          <w:lang w:val="en-ID" w:eastAsia="en-ID"/>
        </w:rPr>
        <w:t xml:space="preserve">Pada tanggal 21 Februari 2018, kembali tergugat I (PT. Asia Bangunan Center)  mengajukan 2 (dua) </w:t>
      </w:r>
      <w:r w:rsidRPr="00476DA8">
        <w:rPr>
          <w:i/>
          <w:iCs/>
          <w:lang w:val="en-ID" w:eastAsia="en-ID"/>
        </w:rPr>
        <w:t>purchase order</w:t>
      </w:r>
      <w:r w:rsidRPr="00476DA8">
        <w:rPr>
          <w:lang w:val="en-ID" w:eastAsia="en-ID"/>
        </w:rPr>
        <w:t xml:space="preserve"> kepada penggugat I (PT. Bintang Muda Kreasi) dengan pemesanan sebagai berikut :</w:t>
      </w:r>
    </w:p>
    <w:p w:rsidR="004B3276" w:rsidRPr="00476DA8" w:rsidRDefault="004B3276" w:rsidP="000A35B7">
      <w:pPr>
        <w:numPr>
          <w:ilvl w:val="3"/>
          <w:numId w:val="22"/>
        </w:numPr>
        <w:autoSpaceDE w:val="0"/>
        <w:autoSpaceDN w:val="0"/>
        <w:adjustRightInd w:val="0"/>
        <w:spacing w:line="480" w:lineRule="auto"/>
        <w:ind w:left="1080"/>
        <w:jc w:val="both"/>
        <w:rPr>
          <w:lang w:val="en-ID" w:eastAsia="en-ID"/>
        </w:rPr>
      </w:pPr>
      <w:r w:rsidRPr="00476DA8">
        <w:rPr>
          <w:lang w:val="en-ID" w:eastAsia="en-ID"/>
        </w:rPr>
        <w:t xml:space="preserve">21 Februari 2018, memesan berupa Pintu Almunium, dengan quantity sebanyak 24 Pcs, dengan nomor Faktur penjualan, </w:t>
      </w:r>
      <w:r w:rsidRPr="00476DA8">
        <w:rPr>
          <w:i/>
          <w:iCs/>
          <w:lang w:val="en-ID" w:eastAsia="en-ID"/>
        </w:rPr>
        <w:t>purchase order</w:t>
      </w:r>
      <w:r w:rsidRPr="00476DA8">
        <w:rPr>
          <w:lang w:val="en-ID" w:eastAsia="en-ID"/>
        </w:rPr>
        <w:t xml:space="preserve"> dan nomor surat jalan 002/AD-J/02/18, dengan nilai Rp13.560.000,00 (tiga belas juta lima ratu senam puluh ribu rupiah)</w:t>
      </w:r>
    </w:p>
    <w:p w:rsidR="004B3276" w:rsidRPr="00476DA8" w:rsidRDefault="004B3276" w:rsidP="000A35B7">
      <w:pPr>
        <w:numPr>
          <w:ilvl w:val="3"/>
          <w:numId w:val="22"/>
        </w:numPr>
        <w:autoSpaceDE w:val="0"/>
        <w:autoSpaceDN w:val="0"/>
        <w:adjustRightInd w:val="0"/>
        <w:spacing w:line="480" w:lineRule="auto"/>
        <w:ind w:left="1080"/>
        <w:jc w:val="both"/>
        <w:rPr>
          <w:lang w:val="en-ID" w:eastAsia="en-ID"/>
        </w:rPr>
      </w:pPr>
      <w:r w:rsidRPr="00476DA8">
        <w:rPr>
          <w:lang w:val="en-ID" w:eastAsia="en-ID"/>
        </w:rPr>
        <w:t xml:space="preserve">21 Februari 2018, memesan berupa Pintu Almunium, dengan quantity sebanyak 24 Pcs, dengan nomor Faktur penjualan, purchase order dan </w:t>
      </w:r>
      <w:r w:rsidRPr="00476DA8">
        <w:rPr>
          <w:lang w:val="en-ID" w:eastAsia="en-ID"/>
        </w:rPr>
        <w:lastRenderedPageBreak/>
        <w:t xml:space="preserve">nomor surat jalan 005/AD-J/02/18, dengan nilai Rp13.560.000,00 </w:t>
      </w:r>
      <w:r w:rsidRPr="00476DA8">
        <w:rPr>
          <w:i/>
          <w:iCs/>
          <w:lang w:val="en-ID" w:eastAsia="en-ID"/>
        </w:rPr>
        <w:t xml:space="preserve">(tiga belas juta lima ratus enam puluh ribu rupiah). </w:t>
      </w:r>
      <w:r w:rsidRPr="00476DA8">
        <w:rPr>
          <w:lang w:val="en-ID" w:eastAsia="en-ID"/>
        </w:rPr>
        <w:t>Dengan total nilai pemesanan sebesar Rp27.120.000,00 (dua puluh tujuh juta seratus dua puluh ribu rupiah) dan sampai dengan saat gugatan ini diajukan, belum dilakukan pembayaran dan diterima oleh penggugat I (PT. Bintang Muda Kreasi).</w:t>
      </w:r>
    </w:p>
    <w:p w:rsidR="004B3276" w:rsidRPr="00476DA8" w:rsidRDefault="004B3276" w:rsidP="000A35B7">
      <w:pPr>
        <w:numPr>
          <w:ilvl w:val="1"/>
          <w:numId w:val="22"/>
        </w:numPr>
        <w:spacing w:line="480" w:lineRule="auto"/>
        <w:ind w:left="360"/>
        <w:jc w:val="both"/>
      </w:pPr>
      <w:r w:rsidRPr="00476DA8">
        <w:rPr>
          <w:lang w:val="en-ID" w:eastAsia="en-ID"/>
        </w:rPr>
        <w:t>Duduk Perkara Penggugat II (PT. Mega Graha Nusantara) adalah :</w:t>
      </w:r>
    </w:p>
    <w:p w:rsidR="004B3276" w:rsidRPr="00476DA8" w:rsidRDefault="004B3276" w:rsidP="000A35B7">
      <w:pPr>
        <w:numPr>
          <w:ilvl w:val="3"/>
          <w:numId w:val="17"/>
        </w:numPr>
        <w:autoSpaceDE w:val="0"/>
        <w:autoSpaceDN w:val="0"/>
        <w:adjustRightInd w:val="0"/>
        <w:spacing w:line="480" w:lineRule="auto"/>
        <w:ind w:left="720"/>
        <w:jc w:val="both"/>
        <w:rPr>
          <w:lang w:val="en-ID" w:eastAsia="en-ID"/>
        </w:rPr>
      </w:pPr>
      <w:r w:rsidRPr="00476DA8">
        <w:rPr>
          <w:lang w:val="en-ID" w:eastAsia="en-ID"/>
        </w:rPr>
        <w:t xml:space="preserve">Tanggal 13 Desember 2017, Tergugat I (PT. Asia Bangunan Center) telah mengajukan pemesan order kepada Penggugat II (PT. Mega Graha Nusantara) dengan spesifikasi tanggal 13 Desember 2017, memesan berupa keramik Granite dengan spesifikasi 60x60 </w:t>
      </w:r>
      <w:r w:rsidRPr="00476DA8">
        <w:rPr>
          <w:i/>
          <w:iCs/>
          <w:lang w:val="en-ID" w:eastAsia="en-ID"/>
        </w:rPr>
        <w:t>vanilla white</w:t>
      </w:r>
      <w:r w:rsidRPr="00476DA8">
        <w:rPr>
          <w:lang w:val="en-ID" w:eastAsia="en-ID"/>
        </w:rPr>
        <w:t xml:space="preserve"> sebanyak 992 Box, dengan nomor aktur penjualan, </w:t>
      </w:r>
      <w:r w:rsidRPr="00476DA8">
        <w:rPr>
          <w:i/>
          <w:iCs/>
          <w:lang w:val="en-ID" w:eastAsia="en-ID"/>
        </w:rPr>
        <w:t>purchase order</w:t>
      </w:r>
      <w:r w:rsidRPr="00476DA8">
        <w:rPr>
          <w:lang w:val="en-ID" w:eastAsia="en-ID"/>
        </w:rPr>
        <w:t xml:space="preserve"> dan nomor surat jalan 007/GA-J/12/18,</w:t>
      </w:r>
      <w:r w:rsidRPr="00476DA8">
        <w:t xml:space="preserve"> </w:t>
      </w:r>
      <w:r w:rsidRPr="00476DA8">
        <w:rPr>
          <w:lang w:val="en-ID" w:eastAsia="en-ID"/>
        </w:rPr>
        <w:t>dengan nilai Rp112.849.920,00 (seratus dua belas juta delapan ratus empat puluh sembilan ribu Sembilan ratus dua puluh rupiah);</w:t>
      </w:r>
    </w:p>
    <w:p w:rsidR="004B3276" w:rsidRPr="00476DA8" w:rsidRDefault="004B3276" w:rsidP="000A35B7">
      <w:pPr>
        <w:numPr>
          <w:ilvl w:val="3"/>
          <w:numId w:val="17"/>
        </w:numPr>
        <w:autoSpaceDE w:val="0"/>
        <w:autoSpaceDN w:val="0"/>
        <w:adjustRightInd w:val="0"/>
        <w:spacing w:line="480" w:lineRule="auto"/>
        <w:ind w:left="720"/>
        <w:jc w:val="both"/>
        <w:rPr>
          <w:lang w:val="en-ID" w:eastAsia="en-ID"/>
        </w:rPr>
      </w:pPr>
      <w:r w:rsidRPr="00476DA8">
        <w:rPr>
          <w:lang w:val="en-ID" w:eastAsia="en-ID"/>
        </w:rPr>
        <w:t>Tanggal 21 Maret 2018, Tergugat I (PT. Asia Bangunan Center)  membuat surat perjanjian pembayaran yang ditandatangani oleh Tergugat II (Anto Wijaya) dan ditujukan kepada Penggugat I dan Penggugat II, bahwa total hutang Tergugat I (PT. Asia Bangunan Center) sebesar Rp.484.610.400,00 dan akan diselesaikan pembayarannya paling lambat 13 April 2018, dan sampai dengan gugatan ini diajukan Tergugat I (PT. Asia Bangunan Center) belum juga melunasi seluruh hutangnya kepada para penggugat (PT Bintang Muda Kreasi dan PT Mega Graha Nusantara);</w:t>
      </w:r>
    </w:p>
    <w:p w:rsidR="004B3276" w:rsidRPr="00476DA8" w:rsidRDefault="004B3276" w:rsidP="000A35B7">
      <w:pPr>
        <w:numPr>
          <w:ilvl w:val="3"/>
          <w:numId w:val="17"/>
        </w:numPr>
        <w:autoSpaceDE w:val="0"/>
        <w:autoSpaceDN w:val="0"/>
        <w:adjustRightInd w:val="0"/>
        <w:spacing w:line="480" w:lineRule="auto"/>
        <w:ind w:left="720"/>
        <w:jc w:val="both"/>
        <w:rPr>
          <w:lang w:val="en-ID" w:eastAsia="en-ID"/>
        </w:rPr>
      </w:pPr>
      <w:r w:rsidRPr="00476DA8">
        <w:rPr>
          <w:lang w:val="en-ID" w:eastAsia="en-ID"/>
        </w:rPr>
        <w:lastRenderedPageBreak/>
        <w:t>Atas faktur penjualan yang sudah diterima oleh Tergugat I (PT. Asia Bangunan Center) dan telah jatuh tempo dan dapat ditagih, Tergugat I (PT. Asia Bangunan Center) tidak melakukan pembayar a n secara tunai namun dibayarkan secara mencicil, yaitu :</w:t>
      </w:r>
    </w:p>
    <w:p w:rsidR="004B3276" w:rsidRPr="00476DA8" w:rsidRDefault="004B3276" w:rsidP="000A35B7">
      <w:pPr>
        <w:numPr>
          <w:ilvl w:val="3"/>
          <w:numId w:val="22"/>
        </w:numPr>
        <w:autoSpaceDE w:val="0"/>
        <w:autoSpaceDN w:val="0"/>
        <w:adjustRightInd w:val="0"/>
        <w:spacing w:line="480" w:lineRule="auto"/>
        <w:ind w:left="1080"/>
        <w:jc w:val="both"/>
        <w:rPr>
          <w:lang w:val="en-ID" w:eastAsia="en-ID"/>
        </w:rPr>
      </w:pPr>
      <w:r w:rsidRPr="00476DA8">
        <w:rPr>
          <w:lang w:val="en-ID" w:eastAsia="en-ID"/>
        </w:rPr>
        <w:t>Tanggal 23-04-2018 sebesar Rp12.849.920,00</w:t>
      </w:r>
    </w:p>
    <w:p w:rsidR="004B3276" w:rsidRPr="00476DA8" w:rsidRDefault="004B3276" w:rsidP="000A35B7">
      <w:pPr>
        <w:numPr>
          <w:ilvl w:val="3"/>
          <w:numId w:val="22"/>
        </w:numPr>
        <w:autoSpaceDE w:val="0"/>
        <w:autoSpaceDN w:val="0"/>
        <w:adjustRightInd w:val="0"/>
        <w:spacing w:line="480" w:lineRule="auto"/>
        <w:ind w:left="1080"/>
        <w:jc w:val="both"/>
        <w:rPr>
          <w:lang w:val="en-ID" w:eastAsia="en-ID"/>
        </w:rPr>
      </w:pPr>
      <w:r w:rsidRPr="00476DA8">
        <w:rPr>
          <w:lang w:val="en-ID" w:eastAsia="en-ID"/>
        </w:rPr>
        <w:t>Tanggal 04-05-2018 sebesar Rp15.000.000,00</w:t>
      </w:r>
    </w:p>
    <w:p w:rsidR="004B3276" w:rsidRPr="00476DA8" w:rsidRDefault="004B3276" w:rsidP="000A35B7">
      <w:pPr>
        <w:numPr>
          <w:ilvl w:val="3"/>
          <w:numId w:val="22"/>
        </w:numPr>
        <w:autoSpaceDE w:val="0"/>
        <w:autoSpaceDN w:val="0"/>
        <w:adjustRightInd w:val="0"/>
        <w:spacing w:line="480" w:lineRule="auto"/>
        <w:ind w:left="1080"/>
        <w:jc w:val="both"/>
        <w:rPr>
          <w:lang w:val="en-ID" w:eastAsia="en-ID"/>
        </w:rPr>
      </w:pPr>
      <w:r w:rsidRPr="00476DA8">
        <w:rPr>
          <w:lang w:val="en-ID" w:eastAsia="en-ID"/>
        </w:rPr>
        <w:t>Tanggal 08-05-2018 sebesar Rp25.000.000,00</w:t>
      </w:r>
    </w:p>
    <w:p w:rsidR="004B3276" w:rsidRPr="00476DA8" w:rsidRDefault="004B3276" w:rsidP="000A35B7">
      <w:pPr>
        <w:numPr>
          <w:ilvl w:val="3"/>
          <w:numId w:val="22"/>
        </w:numPr>
        <w:autoSpaceDE w:val="0"/>
        <w:autoSpaceDN w:val="0"/>
        <w:adjustRightInd w:val="0"/>
        <w:spacing w:line="480" w:lineRule="auto"/>
        <w:ind w:left="1080"/>
        <w:jc w:val="both"/>
        <w:rPr>
          <w:lang w:val="en-ID" w:eastAsia="en-ID"/>
        </w:rPr>
      </w:pPr>
      <w:r w:rsidRPr="00476DA8">
        <w:rPr>
          <w:lang w:val="en-ID" w:eastAsia="en-ID"/>
        </w:rPr>
        <w:t>Tanggal 14-05-2018 sebesar Rp10.000.000,00</w:t>
      </w:r>
    </w:p>
    <w:p w:rsidR="004B3276" w:rsidRPr="00476DA8" w:rsidRDefault="004B3276" w:rsidP="000A35B7">
      <w:pPr>
        <w:numPr>
          <w:ilvl w:val="3"/>
          <w:numId w:val="22"/>
        </w:numPr>
        <w:autoSpaceDE w:val="0"/>
        <w:autoSpaceDN w:val="0"/>
        <w:adjustRightInd w:val="0"/>
        <w:spacing w:line="480" w:lineRule="auto"/>
        <w:ind w:left="1080"/>
        <w:jc w:val="both"/>
        <w:rPr>
          <w:lang w:val="en-ID" w:eastAsia="en-ID"/>
        </w:rPr>
      </w:pPr>
      <w:r w:rsidRPr="00476DA8">
        <w:rPr>
          <w:lang w:val="en-ID" w:eastAsia="en-ID"/>
        </w:rPr>
        <w:t>Tanggal 22-05-2018 sebesar Rp15.000.000,00</w:t>
      </w:r>
    </w:p>
    <w:p w:rsidR="004B3276" w:rsidRPr="00476DA8" w:rsidRDefault="004B3276" w:rsidP="004B3276">
      <w:pPr>
        <w:autoSpaceDE w:val="0"/>
        <w:autoSpaceDN w:val="0"/>
        <w:adjustRightInd w:val="0"/>
        <w:spacing w:line="480" w:lineRule="auto"/>
        <w:ind w:left="720"/>
        <w:jc w:val="both"/>
        <w:rPr>
          <w:lang w:val="en-ID" w:eastAsia="en-ID"/>
        </w:rPr>
      </w:pPr>
      <w:r w:rsidRPr="00476DA8">
        <w:rPr>
          <w:lang w:val="en-ID" w:eastAsia="en-ID"/>
        </w:rPr>
        <w:t xml:space="preserve">dengan total pembayaran sebesar Rp77.849.920,00 dan sisa yang belum terbayarkan sebesar Rp.35.000.000,00 (tiga puluh lima juta rupiah) dan sampai dengan saat gugatan ini diajukan, sisa pembayaran belum dilakukan diterima oleh Penggugat II (PT. Mega Graha Nusantara). </w:t>
      </w:r>
    </w:p>
    <w:p w:rsidR="004B3276" w:rsidRPr="00476DA8" w:rsidRDefault="004B3276" w:rsidP="000A35B7">
      <w:pPr>
        <w:numPr>
          <w:ilvl w:val="3"/>
          <w:numId w:val="17"/>
        </w:numPr>
        <w:tabs>
          <w:tab w:val="left" w:pos="709"/>
        </w:tabs>
        <w:autoSpaceDE w:val="0"/>
        <w:autoSpaceDN w:val="0"/>
        <w:adjustRightInd w:val="0"/>
        <w:spacing w:line="480" w:lineRule="auto"/>
        <w:ind w:left="709"/>
        <w:jc w:val="both"/>
        <w:rPr>
          <w:lang w:val="en-ID" w:eastAsia="en-ID"/>
        </w:rPr>
      </w:pPr>
      <w:r w:rsidRPr="00476DA8">
        <w:rPr>
          <w:lang w:val="en-ID" w:eastAsia="en-ID"/>
        </w:rPr>
        <w:t>Bahwa tanggal 19 April 2018, penggugat I (PT. Bintang Muda Kreasi) memberikan surat kepada Tergugat I (PT. Asia Bangunan Center) yang pada intinya Tergugat I (PT. Asia Bangunan Center) telah gagal melakukan pembayaran, dan surat tersebut ditandatangani dan diakui oleh Tergugat II (Anto Wijaya) selaku Direktur PT Asia Bangun Center;</w:t>
      </w:r>
    </w:p>
    <w:p w:rsidR="004B3276" w:rsidRPr="00476DA8" w:rsidRDefault="004B3276" w:rsidP="000A35B7">
      <w:pPr>
        <w:numPr>
          <w:ilvl w:val="3"/>
          <w:numId w:val="17"/>
        </w:numPr>
        <w:tabs>
          <w:tab w:val="left" w:pos="709"/>
        </w:tabs>
        <w:autoSpaceDE w:val="0"/>
        <w:autoSpaceDN w:val="0"/>
        <w:adjustRightInd w:val="0"/>
        <w:spacing w:line="480" w:lineRule="auto"/>
        <w:ind w:left="709"/>
        <w:jc w:val="both"/>
        <w:rPr>
          <w:i/>
          <w:iCs/>
          <w:lang w:val="en-ID" w:eastAsia="en-ID"/>
        </w:rPr>
      </w:pPr>
      <w:r w:rsidRPr="00476DA8">
        <w:rPr>
          <w:lang w:val="en-ID" w:eastAsia="en-ID"/>
        </w:rPr>
        <w:t xml:space="preserve">Bahwa 24 April 2018, Tergugat I (PT. Asia Bangunan Center) kembali menyetujui akan melakukan pembayaran kepada penggugat I (PT. Bintang Muda Kreasi) sebesar Rp385.916.800,00 (tiga ratus delapan puluh lima juta sembilan ratus enam belas ribu delapan ratus rupiah) dengan cara mencicil, dengan ketentuan sebagai berikut: </w:t>
      </w:r>
    </w:p>
    <w:p w:rsidR="004B3276" w:rsidRPr="00476DA8" w:rsidRDefault="004B3276" w:rsidP="000A35B7">
      <w:pPr>
        <w:numPr>
          <w:ilvl w:val="4"/>
          <w:numId w:val="16"/>
        </w:numPr>
        <w:tabs>
          <w:tab w:val="left" w:pos="709"/>
        </w:tabs>
        <w:autoSpaceDE w:val="0"/>
        <w:autoSpaceDN w:val="0"/>
        <w:adjustRightInd w:val="0"/>
        <w:spacing w:line="480" w:lineRule="auto"/>
        <w:ind w:left="1080"/>
        <w:jc w:val="both"/>
        <w:rPr>
          <w:lang w:val="en-ID" w:eastAsia="en-ID"/>
        </w:rPr>
      </w:pPr>
      <w:r w:rsidRPr="00476DA8">
        <w:rPr>
          <w:lang w:val="en-ID" w:eastAsia="en-ID"/>
        </w:rPr>
        <w:lastRenderedPageBreak/>
        <w:t>27 April 2018, dibayar sebesar Rp100.000.000,00 (seratus juta rupiah);</w:t>
      </w:r>
    </w:p>
    <w:p w:rsidR="004B3276" w:rsidRPr="00476DA8" w:rsidRDefault="004B3276" w:rsidP="000A35B7">
      <w:pPr>
        <w:numPr>
          <w:ilvl w:val="4"/>
          <w:numId w:val="16"/>
        </w:numPr>
        <w:tabs>
          <w:tab w:val="left" w:pos="709"/>
        </w:tabs>
        <w:autoSpaceDE w:val="0"/>
        <w:autoSpaceDN w:val="0"/>
        <w:adjustRightInd w:val="0"/>
        <w:spacing w:line="480" w:lineRule="auto"/>
        <w:ind w:left="1080"/>
        <w:jc w:val="both"/>
        <w:rPr>
          <w:lang w:val="en-ID" w:eastAsia="en-ID"/>
        </w:rPr>
      </w:pPr>
      <w:r w:rsidRPr="00476DA8">
        <w:rPr>
          <w:lang w:val="en-ID" w:eastAsia="en-ID"/>
        </w:rPr>
        <w:t>04 Mei 2018, dibayar sebesar Rp100.000.000,00 (seratus juta rupiah)</w:t>
      </w:r>
    </w:p>
    <w:p w:rsidR="004B3276" w:rsidRPr="00476DA8" w:rsidRDefault="004B3276" w:rsidP="000A35B7">
      <w:pPr>
        <w:numPr>
          <w:ilvl w:val="4"/>
          <w:numId w:val="16"/>
        </w:numPr>
        <w:tabs>
          <w:tab w:val="left" w:pos="709"/>
        </w:tabs>
        <w:autoSpaceDE w:val="0"/>
        <w:autoSpaceDN w:val="0"/>
        <w:adjustRightInd w:val="0"/>
        <w:spacing w:line="480" w:lineRule="auto"/>
        <w:ind w:left="1080"/>
        <w:jc w:val="both"/>
        <w:rPr>
          <w:lang w:val="en-ID" w:eastAsia="en-ID"/>
        </w:rPr>
      </w:pPr>
      <w:r w:rsidRPr="00476DA8">
        <w:rPr>
          <w:lang w:val="en-ID" w:eastAsia="en-ID"/>
        </w:rPr>
        <w:t>11 Mei 2018, dibayar sebesar Rp100.000.000,00 (seratus juta rupiah)</w:t>
      </w:r>
    </w:p>
    <w:p w:rsidR="004B3276" w:rsidRPr="00476DA8" w:rsidRDefault="004B3276" w:rsidP="000A35B7">
      <w:pPr>
        <w:numPr>
          <w:ilvl w:val="4"/>
          <w:numId w:val="16"/>
        </w:numPr>
        <w:tabs>
          <w:tab w:val="left" w:pos="709"/>
        </w:tabs>
        <w:autoSpaceDE w:val="0"/>
        <w:autoSpaceDN w:val="0"/>
        <w:adjustRightInd w:val="0"/>
        <w:spacing w:line="480" w:lineRule="auto"/>
        <w:ind w:left="1080"/>
        <w:jc w:val="both"/>
        <w:rPr>
          <w:lang w:val="en-ID" w:eastAsia="en-ID"/>
        </w:rPr>
      </w:pPr>
      <w:r w:rsidRPr="00476DA8">
        <w:rPr>
          <w:lang w:val="en-ID" w:eastAsia="en-ID"/>
        </w:rPr>
        <w:t>18 Mei 2018, dibayar sebesar Rp85.916.800,00 (delapan puluh lima juta sembilan ratus enam belas ribu rupiah)</w:t>
      </w:r>
    </w:p>
    <w:p w:rsidR="004B3276" w:rsidRPr="00476DA8" w:rsidRDefault="004B3276" w:rsidP="004B3276">
      <w:pPr>
        <w:tabs>
          <w:tab w:val="left" w:pos="709"/>
        </w:tabs>
        <w:autoSpaceDE w:val="0"/>
        <w:autoSpaceDN w:val="0"/>
        <w:adjustRightInd w:val="0"/>
        <w:spacing w:line="480" w:lineRule="auto"/>
        <w:ind w:left="720"/>
        <w:jc w:val="both"/>
        <w:rPr>
          <w:lang w:val="en-ID" w:eastAsia="en-ID"/>
        </w:rPr>
      </w:pPr>
      <w:r w:rsidRPr="00476DA8">
        <w:rPr>
          <w:lang w:val="en-ID" w:eastAsia="en-ID"/>
        </w:rPr>
        <w:t xml:space="preserve">Namun nyata-nyata, para tergugat malah tetap tidak melaksanakan kewajibannya, hingga diajukannya gugatan ini, sehingga para tergugat secara jelas dan tegas telah melakukan wanprestasi kepada para penggugat sehingga mengakibatkan kerugian baik secara materiel dan immateriel yang dialami oleh para penggugat, sebagaimana ketentuan Pasal 1239 KUHPerdata : </w:t>
      </w:r>
      <w:r w:rsidRPr="00476DA8">
        <w:rPr>
          <w:i/>
          <w:iCs/>
          <w:lang w:val="en-ID" w:eastAsia="en-ID"/>
        </w:rPr>
        <w:t>“</w:t>
      </w:r>
      <w:r w:rsidRPr="00476DA8">
        <w:rPr>
          <w:lang w:val="en-ID" w:eastAsia="en-ID"/>
        </w:rPr>
        <w:t>Tiap perikatan untuk berbuat sesuatu, atau untuk tidak berbuat sesuatu, wajib diselesaikan dengan memberikan penggantian biaya, kerugian, dan bunga, bila debitur tidak memenuhi kewajibannya”;</w:t>
      </w:r>
    </w:p>
    <w:p w:rsidR="004B3276" w:rsidRPr="00476DA8" w:rsidRDefault="004B3276" w:rsidP="000A35B7">
      <w:pPr>
        <w:numPr>
          <w:ilvl w:val="3"/>
          <w:numId w:val="17"/>
        </w:numPr>
        <w:autoSpaceDE w:val="0"/>
        <w:autoSpaceDN w:val="0"/>
        <w:adjustRightInd w:val="0"/>
        <w:spacing w:line="480" w:lineRule="auto"/>
        <w:ind w:left="709"/>
        <w:jc w:val="both"/>
        <w:rPr>
          <w:lang w:val="en-ID" w:eastAsia="en-ID"/>
        </w:rPr>
      </w:pPr>
      <w:r w:rsidRPr="00476DA8">
        <w:rPr>
          <w:lang w:val="en-ID" w:eastAsia="en-ID"/>
        </w:rPr>
        <w:t>Para Penggugat telah mengajukan surat somasi I Nomor 912/PAT/SM/2018, tertanggal 10 September 2018, surat somasi II Nomor 918/PAT/SM/2018, tertanggal 25 September 2018 dan surat somasi III Nomor 1003/PAT/SM/2018, tertanggal 15 Oktober 2018, yang mana pada inti surat somasi tersebut meminta kepada para tergugat untuk melakukan pembayaran atas kewajibannya kepada para penggugat sebesar Rp320.916.800,00 (tiga ratus dua puluh juta sembilan ratu senam belas ribu delapan ratus rupiah), namun seluruh surat somasi tersebut tetap tidak di gubris dan diabaikan oleh para tergugat.</w:t>
      </w:r>
    </w:p>
    <w:p w:rsidR="004B3276" w:rsidRPr="00476DA8" w:rsidRDefault="004B3276" w:rsidP="000A35B7">
      <w:pPr>
        <w:numPr>
          <w:ilvl w:val="3"/>
          <w:numId w:val="17"/>
        </w:numPr>
        <w:autoSpaceDE w:val="0"/>
        <w:autoSpaceDN w:val="0"/>
        <w:adjustRightInd w:val="0"/>
        <w:spacing w:line="456" w:lineRule="auto"/>
        <w:ind w:left="709"/>
        <w:jc w:val="both"/>
        <w:rPr>
          <w:lang w:val="en-ID" w:eastAsia="en-ID"/>
        </w:rPr>
      </w:pPr>
      <w:r w:rsidRPr="00476DA8">
        <w:rPr>
          <w:lang w:val="en-ID" w:eastAsia="en-ID"/>
        </w:rPr>
        <w:lastRenderedPageBreak/>
        <w:t>Atas perbuatan para tergugat yang telah melakukan wanprestasi/cidera janji dengan tidak melakukan pembayaran kepada penggugat I (PT. Bintang Muda Kreasi) dan Penggugat II (PT. Mega Graha Nusantara) membuat para penggugat mengalami kerugian baik secara materiel dan immaterial. Adapun nilai kerugian materiil dan imateriil yang dialami para penggugat sebagai berikut :</w:t>
      </w:r>
    </w:p>
    <w:p w:rsidR="004B3276" w:rsidRPr="00476DA8" w:rsidRDefault="004B3276" w:rsidP="000A35B7">
      <w:pPr>
        <w:numPr>
          <w:ilvl w:val="0"/>
          <w:numId w:val="24"/>
        </w:numPr>
        <w:autoSpaceDE w:val="0"/>
        <w:autoSpaceDN w:val="0"/>
        <w:adjustRightInd w:val="0"/>
        <w:spacing w:line="456" w:lineRule="auto"/>
        <w:ind w:left="1069"/>
        <w:jc w:val="both"/>
        <w:rPr>
          <w:lang w:val="en-ID" w:eastAsia="en-ID"/>
        </w:rPr>
      </w:pPr>
      <w:r w:rsidRPr="00476DA8">
        <w:rPr>
          <w:lang w:val="en-ID" w:eastAsia="en-ID"/>
        </w:rPr>
        <w:t>Kerugian Materiel Rp.320.916.800,00 (tiga ratus duapuluh juta sembilan ratus enam belasri budelapan ratus rupiah);</w:t>
      </w:r>
    </w:p>
    <w:p w:rsidR="004B3276" w:rsidRPr="00476DA8" w:rsidRDefault="004B3276" w:rsidP="000A35B7">
      <w:pPr>
        <w:numPr>
          <w:ilvl w:val="0"/>
          <w:numId w:val="24"/>
        </w:numPr>
        <w:autoSpaceDE w:val="0"/>
        <w:autoSpaceDN w:val="0"/>
        <w:adjustRightInd w:val="0"/>
        <w:spacing w:line="456" w:lineRule="auto"/>
        <w:ind w:left="1069"/>
        <w:jc w:val="both"/>
        <w:rPr>
          <w:i/>
          <w:iCs/>
          <w:lang w:val="en-ID" w:eastAsia="en-ID"/>
        </w:rPr>
      </w:pPr>
      <w:r w:rsidRPr="00476DA8">
        <w:rPr>
          <w:lang w:val="en-ID" w:eastAsia="en-ID"/>
        </w:rPr>
        <w:t>Kerugian ImMateriel, yang terdiri dari :</w:t>
      </w:r>
    </w:p>
    <w:p w:rsidR="004B3276" w:rsidRPr="00476DA8" w:rsidRDefault="004B3276" w:rsidP="000A35B7">
      <w:pPr>
        <w:numPr>
          <w:ilvl w:val="3"/>
          <w:numId w:val="5"/>
        </w:numPr>
        <w:autoSpaceDE w:val="0"/>
        <w:autoSpaceDN w:val="0"/>
        <w:adjustRightInd w:val="0"/>
        <w:spacing w:line="456" w:lineRule="auto"/>
        <w:ind w:left="1429"/>
        <w:jc w:val="both"/>
        <w:rPr>
          <w:lang w:val="en-ID" w:eastAsia="en-ID"/>
        </w:rPr>
      </w:pPr>
      <w:r w:rsidRPr="00476DA8">
        <w:rPr>
          <w:lang w:val="en-ID" w:eastAsia="en-ID"/>
        </w:rPr>
        <w:t>Bunga keuntungan yang seharusnya diterima oleh para penggugat sebesar 1% perbulan dari total kerugian materiil: Rp.3.209.168,00 x 6 bulan = Rp.19.255.008,00</w:t>
      </w:r>
    </w:p>
    <w:p w:rsidR="004B3276" w:rsidRPr="00476DA8" w:rsidRDefault="004B3276" w:rsidP="000A35B7">
      <w:pPr>
        <w:numPr>
          <w:ilvl w:val="3"/>
          <w:numId w:val="5"/>
        </w:numPr>
        <w:autoSpaceDE w:val="0"/>
        <w:autoSpaceDN w:val="0"/>
        <w:adjustRightInd w:val="0"/>
        <w:spacing w:line="456" w:lineRule="auto"/>
        <w:ind w:left="1429"/>
        <w:jc w:val="both"/>
        <w:rPr>
          <w:lang w:val="en-ID" w:eastAsia="en-ID"/>
        </w:rPr>
      </w:pPr>
      <w:r w:rsidRPr="00476DA8">
        <w:rPr>
          <w:lang w:val="en-ID" w:eastAsia="en-ID"/>
        </w:rPr>
        <w:t xml:space="preserve">Biaya konsultan hukum sebesar Rp.50.000.000,00 </w:t>
      </w:r>
    </w:p>
    <w:p w:rsidR="004B3276" w:rsidRPr="00476DA8" w:rsidRDefault="004B3276" w:rsidP="004B3276">
      <w:pPr>
        <w:autoSpaceDE w:val="0"/>
        <w:autoSpaceDN w:val="0"/>
        <w:adjustRightInd w:val="0"/>
        <w:spacing w:line="456" w:lineRule="auto"/>
        <w:ind w:left="1069"/>
        <w:jc w:val="both"/>
        <w:rPr>
          <w:lang w:val="en-ID" w:eastAsia="en-ID"/>
        </w:rPr>
      </w:pPr>
      <w:r w:rsidRPr="00476DA8">
        <w:rPr>
          <w:lang w:val="en-ID" w:eastAsia="en-ID"/>
        </w:rPr>
        <w:t>Dengan total kerugian sebesar Rp. 390.171.808 ,00 (tiga ratus sembilan puluh juta seratus tujuh puluh satu ribu delapan ratus delapan rupiah)</w:t>
      </w:r>
    </w:p>
    <w:p w:rsidR="004B3276" w:rsidRPr="00476DA8" w:rsidRDefault="004B3276" w:rsidP="004B3276">
      <w:pPr>
        <w:autoSpaceDE w:val="0"/>
        <w:autoSpaceDN w:val="0"/>
        <w:adjustRightInd w:val="0"/>
        <w:spacing w:line="456" w:lineRule="auto"/>
        <w:ind w:firstLine="720"/>
        <w:jc w:val="both"/>
        <w:rPr>
          <w:lang w:eastAsia="id-ID"/>
        </w:rPr>
      </w:pPr>
      <w:r w:rsidRPr="00476DA8">
        <w:rPr>
          <w:lang w:eastAsia="id-ID"/>
        </w:rPr>
        <w:t>Berdasarkan hal-hal tersebut di atas</w:t>
      </w:r>
      <w:r w:rsidRPr="00476DA8">
        <w:rPr>
          <w:lang w:val="en-ID" w:eastAsia="en-ID"/>
        </w:rPr>
        <w:t>, maka dengan ini penggugat memohon kepada majelis hakim Pengadilan Negeri Tangerang yang mengadili perkara ini agar berkenan memberikan putusan sebagai berikut</w:t>
      </w:r>
      <w:r w:rsidRPr="00476DA8">
        <w:rPr>
          <w:lang w:eastAsia="id-ID"/>
        </w:rPr>
        <w:t>:</w:t>
      </w:r>
    </w:p>
    <w:p w:rsidR="004B3276" w:rsidRPr="00476DA8" w:rsidRDefault="004B3276" w:rsidP="000A35B7">
      <w:pPr>
        <w:numPr>
          <w:ilvl w:val="0"/>
          <w:numId w:val="18"/>
        </w:numPr>
        <w:autoSpaceDE w:val="0"/>
        <w:autoSpaceDN w:val="0"/>
        <w:adjustRightInd w:val="0"/>
        <w:spacing w:line="480" w:lineRule="auto"/>
        <w:ind w:left="360"/>
        <w:jc w:val="both"/>
        <w:rPr>
          <w:lang w:val="en-ID" w:eastAsia="en-ID"/>
        </w:rPr>
      </w:pPr>
      <w:r w:rsidRPr="00476DA8">
        <w:rPr>
          <w:lang w:val="en-ID" w:eastAsia="en-ID"/>
        </w:rPr>
        <w:t>Menerima dan mengabulkan gugatan para tergugat seluruhnya;</w:t>
      </w:r>
    </w:p>
    <w:p w:rsidR="004B3276" w:rsidRPr="00476DA8" w:rsidRDefault="004B3276" w:rsidP="000A35B7">
      <w:pPr>
        <w:numPr>
          <w:ilvl w:val="0"/>
          <w:numId w:val="18"/>
        </w:numPr>
        <w:autoSpaceDE w:val="0"/>
        <w:autoSpaceDN w:val="0"/>
        <w:adjustRightInd w:val="0"/>
        <w:spacing w:line="480" w:lineRule="auto"/>
        <w:ind w:left="360"/>
        <w:jc w:val="both"/>
        <w:rPr>
          <w:lang w:val="en-ID" w:eastAsia="en-ID"/>
        </w:rPr>
      </w:pPr>
      <w:r w:rsidRPr="00476DA8">
        <w:rPr>
          <w:lang w:val="en-ID" w:eastAsia="en-ID"/>
        </w:rPr>
        <w:t>Menyatakan sah dan berharga semua alat bukti yang diajukan oleh para tergugat dalam perkara ini;</w:t>
      </w:r>
    </w:p>
    <w:p w:rsidR="004B3276" w:rsidRPr="00476DA8" w:rsidRDefault="004B3276" w:rsidP="000A35B7">
      <w:pPr>
        <w:numPr>
          <w:ilvl w:val="0"/>
          <w:numId w:val="18"/>
        </w:numPr>
        <w:autoSpaceDE w:val="0"/>
        <w:autoSpaceDN w:val="0"/>
        <w:adjustRightInd w:val="0"/>
        <w:spacing w:line="480" w:lineRule="auto"/>
        <w:ind w:left="360"/>
        <w:jc w:val="both"/>
        <w:rPr>
          <w:lang w:val="en-ID" w:eastAsia="en-ID"/>
        </w:rPr>
      </w:pPr>
      <w:r w:rsidRPr="00476DA8">
        <w:rPr>
          <w:lang w:val="en-ID" w:eastAsia="en-ID"/>
        </w:rPr>
        <w:t xml:space="preserve">Memutus dan menyatakan Tergugat I (PT. Asia Bangunan Center) dan Tergugat II (Anto Wijaya) telah melalukan wanprestasi; </w:t>
      </w:r>
    </w:p>
    <w:p w:rsidR="004B3276" w:rsidRPr="00476DA8" w:rsidRDefault="004B3276" w:rsidP="000A35B7">
      <w:pPr>
        <w:numPr>
          <w:ilvl w:val="0"/>
          <w:numId w:val="18"/>
        </w:numPr>
        <w:autoSpaceDE w:val="0"/>
        <w:autoSpaceDN w:val="0"/>
        <w:adjustRightInd w:val="0"/>
        <w:spacing w:line="480" w:lineRule="auto"/>
        <w:ind w:left="360"/>
        <w:jc w:val="both"/>
        <w:rPr>
          <w:lang w:val="en-ID" w:eastAsia="en-ID"/>
        </w:rPr>
      </w:pPr>
      <w:r w:rsidRPr="00476DA8">
        <w:rPr>
          <w:lang w:val="en-ID" w:eastAsia="en-ID"/>
        </w:rPr>
        <w:lastRenderedPageBreak/>
        <w:t>Menghukum Tergugat I (PT. Asia Bangunan Center) dan Tergugat II (Anto Wijaya) untuk membayar sekaligus secara tanggung renteng, seketika dan secara tunai sejak putusan ini diucapkan untuk membayar biaya Kerugian materil dan imateril kepada penggugat sebesar Rp. 390.171.808 ,00 (tiga ratus sembilan puluh juta seratus tujuh puluh satu ribu delapan ratus delapan rupiah);</w:t>
      </w:r>
    </w:p>
    <w:p w:rsidR="004B3276" w:rsidRPr="00476DA8" w:rsidRDefault="004B3276" w:rsidP="000A35B7">
      <w:pPr>
        <w:numPr>
          <w:ilvl w:val="0"/>
          <w:numId w:val="18"/>
        </w:numPr>
        <w:autoSpaceDE w:val="0"/>
        <w:autoSpaceDN w:val="0"/>
        <w:adjustRightInd w:val="0"/>
        <w:spacing w:line="444" w:lineRule="auto"/>
        <w:ind w:left="357" w:hanging="357"/>
        <w:jc w:val="both"/>
        <w:rPr>
          <w:lang w:val="en-ID" w:eastAsia="en-ID"/>
        </w:rPr>
      </w:pPr>
      <w:r w:rsidRPr="00476DA8">
        <w:rPr>
          <w:lang w:val="en-ID" w:eastAsia="en-ID"/>
        </w:rPr>
        <w:t xml:space="preserve">Menyatakan sah untuk meletakan sita jaminan </w:t>
      </w:r>
      <w:r w:rsidRPr="00476DA8">
        <w:rPr>
          <w:i/>
          <w:iCs/>
          <w:lang w:val="en-ID" w:eastAsia="en-ID"/>
        </w:rPr>
        <w:t xml:space="preserve">(consevatoir beslag) </w:t>
      </w:r>
      <w:r w:rsidRPr="00476DA8">
        <w:rPr>
          <w:lang w:val="en-ID" w:eastAsia="en-ID"/>
        </w:rPr>
        <w:t>atas seluruh harta-harta baik milik Tergugat I (PT. Asia Bangunan Center) dan Tergugat II (Anto Wijaya) yang akan diajukan oleh para penggugat atas barang-barang bergerak berupa pintu-pintu dan keramik-keramik beserta barang bangunan lainnya yang berada didalam toko bangunan/depo milik Tergugat I (PT. Asia Bangunan Center) agar tidak dapat dialihkan atau perjualbelikan kepada pihak ketiga atau pihak lainnya;</w:t>
      </w:r>
    </w:p>
    <w:p w:rsidR="004B3276" w:rsidRPr="00476DA8" w:rsidRDefault="004B3276" w:rsidP="000A35B7">
      <w:pPr>
        <w:numPr>
          <w:ilvl w:val="0"/>
          <w:numId w:val="18"/>
        </w:numPr>
        <w:autoSpaceDE w:val="0"/>
        <w:autoSpaceDN w:val="0"/>
        <w:adjustRightInd w:val="0"/>
        <w:spacing w:line="444" w:lineRule="auto"/>
        <w:ind w:left="357" w:hanging="357"/>
        <w:jc w:val="both"/>
        <w:rPr>
          <w:lang w:val="en-ID" w:eastAsia="en-ID"/>
        </w:rPr>
      </w:pPr>
      <w:r w:rsidRPr="00476DA8">
        <w:rPr>
          <w:lang w:val="en-ID" w:eastAsia="en-ID"/>
        </w:rPr>
        <w:t xml:space="preserve">Menghukum para tergugat untuk membayar uang paksa </w:t>
      </w:r>
      <w:r w:rsidRPr="00476DA8">
        <w:rPr>
          <w:i/>
          <w:iCs/>
          <w:lang w:val="en-ID" w:eastAsia="en-ID"/>
        </w:rPr>
        <w:t xml:space="preserve">(dwangsom) </w:t>
      </w:r>
      <w:r w:rsidRPr="00476DA8">
        <w:rPr>
          <w:lang w:val="en-ID" w:eastAsia="en-ID"/>
        </w:rPr>
        <w:t>sebesar Rp1.000.000,00 (satu juta rupiah) setiap hari, bilamana para tergugat lalai melaksanakan isi putusan perkara ini;</w:t>
      </w:r>
    </w:p>
    <w:p w:rsidR="004B3276" w:rsidRPr="00476DA8" w:rsidRDefault="004B3276" w:rsidP="000A35B7">
      <w:pPr>
        <w:numPr>
          <w:ilvl w:val="0"/>
          <w:numId w:val="18"/>
        </w:numPr>
        <w:autoSpaceDE w:val="0"/>
        <w:autoSpaceDN w:val="0"/>
        <w:adjustRightInd w:val="0"/>
        <w:spacing w:line="444" w:lineRule="auto"/>
        <w:ind w:left="357" w:hanging="357"/>
        <w:jc w:val="both"/>
        <w:rPr>
          <w:lang w:val="en-ID" w:eastAsia="en-ID"/>
        </w:rPr>
      </w:pPr>
      <w:r w:rsidRPr="00476DA8">
        <w:rPr>
          <w:lang w:val="en-ID" w:eastAsia="en-ID"/>
        </w:rPr>
        <w:t>Menyatakan secara hukum bahwa putusan ini dapat dijalankan terlebih dahulu walaupun ada upaya verzet, banding, atau Kasasi dari para tergugat;</w:t>
      </w:r>
    </w:p>
    <w:p w:rsidR="004B3276" w:rsidRPr="00476DA8" w:rsidRDefault="004B3276" w:rsidP="000A35B7">
      <w:pPr>
        <w:numPr>
          <w:ilvl w:val="0"/>
          <w:numId w:val="18"/>
        </w:numPr>
        <w:autoSpaceDE w:val="0"/>
        <w:autoSpaceDN w:val="0"/>
        <w:adjustRightInd w:val="0"/>
        <w:spacing w:line="444" w:lineRule="auto"/>
        <w:ind w:left="357" w:hanging="357"/>
        <w:jc w:val="both"/>
        <w:rPr>
          <w:color w:val="000000"/>
        </w:rPr>
      </w:pPr>
      <w:r w:rsidRPr="00476DA8">
        <w:rPr>
          <w:lang w:val="en-ID" w:eastAsia="en-ID"/>
        </w:rPr>
        <w:t>Menghukum para tergugat untuk membayar biaya perkara ini secara tanggung renteng;</w:t>
      </w:r>
    </w:p>
    <w:p w:rsidR="004B3276" w:rsidRPr="00476DA8" w:rsidRDefault="004B3276" w:rsidP="000A35B7">
      <w:pPr>
        <w:numPr>
          <w:ilvl w:val="0"/>
          <w:numId w:val="25"/>
        </w:numPr>
        <w:autoSpaceDE w:val="0"/>
        <w:autoSpaceDN w:val="0"/>
        <w:adjustRightInd w:val="0"/>
        <w:spacing w:line="444" w:lineRule="auto"/>
        <w:ind w:left="360"/>
        <w:jc w:val="both"/>
        <w:rPr>
          <w:b/>
          <w:bCs/>
        </w:rPr>
      </w:pPr>
      <w:r w:rsidRPr="00476DA8">
        <w:rPr>
          <w:b/>
          <w:bCs/>
        </w:rPr>
        <w:t>Analisis Kasus</w:t>
      </w:r>
    </w:p>
    <w:p w:rsidR="004B3276" w:rsidRPr="00476DA8" w:rsidRDefault="004B3276" w:rsidP="000A35B7">
      <w:pPr>
        <w:numPr>
          <w:ilvl w:val="4"/>
          <w:numId w:val="5"/>
        </w:numPr>
        <w:tabs>
          <w:tab w:val="clear" w:pos="3600"/>
        </w:tabs>
        <w:autoSpaceDE w:val="0"/>
        <w:autoSpaceDN w:val="0"/>
        <w:adjustRightInd w:val="0"/>
        <w:spacing w:line="480" w:lineRule="auto"/>
        <w:ind w:left="720"/>
        <w:jc w:val="both"/>
        <w:rPr>
          <w:b/>
          <w:bCs/>
        </w:rPr>
      </w:pPr>
      <w:r w:rsidRPr="00476DA8">
        <w:rPr>
          <w:b/>
          <w:bCs/>
        </w:rPr>
        <w:t xml:space="preserve">Putusan </w:t>
      </w:r>
      <w:r w:rsidRPr="00476DA8">
        <w:rPr>
          <w:b/>
          <w:bCs/>
          <w:lang w:eastAsia="id-ID"/>
        </w:rPr>
        <w:t xml:space="preserve">Pengadilan Negeri </w:t>
      </w:r>
      <w:r w:rsidRPr="00476DA8">
        <w:rPr>
          <w:b/>
          <w:bCs/>
        </w:rPr>
        <w:t xml:space="preserve">Tanggerang Nomor </w:t>
      </w:r>
      <w:r w:rsidRPr="00476DA8">
        <w:rPr>
          <w:b/>
          <w:bCs/>
          <w:lang w:val="en-ID" w:eastAsia="en-ID"/>
        </w:rPr>
        <w:t>122/Pdt.G/ 2019/PN. Tng</w:t>
      </w:r>
    </w:p>
    <w:p w:rsidR="004B3276" w:rsidRPr="00476DA8" w:rsidRDefault="004B3276" w:rsidP="004B3276">
      <w:pPr>
        <w:autoSpaceDE w:val="0"/>
        <w:autoSpaceDN w:val="0"/>
        <w:adjustRightInd w:val="0"/>
        <w:spacing w:line="516" w:lineRule="auto"/>
        <w:ind w:firstLine="720"/>
        <w:jc w:val="both"/>
      </w:pPr>
      <w:r w:rsidRPr="00476DA8">
        <w:rPr>
          <w:lang w:eastAsia="id-ID"/>
        </w:rPr>
        <w:lastRenderedPageBreak/>
        <w:t xml:space="preserve">Pengadilan Negeri </w:t>
      </w:r>
      <w:r w:rsidRPr="00476DA8">
        <w:t>Tanggerang t</w:t>
      </w:r>
      <w:r w:rsidRPr="00476DA8">
        <w:rPr>
          <w:lang w:eastAsia="id-ID"/>
        </w:rPr>
        <w:t>elah mengambil putusan</w:t>
      </w:r>
      <w:r w:rsidRPr="00476DA8">
        <w:t xml:space="preserve"> dengan amar sebagai berikut :</w:t>
      </w:r>
    </w:p>
    <w:p w:rsidR="004B3276" w:rsidRPr="00476DA8" w:rsidRDefault="004B3276" w:rsidP="000A35B7">
      <w:pPr>
        <w:numPr>
          <w:ilvl w:val="0"/>
          <w:numId w:val="19"/>
        </w:numPr>
        <w:autoSpaceDE w:val="0"/>
        <w:autoSpaceDN w:val="0"/>
        <w:adjustRightInd w:val="0"/>
        <w:spacing w:line="516" w:lineRule="auto"/>
        <w:ind w:left="360"/>
        <w:jc w:val="both"/>
      </w:pPr>
      <w:r w:rsidRPr="00476DA8">
        <w:t>Mengabulkan gugatan Penggugat sebagian.</w:t>
      </w:r>
    </w:p>
    <w:p w:rsidR="004B3276" w:rsidRPr="00476DA8" w:rsidRDefault="004B3276" w:rsidP="000A35B7">
      <w:pPr>
        <w:numPr>
          <w:ilvl w:val="0"/>
          <w:numId w:val="19"/>
        </w:numPr>
        <w:autoSpaceDE w:val="0"/>
        <w:autoSpaceDN w:val="0"/>
        <w:adjustRightInd w:val="0"/>
        <w:spacing w:line="516" w:lineRule="auto"/>
        <w:ind w:left="360"/>
        <w:jc w:val="both"/>
        <w:rPr>
          <w:lang w:val="en-ID" w:eastAsia="en-ID"/>
        </w:rPr>
      </w:pPr>
      <w:r w:rsidRPr="00476DA8">
        <w:rPr>
          <w:lang w:val="en-ID" w:eastAsia="en-ID"/>
        </w:rPr>
        <w:t>Menyatakan para Tergugat telah melakukan lalai/wanprestasi;</w:t>
      </w:r>
    </w:p>
    <w:p w:rsidR="004B3276" w:rsidRPr="00476DA8" w:rsidRDefault="004B3276" w:rsidP="000A35B7">
      <w:pPr>
        <w:numPr>
          <w:ilvl w:val="0"/>
          <w:numId w:val="19"/>
        </w:numPr>
        <w:autoSpaceDE w:val="0"/>
        <w:autoSpaceDN w:val="0"/>
        <w:adjustRightInd w:val="0"/>
        <w:spacing w:line="516" w:lineRule="auto"/>
        <w:ind w:left="360"/>
        <w:jc w:val="both"/>
        <w:rPr>
          <w:lang w:val="en-ID" w:eastAsia="en-ID"/>
        </w:rPr>
      </w:pPr>
      <w:r w:rsidRPr="00476DA8">
        <w:rPr>
          <w:lang w:val="en-ID" w:eastAsia="en-ID"/>
        </w:rPr>
        <w:t>Menghukum para Tergugat untuk membayar kewajibanya sekaligus secara tanggung renteng, sektika dan secara tunai sebesar Rp.320.916.800,00 (tiga ratus dua puluh juta sembilan ratus enam belas ribu delapan ratus rupiah) ditambah dengan bunga keuntungan yang seharus diterima oleh para Penggugat sebesar 1 % (satu persen) perbulan dari hutang tersebut, selama 6 (enam) bulan. Dengan perhitungan sebagai berikut 1 % (satu persen)  dari Rp.320.916.800,00 (tiga ratus dua puluh juta sembilan ratus enam belas ribu delapan ratus rupiah kali 6 (enam) bulan atau keterlambatan sama dengan Rp.19.255.008,00 (sembilan belas juta dua ratus lima puluh lima ribu delapan rupiah);</w:t>
      </w:r>
    </w:p>
    <w:p w:rsidR="004B3276" w:rsidRPr="00476DA8" w:rsidRDefault="004B3276" w:rsidP="000A35B7">
      <w:pPr>
        <w:numPr>
          <w:ilvl w:val="0"/>
          <w:numId w:val="19"/>
        </w:numPr>
        <w:autoSpaceDE w:val="0"/>
        <w:autoSpaceDN w:val="0"/>
        <w:adjustRightInd w:val="0"/>
        <w:spacing w:line="516" w:lineRule="auto"/>
        <w:ind w:left="360"/>
        <w:jc w:val="both"/>
        <w:rPr>
          <w:lang w:val="en-ID" w:eastAsia="en-ID"/>
        </w:rPr>
      </w:pPr>
      <w:r w:rsidRPr="00476DA8">
        <w:rPr>
          <w:lang w:val="en-ID" w:eastAsia="en-ID"/>
        </w:rPr>
        <w:t>Menolak gugatan para Penggugat selain dan selebihnya;</w:t>
      </w:r>
    </w:p>
    <w:p w:rsidR="004B3276" w:rsidRPr="00476DA8" w:rsidRDefault="004B3276" w:rsidP="000A35B7">
      <w:pPr>
        <w:numPr>
          <w:ilvl w:val="0"/>
          <w:numId w:val="19"/>
        </w:numPr>
        <w:autoSpaceDE w:val="0"/>
        <w:autoSpaceDN w:val="0"/>
        <w:adjustRightInd w:val="0"/>
        <w:spacing w:line="516" w:lineRule="auto"/>
        <w:ind w:left="360"/>
        <w:jc w:val="both"/>
        <w:rPr>
          <w:lang w:val="en-ID" w:eastAsia="en-ID"/>
        </w:rPr>
      </w:pPr>
      <w:r w:rsidRPr="00476DA8">
        <w:rPr>
          <w:lang w:val="en-ID" w:eastAsia="en-ID"/>
        </w:rPr>
        <w:t>Menghukum para Tergugat untuk membayar biaya perkara secara tanggung renteng yang timbul hingga kini ditaksir sebesar Rp.2.141.000,00 (dua juta seratus empat puluh satu ribu rupiah);</w:t>
      </w:r>
    </w:p>
    <w:p w:rsidR="004B3276" w:rsidRPr="00476DA8" w:rsidRDefault="004B3276" w:rsidP="004B3276">
      <w:pPr>
        <w:autoSpaceDE w:val="0"/>
        <w:autoSpaceDN w:val="0"/>
        <w:adjustRightInd w:val="0"/>
        <w:ind w:left="360"/>
        <w:jc w:val="both"/>
      </w:pPr>
    </w:p>
    <w:p w:rsidR="004B3276" w:rsidRPr="00476DA8" w:rsidRDefault="004B3276" w:rsidP="000A35B7">
      <w:pPr>
        <w:numPr>
          <w:ilvl w:val="4"/>
          <w:numId w:val="5"/>
        </w:numPr>
        <w:tabs>
          <w:tab w:val="clear" w:pos="3600"/>
          <w:tab w:val="num" w:pos="360"/>
        </w:tabs>
        <w:autoSpaceDE w:val="0"/>
        <w:autoSpaceDN w:val="0"/>
        <w:adjustRightInd w:val="0"/>
        <w:spacing w:line="516" w:lineRule="auto"/>
        <w:ind w:left="360"/>
        <w:jc w:val="both"/>
        <w:rPr>
          <w:b/>
          <w:bCs/>
        </w:rPr>
      </w:pPr>
      <w:r w:rsidRPr="00476DA8">
        <w:rPr>
          <w:b/>
          <w:bCs/>
        </w:rPr>
        <w:t xml:space="preserve">Putusan Pengadilan Tinggi Banten </w:t>
      </w:r>
      <w:r w:rsidRPr="00476DA8">
        <w:rPr>
          <w:b/>
        </w:rPr>
        <w:t xml:space="preserve">Nomor </w:t>
      </w:r>
      <w:r w:rsidRPr="00476DA8">
        <w:rPr>
          <w:b/>
          <w:bCs/>
          <w:lang w:val="en-ID" w:eastAsia="en-ID"/>
        </w:rPr>
        <w:t>6/PDT/2020/PT BTN</w:t>
      </w:r>
      <w:r w:rsidRPr="00476DA8">
        <w:rPr>
          <w:b/>
          <w:bCs/>
        </w:rPr>
        <w:t>.</w:t>
      </w:r>
    </w:p>
    <w:p w:rsidR="004B3276" w:rsidRPr="00476DA8" w:rsidRDefault="004B3276" w:rsidP="004B3276">
      <w:pPr>
        <w:autoSpaceDE w:val="0"/>
        <w:autoSpaceDN w:val="0"/>
        <w:adjustRightInd w:val="0"/>
        <w:spacing w:line="516" w:lineRule="auto"/>
        <w:ind w:firstLine="720"/>
        <w:jc w:val="both"/>
      </w:pPr>
      <w:r w:rsidRPr="00476DA8">
        <w:lastRenderedPageBreak/>
        <w:t xml:space="preserve">Pengadilan Tinggi Banten dengan Putusan </w:t>
      </w:r>
      <w:r w:rsidRPr="00476DA8">
        <w:rPr>
          <w:bCs/>
        </w:rPr>
        <w:t xml:space="preserve">Nomor </w:t>
      </w:r>
      <w:r w:rsidRPr="00476DA8">
        <w:rPr>
          <w:bCs/>
          <w:lang w:val="en-ID" w:eastAsia="en-ID"/>
        </w:rPr>
        <w:t>6/PDT/2020/PT. BTN</w:t>
      </w:r>
      <w:r w:rsidRPr="00476DA8">
        <w:rPr>
          <w:bCs/>
        </w:rPr>
        <w:t xml:space="preserve"> m</w:t>
      </w:r>
      <w:r w:rsidRPr="00476DA8">
        <w:t>enerima permohonan banding dari pembanding/para tergugat dan dan memberikan putusan sebagai berikut :</w:t>
      </w:r>
    </w:p>
    <w:p w:rsidR="004B3276" w:rsidRPr="00476DA8" w:rsidRDefault="004B3276" w:rsidP="000A35B7">
      <w:pPr>
        <w:numPr>
          <w:ilvl w:val="0"/>
          <w:numId w:val="20"/>
        </w:numPr>
        <w:autoSpaceDE w:val="0"/>
        <w:autoSpaceDN w:val="0"/>
        <w:adjustRightInd w:val="0"/>
        <w:spacing w:line="480" w:lineRule="auto"/>
        <w:ind w:left="360"/>
        <w:jc w:val="both"/>
        <w:rPr>
          <w:lang w:val="en-ID" w:eastAsia="en-ID"/>
        </w:rPr>
      </w:pPr>
      <w:r w:rsidRPr="00476DA8">
        <w:rPr>
          <w:lang w:val="en-ID" w:eastAsia="en-ID"/>
        </w:rPr>
        <w:t>Menerima permohonan banding dari Para Pembanding semula Tergugat I dan Tergugat II;</w:t>
      </w:r>
    </w:p>
    <w:p w:rsidR="004B3276" w:rsidRPr="00476DA8" w:rsidRDefault="004B3276" w:rsidP="000A35B7">
      <w:pPr>
        <w:numPr>
          <w:ilvl w:val="0"/>
          <w:numId w:val="20"/>
        </w:numPr>
        <w:autoSpaceDE w:val="0"/>
        <w:autoSpaceDN w:val="0"/>
        <w:adjustRightInd w:val="0"/>
        <w:spacing w:line="480" w:lineRule="auto"/>
        <w:ind w:left="360"/>
        <w:jc w:val="both"/>
      </w:pPr>
      <w:r w:rsidRPr="00476DA8">
        <w:rPr>
          <w:lang w:val="en-ID" w:eastAsia="en-ID"/>
        </w:rPr>
        <w:t>Menguatkan Putusan Pengadilan Negeri Tangerang Nomor : 122/Pdt.G/2019/PN.Tng, tanggal 24 Juni 2019, yang dimohonkan banding tersebut.</w:t>
      </w:r>
    </w:p>
    <w:p w:rsidR="004B3276" w:rsidRPr="00476DA8" w:rsidRDefault="004B3276" w:rsidP="004B3276">
      <w:pPr>
        <w:autoSpaceDE w:val="0"/>
        <w:autoSpaceDN w:val="0"/>
        <w:adjustRightInd w:val="0"/>
        <w:ind w:firstLine="720"/>
        <w:jc w:val="both"/>
      </w:pPr>
    </w:p>
    <w:p w:rsidR="004B3276" w:rsidRPr="00476DA8" w:rsidRDefault="004B3276" w:rsidP="000A35B7">
      <w:pPr>
        <w:numPr>
          <w:ilvl w:val="4"/>
          <w:numId w:val="5"/>
        </w:numPr>
        <w:tabs>
          <w:tab w:val="clear" w:pos="3600"/>
          <w:tab w:val="num" w:pos="360"/>
        </w:tabs>
        <w:autoSpaceDE w:val="0"/>
        <w:autoSpaceDN w:val="0"/>
        <w:adjustRightInd w:val="0"/>
        <w:spacing w:line="516" w:lineRule="auto"/>
        <w:ind w:left="360"/>
        <w:jc w:val="both"/>
        <w:rPr>
          <w:b/>
          <w:bCs/>
        </w:rPr>
      </w:pPr>
      <w:r w:rsidRPr="00476DA8">
        <w:rPr>
          <w:b/>
          <w:bCs/>
          <w:lang w:eastAsia="id-ID"/>
        </w:rPr>
        <w:t xml:space="preserve">Putusan </w:t>
      </w:r>
      <w:r w:rsidRPr="00476DA8">
        <w:rPr>
          <w:b/>
          <w:bCs/>
        </w:rPr>
        <w:t>Mahkamah Agung</w:t>
      </w:r>
      <w:r w:rsidRPr="00476DA8">
        <w:rPr>
          <w:b/>
          <w:bCs/>
          <w:lang w:eastAsia="id-ID"/>
        </w:rPr>
        <w:t xml:space="preserve"> RI Nomor </w:t>
      </w:r>
      <w:r w:rsidRPr="00476DA8">
        <w:rPr>
          <w:b/>
          <w:bCs/>
          <w:lang w:val="en-ID" w:eastAsia="en-ID"/>
        </w:rPr>
        <w:t>1017 K/Pdt/2021</w:t>
      </w:r>
    </w:p>
    <w:p w:rsidR="004B3276" w:rsidRPr="00476DA8" w:rsidRDefault="004B3276" w:rsidP="004B3276">
      <w:pPr>
        <w:autoSpaceDE w:val="0"/>
        <w:autoSpaceDN w:val="0"/>
        <w:adjustRightInd w:val="0"/>
        <w:spacing w:line="516" w:lineRule="auto"/>
        <w:ind w:firstLine="720"/>
        <w:jc w:val="both"/>
      </w:pPr>
      <w:r w:rsidRPr="00476DA8">
        <w:t>Mahkamah Agung dalam tingkat kasasi  mengadili sendiri yang amar putusannya adalah :</w:t>
      </w:r>
    </w:p>
    <w:p w:rsidR="004B3276" w:rsidRPr="00476DA8" w:rsidRDefault="004B3276" w:rsidP="000A35B7">
      <w:pPr>
        <w:numPr>
          <w:ilvl w:val="0"/>
          <w:numId w:val="21"/>
        </w:numPr>
        <w:autoSpaceDE w:val="0"/>
        <w:autoSpaceDN w:val="0"/>
        <w:adjustRightInd w:val="0"/>
        <w:spacing w:line="480" w:lineRule="auto"/>
        <w:ind w:left="360"/>
        <w:jc w:val="both"/>
        <w:rPr>
          <w:lang w:val="en-ID" w:eastAsia="en-ID"/>
        </w:rPr>
      </w:pPr>
      <w:r w:rsidRPr="00476DA8">
        <w:rPr>
          <w:lang w:val="en-ID" w:eastAsia="en-ID"/>
        </w:rPr>
        <w:t>Menolak permohonan kasasi dari Para Pemohon Kasasi: Anto Wijaya, 2. PT Asia Bangunan Center, tersebut;</w:t>
      </w:r>
    </w:p>
    <w:p w:rsidR="004B3276" w:rsidRPr="00476DA8" w:rsidRDefault="004B3276" w:rsidP="000A35B7">
      <w:pPr>
        <w:numPr>
          <w:ilvl w:val="0"/>
          <w:numId w:val="21"/>
        </w:numPr>
        <w:autoSpaceDE w:val="0"/>
        <w:autoSpaceDN w:val="0"/>
        <w:adjustRightInd w:val="0"/>
        <w:spacing w:line="480" w:lineRule="auto"/>
        <w:ind w:left="360"/>
        <w:jc w:val="both"/>
        <w:rPr>
          <w:lang w:val="en-ID" w:eastAsia="en-ID"/>
        </w:rPr>
      </w:pPr>
      <w:r w:rsidRPr="00476DA8">
        <w:rPr>
          <w:lang w:val="en-ID" w:eastAsia="en-ID"/>
        </w:rPr>
        <w:t>Menghukum Para Pemohon Kasasi untuk membayar biaya perkara dalam tingkat kasasi ini sejumlah Rp.500.000,00 (lima ratus ribu rupiah);</w:t>
      </w:r>
    </w:p>
    <w:p w:rsidR="004B3276" w:rsidRPr="00476DA8" w:rsidRDefault="004B3276" w:rsidP="004B3276">
      <w:pPr>
        <w:pStyle w:val="BodyTextIndent"/>
        <w:autoSpaceDE w:val="0"/>
        <w:autoSpaceDN w:val="0"/>
        <w:adjustRightInd w:val="0"/>
        <w:ind w:firstLine="720"/>
        <w:rPr>
          <w:lang w:val="en-ID" w:eastAsia="en-ID"/>
        </w:rPr>
      </w:pPr>
      <w:r w:rsidRPr="00476DA8">
        <w:rPr>
          <w:bCs/>
        </w:rPr>
        <w:t xml:space="preserve">Berdasarkan putusan Pengadilan Negeri Tanggerang </w:t>
      </w:r>
      <w:r w:rsidRPr="00476DA8">
        <w:t xml:space="preserve">Nomor </w:t>
      </w:r>
      <w:r w:rsidRPr="00476DA8">
        <w:rPr>
          <w:lang w:val="en-ID" w:eastAsia="en-ID"/>
        </w:rPr>
        <w:t>122/Pdt.G/ 2019/PN.Tng</w:t>
      </w:r>
      <w:r w:rsidRPr="00476DA8">
        <w:t>,</w:t>
      </w:r>
      <w:r w:rsidRPr="00476DA8">
        <w:rPr>
          <w:bCs/>
        </w:rPr>
        <w:t xml:space="preserve"> maka penulis sepakat dengan putusan tersebut, sebab perbuatan para tergugat merupakan perbuatan wanprestasi karena telah ingkar janji kepada para penggugat</w:t>
      </w:r>
      <w:r w:rsidRPr="00476DA8">
        <w:t xml:space="preserve"> karena </w:t>
      </w:r>
      <w:r w:rsidRPr="00476DA8">
        <w:rPr>
          <w:lang w:val="en-ID" w:eastAsia="en-ID"/>
        </w:rPr>
        <w:t xml:space="preserve">para Tenggugat telah memesan/membeli berupa granit kepada para Penggugat dengan cara mencicil peembayaran, namun para Tergugat tidak melakukan pembayaran terhadap barang yang telah dibelinya. Para Tergugat </w:t>
      </w:r>
      <w:r w:rsidRPr="00476DA8">
        <w:rPr>
          <w:lang w:val="en-ID" w:eastAsia="en-ID"/>
        </w:rPr>
        <w:lastRenderedPageBreak/>
        <w:t>telah malakukan pembelian granit dengan cara mencicil, melakukan pembayaran secara tidak sempurna.</w:t>
      </w:r>
    </w:p>
    <w:p w:rsidR="004B3276" w:rsidRPr="00476DA8" w:rsidRDefault="004B3276" w:rsidP="004B3276">
      <w:pPr>
        <w:pStyle w:val="BodyTextIndent"/>
        <w:autoSpaceDE w:val="0"/>
        <w:autoSpaceDN w:val="0"/>
        <w:adjustRightInd w:val="0"/>
        <w:ind w:firstLine="720"/>
      </w:pPr>
      <w:r w:rsidRPr="00476DA8">
        <w:rPr>
          <w:lang w:val="en-ID" w:eastAsia="en-ID"/>
        </w:rPr>
        <w:t>Para Tergugat telah diperingati oleh para penggugat atau disomasi secara berturut-turut untuk melakukan poembayaran atas kewajibannya kepada para Penggugat sebesar Rp.320.916.800,00 (tiga ratus dua puluh juta sembilan ratus enam belas ribu delapan ratus rupiah) sehingga berdasarkan pertimbangan tersebut gugatan para penggugat secara hukum dikabulkan sebagain yatiu menghukum para Tergugat untuk sekaligus secara tanggung renteng secara seketika dan tunai sebesar Rp.320.916.800,00 (tiga ratus dua puluh juta sembilan ratus enam belas ribu delapan ratus rupiah) ditambah dengan bunga keuntungan yang seharus diterima oleh para Penggugat sebesar 1 % (satu persen) perbulan dari hutang tersebut, selama 6 (enam) bulan. Dengan perhitungan sebagai berikut 1 % dari Rp. Rp.320.916.800,00 ( tiga ratus dua puluh juta Sembilan ratus enam belas ribu delapan ratus rupiah kali 6 (enam) bulan atau keterlambatan sama dengan Rp19.255.008,00 (sembilan belas juta dua ratus lima puluh lima ribu delapan rupiah).</w:t>
      </w:r>
    </w:p>
    <w:p w:rsidR="004B3276" w:rsidRPr="00476DA8" w:rsidRDefault="004B3276" w:rsidP="004B3276">
      <w:pPr>
        <w:pStyle w:val="BodyTextIndent"/>
        <w:autoSpaceDE w:val="0"/>
        <w:autoSpaceDN w:val="0"/>
        <w:adjustRightInd w:val="0"/>
        <w:ind w:firstLine="720"/>
      </w:pPr>
      <w:r w:rsidRPr="00476DA8">
        <w:t>Kemudian dalam tingkat banding, majelis hakim pada Pengadilan Tinggi Banten m</w:t>
      </w:r>
      <w:r w:rsidRPr="00476DA8">
        <w:rPr>
          <w:lang w:val="en-ID" w:eastAsia="en-ID"/>
        </w:rPr>
        <w:t>enguatkan Putusan Pengadilan Negeri Tangerang Nomor : 122/Pdt.G/2019/PN.Tng, tanggal 24 Juni 2019, yang dimohonkan banding dengan pertimbangan ternyata tidak ada hal-hal yang baru yang perlu dipertimbangkan dengan demikian Pengadilan Tinggi dapat menyetujui dan membenarkan putusan Hakim Tingkat Pertama oleh karena pertimbangan-pertimbangan hukumnya telah memuat dan menguraikan dengan tepat dan benar semua keadaan serta alasan-</w:t>
      </w:r>
      <w:r w:rsidRPr="00476DA8">
        <w:rPr>
          <w:lang w:val="en-ID" w:eastAsia="en-ID"/>
        </w:rPr>
        <w:lastRenderedPageBreak/>
        <w:t>alasan yang menjadi dasar dalam putusannya dan dianggap telah tercantum pula dalam putusan ditingkat banding. Dengan  demikian maka pertimbangan-pertimbangan hukum Hakim Tingkat Pertama tersebut diambil alih dan dijadikan dasar didalam pertimbangan- pertimbangan putusan Pengadilan Tinggi sendiri,sehingga Putusan Pengadilan Negeri Tangerang tanggal 24 Juni 2019 Nomor 122/Pdt.G/2019/PN Tng, dapat dipertahankan dan dikuatkan dalam Peradilan Tingat Banding.</w:t>
      </w:r>
    </w:p>
    <w:p w:rsidR="004B3276" w:rsidRPr="00476DA8" w:rsidRDefault="004B3276" w:rsidP="004B3276">
      <w:pPr>
        <w:pStyle w:val="BodyTextIndent"/>
        <w:autoSpaceDE w:val="0"/>
        <w:autoSpaceDN w:val="0"/>
        <w:adjustRightInd w:val="0"/>
        <w:ind w:firstLine="720"/>
        <w:rPr>
          <w:lang w:val="en-ID" w:eastAsia="en-ID"/>
        </w:rPr>
      </w:pPr>
      <w:r w:rsidRPr="00476DA8">
        <w:t>Selanjutnya dalam tingkat kasasi, Mahkamah Agung menolak permohonan kasasi dari para tergugat dengan pertimbangan hukum bahwa para t</w:t>
      </w:r>
      <w:r w:rsidRPr="00476DA8">
        <w:rPr>
          <w:lang w:val="en-ID" w:eastAsia="en-ID"/>
        </w:rPr>
        <w:t>ergugat terbukti telah membeli barang berupa granit yang pembayarannya dilakukan dengan mengangsur/mencicil tetapi sampai waktu yang telah disepakati para tergugat tidak memenuhi kewajibannya kepada Para Penggugat sejumlah Rp320.916.800,00 (tiga ratus dua puluh juta sembilan ratus enam belas ribu delapan ratus rupiah) meskipun telah diperingatkan oleh para penggugat.</w:t>
      </w:r>
    </w:p>
    <w:p w:rsidR="001A2B78" w:rsidRPr="004B3276" w:rsidRDefault="004B3276" w:rsidP="004B3276">
      <w:r w:rsidRPr="00476DA8">
        <w:t>Penulis setuju dengan dasar hukum bahwa perbuatan para tergugat merupakan perbuatan wanprestasi yaitu tidak membayar hutangnya kepada para penggugat. Penulis juga setuju bahwa dalam kasus wanprestasi hutang piutang tersebut diselesaikan secara perdata dan dapat dimintai pertanggungjawaban hukum untuk membayar ganti rugi atas tidak dipenuhinya prestasi tersebut.</w:t>
      </w:r>
    </w:p>
    <w:sectPr w:rsidR="001A2B78" w:rsidRPr="004B3276" w:rsidSect="000609B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402" w:rsidRDefault="00760402">
      <w:r>
        <w:separator/>
      </w:r>
    </w:p>
  </w:endnote>
  <w:endnote w:type="continuationSeparator" w:id="1">
    <w:p w:rsidR="00760402" w:rsidRDefault="00760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9770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70B8" w:rsidRDefault="009770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F9" w:rsidRDefault="00273E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7D310F" w:rsidRDefault="009770B8" w:rsidP="00342D52">
    <w:pPr>
      <w:pStyle w:val="Footer"/>
      <w:jc w:val="center"/>
    </w:pPr>
    <w:r w:rsidRPr="007D310F">
      <w:rPr>
        <w:rStyle w:val="PageNumber"/>
      </w:rPr>
      <w:fldChar w:fldCharType="begin"/>
    </w:r>
    <w:r w:rsidRPr="007D310F">
      <w:rPr>
        <w:rStyle w:val="PageNumber"/>
      </w:rPr>
      <w:instrText xml:space="preserve"> PAGE </w:instrText>
    </w:r>
    <w:r w:rsidRPr="007D310F">
      <w:rPr>
        <w:rStyle w:val="PageNumber"/>
      </w:rPr>
      <w:fldChar w:fldCharType="separate"/>
    </w:r>
    <w:r w:rsidR="00273EF9">
      <w:rPr>
        <w:rStyle w:val="PageNumber"/>
        <w:noProof/>
      </w:rPr>
      <w:t>70</w:t>
    </w:r>
    <w:r w:rsidRPr="007D310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402" w:rsidRDefault="00760402">
      <w:r>
        <w:separator/>
      </w:r>
    </w:p>
  </w:footnote>
  <w:footnote w:type="continuationSeparator" w:id="1">
    <w:p w:rsidR="00760402" w:rsidRDefault="00760402">
      <w:r>
        <w:continuationSeparator/>
      </w:r>
    </w:p>
  </w:footnote>
  <w:footnote w:id="2">
    <w:p w:rsidR="004B3276" w:rsidRPr="00A30622" w:rsidRDefault="004B3276" w:rsidP="004B3276">
      <w:pPr>
        <w:pStyle w:val="FootnoteText"/>
        <w:ind w:firstLine="720"/>
        <w:jc w:val="both"/>
      </w:pPr>
      <w:r w:rsidRPr="00A30622">
        <w:rPr>
          <w:rStyle w:val="FootnoteReference"/>
        </w:rPr>
        <w:footnoteRef/>
      </w:r>
      <w:r w:rsidRPr="00A30622">
        <w:t xml:space="preserve"> Gunawan Wijaya dan Kartini Muljadi, </w:t>
      </w:r>
      <w:r w:rsidRPr="00A30622">
        <w:rPr>
          <w:i/>
        </w:rPr>
        <w:t>Penanggungan Utang dan Perikatan Tanggung Menanggung,</w:t>
      </w:r>
      <w:r w:rsidRPr="00A30622">
        <w:t xml:space="preserve"> RajaGrafindo Persada, Jakarta, 2013, h. 118</w:t>
      </w:r>
    </w:p>
  </w:footnote>
  <w:footnote w:id="3">
    <w:p w:rsidR="004B3276" w:rsidRPr="00A30622" w:rsidRDefault="004B3276" w:rsidP="004B3276">
      <w:pPr>
        <w:pStyle w:val="FootnoteText"/>
        <w:ind w:firstLine="720"/>
      </w:pPr>
      <w:r w:rsidRPr="00A30622">
        <w:rPr>
          <w:rStyle w:val="FootnoteReference"/>
        </w:rPr>
        <w:footnoteRef/>
      </w:r>
      <w:r w:rsidRPr="00A30622">
        <w:t xml:space="preserve"> </w:t>
      </w:r>
      <w:r w:rsidRPr="00A30622">
        <w:rPr>
          <w:i/>
        </w:rPr>
        <w:t>Ibid</w:t>
      </w:r>
      <w:r w:rsidRPr="00A30622">
        <w:t>, h.119.</w:t>
      </w:r>
    </w:p>
  </w:footnote>
  <w:footnote w:id="4">
    <w:p w:rsidR="004B3276" w:rsidRPr="00A30622" w:rsidRDefault="004B3276" w:rsidP="004B3276">
      <w:pPr>
        <w:pStyle w:val="FootnoteText"/>
        <w:ind w:firstLine="720"/>
      </w:pPr>
      <w:r w:rsidRPr="00A30622">
        <w:rPr>
          <w:rStyle w:val="FootnoteReference"/>
        </w:rPr>
        <w:footnoteRef/>
      </w:r>
      <w:r w:rsidRPr="00A30622">
        <w:t xml:space="preserve"> J. Satrio, </w:t>
      </w:r>
      <w:r w:rsidRPr="00A30622">
        <w:rPr>
          <w:i/>
        </w:rPr>
        <w:t>Op.Cit</w:t>
      </w:r>
      <w:r w:rsidRPr="00A30622">
        <w:t>, h.59.</w:t>
      </w:r>
    </w:p>
  </w:footnote>
  <w:footnote w:id="5">
    <w:p w:rsidR="004B3276" w:rsidRPr="00A30622" w:rsidRDefault="004B3276" w:rsidP="004B3276">
      <w:pPr>
        <w:autoSpaceDE w:val="0"/>
        <w:autoSpaceDN w:val="0"/>
        <w:adjustRightInd w:val="0"/>
        <w:ind w:firstLine="720"/>
        <w:jc w:val="both"/>
        <w:rPr>
          <w:sz w:val="20"/>
          <w:szCs w:val="20"/>
        </w:rPr>
      </w:pPr>
      <w:r w:rsidRPr="00A30622">
        <w:rPr>
          <w:rStyle w:val="FootnoteReference"/>
          <w:sz w:val="20"/>
          <w:szCs w:val="20"/>
        </w:rPr>
        <w:footnoteRef/>
      </w:r>
      <w:r w:rsidRPr="00A30622">
        <w:rPr>
          <w:sz w:val="20"/>
          <w:szCs w:val="20"/>
        </w:rPr>
        <w:t xml:space="preserve"> </w:t>
      </w:r>
      <w:r w:rsidRPr="00A30622">
        <w:rPr>
          <w:rFonts w:eastAsia="TimesNewRoman"/>
          <w:sz w:val="20"/>
          <w:szCs w:val="20"/>
        </w:rPr>
        <w:t xml:space="preserve">Sri Soedewi Masjchoen Sofwan, </w:t>
      </w:r>
      <w:r w:rsidRPr="00A30622">
        <w:rPr>
          <w:i/>
          <w:iCs/>
          <w:sz w:val="20"/>
          <w:szCs w:val="20"/>
        </w:rPr>
        <w:t>Hukum Jaminan di Indonesia Pokok-Pokok Hukum Jaminan dan Jaminan Perorangan</w:t>
      </w:r>
      <w:r w:rsidRPr="00A30622">
        <w:rPr>
          <w:rFonts w:eastAsia="TimesNewRoman"/>
          <w:sz w:val="20"/>
          <w:szCs w:val="20"/>
        </w:rPr>
        <w:t>, Liberty, Yogyakarta, 2013, h.73</w:t>
      </w:r>
    </w:p>
  </w:footnote>
  <w:footnote w:id="6">
    <w:p w:rsidR="004B3276" w:rsidRPr="00A30622" w:rsidRDefault="004B3276" w:rsidP="004B3276">
      <w:pPr>
        <w:pStyle w:val="FootnoteText"/>
        <w:ind w:firstLine="720"/>
        <w:jc w:val="both"/>
      </w:pPr>
      <w:r w:rsidRPr="00A30622">
        <w:rPr>
          <w:rStyle w:val="FootnoteReference"/>
        </w:rPr>
        <w:footnoteRef/>
      </w:r>
      <w:r w:rsidRPr="00A30622">
        <w:t xml:space="preserve">Ahmadi Miru. </w:t>
      </w:r>
      <w:r w:rsidRPr="00A30622">
        <w:rPr>
          <w:bCs/>
          <w:i/>
          <w:iCs/>
        </w:rPr>
        <w:t>Hukum Kontrak dan Perancangan Kontrak</w:t>
      </w:r>
      <w:r w:rsidRPr="00A30622">
        <w:rPr>
          <w:bCs/>
        </w:rPr>
        <w:t>, Rajawali</w:t>
      </w:r>
      <w:r w:rsidRPr="00A30622">
        <w:t xml:space="preserve"> Pers, Jakarta, 2014, h.74.</w:t>
      </w:r>
    </w:p>
  </w:footnote>
  <w:footnote w:id="7">
    <w:p w:rsidR="004B3276" w:rsidRPr="00A30622" w:rsidRDefault="004B3276" w:rsidP="004B3276">
      <w:pPr>
        <w:pStyle w:val="FootnoteText"/>
        <w:ind w:firstLine="720"/>
        <w:jc w:val="both"/>
        <w:rPr>
          <w:iCs/>
        </w:rPr>
      </w:pPr>
      <w:r w:rsidRPr="00A30622">
        <w:rPr>
          <w:rStyle w:val="FootnoteReference"/>
        </w:rPr>
        <w:footnoteRef/>
      </w:r>
      <w:r w:rsidRPr="00A30622">
        <w:t xml:space="preserve"> </w:t>
      </w:r>
      <w:r w:rsidRPr="00A30622">
        <w:rPr>
          <w:i/>
        </w:rPr>
        <w:t>Ibid.,</w:t>
      </w:r>
      <w:r w:rsidRPr="00A30622">
        <w:rPr>
          <w:iCs/>
        </w:rPr>
        <w:t xml:space="preserve"> h. 75</w:t>
      </w:r>
    </w:p>
  </w:footnote>
  <w:footnote w:id="8">
    <w:p w:rsidR="004B3276" w:rsidRPr="00A30622" w:rsidRDefault="004B3276" w:rsidP="004B3276">
      <w:pPr>
        <w:pStyle w:val="FootnoteText"/>
        <w:ind w:firstLine="720"/>
        <w:jc w:val="both"/>
      </w:pPr>
      <w:r w:rsidRPr="00A30622">
        <w:rPr>
          <w:rStyle w:val="FootnoteReference"/>
        </w:rPr>
        <w:footnoteRef/>
      </w:r>
      <w:r w:rsidRPr="00A30622">
        <w:t xml:space="preserve"> Munir Fuady. </w:t>
      </w:r>
      <w:r w:rsidRPr="00A30622">
        <w:rPr>
          <w:bCs/>
          <w:i/>
        </w:rPr>
        <w:t>Op. Cit</w:t>
      </w:r>
      <w:r w:rsidRPr="00A30622">
        <w:t>., h. 87.</w:t>
      </w:r>
    </w:p>
  </w:footnote>
  <w:footnote w:id="9">
    <w:p w:rsidR="004B3276" w:rsidRPr="00A30622" w:rsidRDefault="004B3276" w:rsidP="004B3276">
      <w:pPr>
        <w:pStyle w:val="FootnoteText"/>
        <w:ind w:firstLine="720"/>
        <w:jc w:val="both"/>
      </w:pPr>
      <w:r w:rsidRPr="00A30622">
        <w:rPr>
          <w:rStyle w:val="FootnoteReference"/>
        </w:rPr>
        <w:footnoteRef/>
      </w:r>
      <w:r w:rsidRPr="00A30622">
        <w:t xml:space="preserve"> </w:t>
      </w:r>
      <w:r w:rsidRPr="00A30622">
        <w:rPr>
          <w:i/>
        </w:rPr>
        <w:t>Ibid</w:t>
      </w:r>
      <w:r w:rsidRPr="00A30622">
        <w:t>., h. 88.</w:t>
      </w:r>
    </w:p>
  </w:footnote>
  <w:footnote w:id="10">
    <w:p w:rsidR="004B3276" w:rsidRPr="00A30622" w:rsidRDefault="004B3276" w:rsidP="004B3276">
      <w:pPr>
        <w:pStyle w:val="FootnoteText"/>
        <w:ind w:firstLine="720"/>
        <w:jc w:val="both"/>
      </w:pPr>
      <w:r w:rsidRPr="00A30622">
        <w:rPr>
          <w:rStyle w:val="FootnoteReference"/>
        </w:rPr>
        <w:footnoteRef/>
      </w:r>
      <w:r w:rsidRPr="00A30622">
        <w:t xml:space="preserve"> Agus Yudha Hernoko,</w:t>
      </w:r>
      <w:r w:rsidRPr="00A30622">
        <w:rPr>
          <w:i/>
        </w:rPr>
        <w:t xml:space="preserve"> </w:t>
      </w:r>
      <w:r w:rsidRPr="00A30622">
        <w:rPr>
          <w:bCs/>
          <w:i/>
          <w:color w:val="000000"/>
        </w:rPr>
        <w:t>Op.Cit</w:t>
      </w:r>
      <w:r w:rsidRPr="00A30622">
        <w:rPr>
          <w:iCs/>
        </w:rPr>
        <w:t xml:space="preserve">, </w:t>
      </w:r>
      <w:r w:rsidRPr="00A30622">
        <w:t>h. 293.</w:t>
      </w:r>
    </w:p>
  </w:footnote>
  <w:footnote w:id="11">
    <w:p w:rsidR="004B3276" w:rsidRPr="00A30622" w:rsidRDefault="004B3276" w:rsidP="004B3276">
      <w:pPr>
        <w:pStyle w:val="FootnoteText"/>
        <w:ind w:firstLine="720"/>
        <w:jc w:val="both"/>
      </w:pPr>
      <w:r w:rsidRPr="00A30622">
        <w:rPr>
          <w:rStyle w:val="FootnoteReference"/>
        </w:rPr>
        <w:footnoteRef/>
      </w:r>
      <w:r w:rsidRPr="00A30622">
        <w:t xml:space="preserve"> Munir Fuady. </w:t>
      </w:r>
      <w:r w:rsidRPr="00A30622">
        <w:rPr>
          <w:bCs/>
          <w:i/>
        </w:rPr>
        <w:t>Op. Cit</w:t>
      </w:r>
      <w:r w:rsidRPr="00A30622">
        <w:rPr>
          <w:bCs/>
        </w:rPr>
        <w:t>.</w:t>
      </w:r>
      <w:r w:rsidRPr="00A30622">
        <w:t>, h.138.</w:t>
      </w:r>
    </w:p>
  </w:footnote>
  <w:footnote w:id="12">
    <w:p w:rsidR="004B3276" w:rsidRPr="00A30622" w:rsidRDefault="004B3276" w:rsidP="004B3276">
      <w:pPr>
        <w:pStyle w:val="FootnoteText"/>
        <w:ind w:firstLine="720"/>
        <w:jc w:val="both"/>
      </w:pPr>
      <w:r w:rsidRPr="00A30622">
        <w:rPr>
          <w:rStyle w:val="FootnoteReference"/>
        </w:rPr>
        <w:footnoteRef/>
      </w:r>
      <w:r w:rsidRPr="00A30622">
        <w:t xml:space="preserve"> Agus Yudha Hernoko,</w:t>
      </w:r>
      <w:r w:rsidRPr="00A30622">
        <w:rPr>
          <w:bCs/>
          <w:i/>
          <w:iCs/>
        </w:rPr>
        <w:t>Op. Cit</w:t>
      </w:r>
      <w:r w:rsidRPr="00A30622">
        <w:rPr>
          <w:i/>
          <w:iCs/>
        </w:rPr>
        <w:t xml:space="preserve">, </w:t>
      </w:r>
      <w:r w:rsidRPr="00A30622">
        <w:rPr>
          <w:iCs/>
        </w:rPr>
        <w:t xml:space="preserve"> h </w:t>
      </w:r>
      <w:r w:rsidRPr="00A30622">
        <w:t>264.</w:t>
      </w:r>
    </w:p>
  </w:footnote>
  <w:footnote w:id="13">
    <w:p w:rsidR="004B3276" w:rsidRPr="00A30622" w:rsidRDefault="004B3276" w:rsidP="004B3276">
      <w:pPr>
        <w:pStyle w:val="FootnoteText"/>
        <w:ind w:firstLine="720"/>
        <w:jc w:val="both"/>
      </w:pPr>
      <w:r w:rsidRPr="00A30622">
        <w:rPr>
          <w:rStyle w:val="FootnoteReference"/>
        </w:rPr>
        <w:footnoteRef/>
      </w:r>
      <w:r w:rsidRPr="00A30622">
        <w:t xml:space="preserve"> </w:t>
      </w:r>
      <w:r w:rsidRPr="00A30622">
        <w:rPr>
          <w:bCs/>
          <w:i/>
        </w:rPr>
        <w:t>Ibid.</w:t>
      </w:r>
      <w:r w:rsidRPr="00A30622">
        <w:rPr>
          <w:i/>
        </w:rPr>
        <w:t>,</w:t>
      </w:r>
      <w:r w:rsidRPr="00A30622">
        <w:t xml:space="preserve"> h. 265.</w:t>
      </w:r>
    </w:p>
  </w:footnote>
  <w:footnote w:id="14">
    <w:p w:rsidR="004B3276" w:rsidRPr="00A30622" w:rsidRDefault="004B3276" w:rsidP="004B3276">
      <w:pPr>
        <w:pStyle w:val="FootnoteText"/>
        <w:ind w:firstLine="720"/>
        <w:jc w:val="both"/>
      </w:pPr>
      <w:r w:rsidRPr="00A30622">
        <w:rPr>
          <w:rStyle w:val="FootnoteReference"/>
        </w:rPr>
        <w:footnoteRef/>
      </w:r>
      <w:r w:rsidRPr="00A30622">
        <w:t xml:space="preserve"> </w:t>
      </w:r>
      <w:r w:rsidRPr="00A30622">
        <w:rPr>
          <w:bCs/>
          <w:i/>
        </w:rPr>
        <w:t>Ibid.,</w:t>
      </w:r>
      <w:r w:rsidRPr="00A30622">
        <w:t xml:space="preserve"> h. 267.</w:t>
      </w:r>
    </w:p>
  </w:footnote>
  <w:footnote w:id="15">
    <w:p w:rsidR="004B3276" w:rsidRPr="00A30622" w:rsidRDefault="004B3276" w:rsidP="004B3276">
      <w:pPr>
        <w:pStyle w:val="FootnoteText"/>
        <w:ind w:firstLine="720"/>
        <w:jc w:val="both"/>
      </w:pPr>
      <w:r w:rsidRPr="00A30622">
        <w:rPr>
          <w:rStyle w:val="FootnoteReference"/>
        </w:rPr>
        <w:footnoteRef/>
      </w:r>
      <w:r w:rsidRPr="00A30622">
        <w:t xml:space="preserve"> </w:t>
      </w:r>
      <w:r w:rsidRPr="00A30622">
        <w:rPr>
          <w:color w:val="000000"/>
        </w:rPr>
        <w:t xml:space="preserve">J. Satrio,  </w:t>
      </w:r>
      <w:r w:rsidRPr="00A30622">
        <w:rPr>
          <w:bCs/>
          <w:i/>
          <w:color w:val="000000"/>
        </w:rPr>
        <w:t>Op.Cit</w:t>
      </w:r>
      <w:r w:rsidRPr="00A30622">
        <w:rPr>
          <w:color w:val="000000"/>
        </w:rPr>
        <w:t>, h. 59.</w:t>
      </w:r>
    </w:p>
  </w:footnote>
  <w:footnote w:id="16">
    <w:p w:rsidR="004B3276" w:rsidRPr="00A30622" w:rsidRDefault="004B3276" w:rsidP="004B3276">
      <w:pPr>
        <w:pStyle w:val="FootnoteText"/>
        <w:ind w:firstLine="720"/>
        <w:jc w:val="both"/>
      </w:pPr>
      <w:r w:rsidRPr="00A30622">
        <w:rPr>
          <w:rStyle w:val="FootnoteReference"/>
        </w:rPr>
        <w:footnoteRef/>
      </w:r>
      <w:r w:rsidRPr="00A30622">
        <w:t xml:space="preserve"> </w:t>
      </w:r>
      <w:bookmarkStart w:id="0" w:name="_Hlk100845699"/>
      <w:r w:rsidRPr="00A30622">
        <w:t xml:space="preserve">Hasanuddin Rahman, </w:t>
      </w:r>
      <w:r w:rsidRPr="00A30622">
        <w:rPr>
          <w:bCs/>
          <w:i/>
          <w:iCs/>
        </w:rPr>
        <w:t>Contract Drafting Seri Keterampilan Merancang Kontrak Bisni</w:t>
      </w:r>
      <w:r w:rsidRPr="00A30622">
        <w:rPr>
          <w:i/>
          <w:iCs/>
        </w:rPr>
        <w:t>s</w:t>
      </w:r>
      <w:r w:rsidRPr="00A30622">
        <w:t>, Citra Aditya Bakti, Bandung, 2013</w:t>
      </w:r>
      <w:bookmarkEnd w:id="0"/>
      <w:r w:rsidRPr="00A30622">
        <w:t>, h. 26</w:t>
      </w:r>
    </w:p>
  </w:footnote>
  <w:footnote w:id="17">
    <w:p w:rsidR="004B3276" w:rsidRPr="00A30622" w:rsidRDefault="004B3276" w:rsidP="004B3276">
      <w:pPr>
        <w:pStyle w:val="FootnoteText"/>
        <w:ind w:firstLine="720"/>
        <w:jc w:val="both"/>
      </w:pPr>
      <w:r w:rsidRPr="00A30622">
        <w:rPr>
          <w:rStyle w:val="FootnoteReference"/>
        </w:rPr>
        <w:footnoteRef/>
      </w:r>
      <w:r w:rsidRPr="00A30622">
        <w:t xml:space="preserve"> </w:t>
      </w:r>
      <w:r w:rsidRPr="00A30622">
        <w:rPr>
          <w:bCs/>
          <w:i/>
        </w:rPr>
        <w:t>Ibid</w:t>
      </w:r>
      <w:r w:rsidRPr="00A30622">
        <w:t>, h.27</w:t>
      </w:r>
    </w:p>
  </w:footnote>
  <w:footnote w:id="18">
    <w:p w:rsidR="004B3276" w:rsidRPr="00A30622" w:rsidRDefault="004B3276" w:rsidP="004B3276">
      <w:pPr>
        <w:pStyle w:val="FootnoteText"/>
        <w:ind w:firstLine="720"/>
        <w:jc w:val="both"/>
      </w:pPr>
      <w:r w:rsidRPr="00A30622">
        <w:rPr>
          <w:rStyle w:val="FootnoteReference"/>
        </w:rPr>
        <w:footnoteRef/>
      </w:r>
      <w:r w:rsidRPr="00A30622">
        <w:t xml:space="preserve"> </w:t>
      </w:r>
      <w:bookmarkStart w:id="1" w:name="_Hlk100845715"/>
      <w:r w:rsidRPr="00A30622">
        <w:rPr>
          <w:color w:val="000000"/>
        </w:rPr>
        <w:t xml:space="preserve">Suharnoko, </w:t>
      </w:r>
      <w:r w:rsidRPr="00A30622">
        <w:rPr>
          <w:bCs/>
          <w:i/>
          <w:color w:val="000000"/>
        </w:rPr>
        <w:t>Hukum Perjanjian Teori dan Analisa Kasus</w:t>
      </w:r>
      <w:r w:rsidRPr="00A30622">
        <w:rPr>
          <w:color w:val="000000"/>
        </w:rPr>
        <w:t>. Kencana Prenada Media Group, Jakarta, 2014</w:t>
      </w:r>
      <w:bookmarkEnd w:id="1"/>
      <w:r w:rsidRPr="00A30622">
        <w:rPr>
          <w:color w:val="000000"/>
        </w:rPr>
        <w:t>, h. 58.</w:t>
      </w:r>
    </w:p>
  </w:footnote>
  <w:footnote w:id="19">
    <w:p w:rsidR="004B3276" w:rsidRPr="00A30622" w:rsidRDefault="004B3276" w:rsidP="004B3276">
      <w:pPr>
        <w:pStyle w:val="FootnoteText"/>
        <w:ind w:firstLine="720"/>
        <w:jc w:val="both"/>
      </w:pPr>
      <w:r w:rsidRPr="00A30622">
        <w:rPr>
          <w:rStyle w:val="FootnoteReference"/>
        </w:rPr>
        <w:footnoteRef/>
      </w:r>
      <w:r w:rsidRPr="00A30622">
        <w:t xml:space="preserve"> Munir Fuady, </w:t>
      </w:r>
      <w:r w:rsidRPr="00A30622">
        <w:rPr>
          <w:bCs/>
          <w:i/>
        </w:rPr>
        <w:t>Op.Cit</w:t>
      </w:r>
      <w:r w:rsidRPr="00A30622">
        <w:t>, h.82.</w:t>
      </w:r>
    </w:p>
  </w:footnote>
  <w:footnote w:id="20">
    <w:p w:rsidR="004B3276" w:rsidRPr="00A30622" w:rsidRDefault="004B3276" w:rsidP="004B3276">
      <w:pPr>
        <w:pStyle w:val="FootnoteText"/>
        <w:ind w:firstLine="720"/>
        <w:jc w:val="both"/>
        <w:rPr>
          <w:i/>
          <w:iCs/>
        </w:rPr>
      </w:pPr>
      <w:r w:rsidRPr="00A30622">
        <w:rPr>
          <w:rStyle w:val="FootnoteReference"/>
        </w:rPr>
        <w:footnoteRef/>
      </w:r>
      <w:r w:rsidRPr="00A30622">
        <w:t xml:space="preserve"> </w:t>
      </w:r>
      <w:r w:rsidRPr="00A30622">
        <w:rPr>
          <w:color w:val="000000"/>
        </w:rPr>
        <w:t xml:space="preserve">Suharnoko, </w:t>
      </w:r>
      <w:r w:rsidRPr="00A30622">
        <w:rPr>
          <w:bCs/>
          <w:i/>
        </w:rPr>
        <w:t>Op.Cit</w:t>
      </w:r>
      <w:r w:rsidRPr="00A30622">
        <w:rPr>
          <w:bCs/>
        </w:rPr>
        <w:t>,</w:t>
      </w:r>
      <w:r w:rsidRPr="00A30622">
        <w:t xml:space="preserve"> h.70.</w:t>
      </w:r>
    </w:p>
  </w:footnote>
  <w:footnote w:id="21">
    <w:p w:rsidR="004B3276" w:rsidRPr="00A30622" w:rsidRDefault="004B3276" w:rsidP="004B3276">
      <w:pPr>
        <w:pStyle w:val="FootnoteText"/>
        <w:ind w:firstLine="720"/>
        <w:jc w:val="both"/>
      </w:pPr>
      <w:r w:rsidRPr="00A30622">
        <w:rPr>
          <w:rStyle w:val="FootnoteReference"/>
        </w:rPr>
        <w:footnoteRef/>
      </w:r>
      <w:r w:rsidRPr="00A30622">
        <w:t xml:space="preserve"> Munir Fuady, </w:t>
      </w:r>
      <w:r w:rsidRPr="00A30622">
        <w:rPr>
          <w:bCs/>
          <w:i/>
        </w:rPr>
        <w:t>Op.Cit</w:t>
      </w:r>
      <w:r w:rsidRPr="00A30622">
        <w:rPr>
          <w:bCs/>
        </w:rPr>
        <w:t>,</w:t>
      </w:r>
      <w:r w:rsidRPr="00A30622">
        <w:t xml:space="preserve">  h.83.</w:t>
      </w:r>
    </w:p>
  </w:footnote>
  <w:footnote w:id="22">
    <w:p w:rsidR="004B3276" w:rsidRPr="00A30622" w:rsidRDefault="004B3276" w:rsidP="004B3276">
      <w:pPr>
        <w:pStyle w:val="FootnoteText"/>
        <w:ind w:firstLine="720"/>
        <w:jc w:val="both"/>
      </w:pPr>
      <w:r w:rsidRPr="00A30622">
        <w:rPr>
          <w:rStyle w:val="FootnoteReference"/>
        </w:rPr>
        <w:footnoteRef/>
      </w:r>
      <w:r w:rsidRPr="00A30622">
        <w:t xml:space="preserve"> M. Yahya Harahap, </w:t>
      </w:r>
      <w:r w:rsidRPr="00A30622">
        <w:rPr>
          <w:bCs/>
          <w:i/>
        </w:rPr>
        <w:t>Op.Cit</w:t>
      </w:r>
      <w:r w:rsidRPr="00A30622">
        <w:rPr>
          <w:bCs/>
        </w:rPr>
        <w:t>,</w:t>
      </w:r>
      <w:r w:rsidRPr="00A30622">
        <w:t xml:space="preserve"> h.77.</w:t>
      </w:r>
    </w:p>
  </w:footnote>
  <w:footnote w:id="23">
    <w:p w:rsidR="004B3276" w:rsidRPr="00A30622" w:rsidRDefault="004B3276" w:rsidP="004B3276">
      <w:pPr>
        <w:pStyle w:val="FootnoteText"/>
        <w:ind w:firstLine="720"/>
        <w:jc w:val="both"/>
      </w:pPr>
      <w:r w:rsidRPr="00A30622">
        <w:rPr>
          <w:rStyle w:val="FootnoteReference"/>
        </w:rPr>
        <w:footnoteRef/>
      </w:r>
      <w:r w:rsidRPr="00A30622">
        <w:t xml:space="preserve"> Munir Fuady, </w:t>
      </w:r>
      <w:r w:rsidRPr="00A30622">
        <w:rPr>
          <w:bCs/>
          <w:i/>
        </w:rPr>
        <w:t>Op.Cit</w:t>
      </w:r>
      <w:r w:rsidRPr="00A30622">
        <w:t>, h.84.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E67F8C"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8"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9770B8">
      <w:rPr>
        <w:rStyle w:val="PageNumber"/>
      </w:rPr>
      <w:fldChar w:fldCharType="begin"/>
    </w:r>
    <w:r w:rsidR="009770B8">
      <w:rPr>
        <w:rStyle w:val="PageNumber"/>
      </w:rPr>
      <w:instrText xml:space="preserve">PAGE  </w:instrText>
    </w:r>
    <w:r w:rsidR="009770B8">
      <w:rPr>
        <w:rStyle w:val="PageNumber"/>
      </w:rPr>
      <w:fldChar w:fldCharType="end"/>
    </w:r>
  </w:p>
  <w:p w:rsidR="009770B8" w:rsidRDefault="009770B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527D2F" w:rsidRDefault="00E67F8C"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9"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9770B8" w:rsidRPr="00527D2F">
      <w:rPr>
        <w:rStyle w:val="PageNumber"/>
      </w:rPr>
      <w:fldChar w:fldCharType="begin"/>
    </w:r>
    <w:r w:rsidR="009770B8" w:rsidRPr="00527D2F">
      <w:rPr>
        <w:rStyle w:val="PageNumber"/>
      </w:rPr>
      <w:instrText xml:space="preserve">PAGE  </w:instrText>
    </w:r>
    <w:r w:rsidR="009770B8" w:rsidRPr="00527D2F">
      <w:rPr>
        <w:rStyle w:val="PageNumber"/>
      </w:rPr>
      <w:fldChar w:fldCharType="separate"/>
    </w:r>
    <w:r w:rsidR="00273EF9">
      <w:rPr>
        <w:rStyle w:val="PageNumber"/>
        <w:noProof/>
      </w:rPr>
      <w:t>95</w:t>
    </w:r>
    <w:r w:rsidR="009770B8" w:rsidRPr="00527D2F">
      <w:rPr>
        <w:rStyle w:val="PageNumber"/>
      </w:rPr>
      <w:fldChar w:fldCharType="end"/>
    </w:r>
  </w:p>
  <w:p w:rsidR="00273EF9" w:rsidRPr="00886A4B" w:rsidRDefault="00273EF9" w:rsidP="00273EF9">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15:26:31</w:t>
    </w:r>
  </w:p>
  <w:p w:rsidR="009770B8" w:rsidRPr="00527D2F" w:rsidRDefault="009770B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F9" w:rsidRPr="00886A4B" w:rsidRDefault="00273EF9" w:rsidP="00273EF9">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15:26:31</w:t>
    </w:r>
  </w:p>
  <w:p w:rsidR="00E67F8C" w:rsidRDefault="00E67F8C">
    <w:pPr>
      <w:pStyle w:val="Header"/>
    </w:pPr>
    <w:r>
      <w:rPr>
        <w:noProof/>
      </w:rPr>
      <w:pict>
        <v:shape id="WordPictureWatermark46712917"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75FD"/>
    <w:multiLevelType w:val="hybridMultilevel"/>
    <w:tmpl w:val="1102D630"/>
    <w:lvl w:ilvl="0" w:tplc="8E7E0CF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B9F6B01C">
      <w:start w:val="1"/>
      <w:numFmt w:val="lowerLetter"/>
      <w:lvlText w:val="%3."/>
      <w:lvlJc w:val="left"/>
      <w:pPr>
        <w:tabs>
          <w:tab w:val="num" w:pos="2160"/>
        </w:tabs>
        <w:ind w:left="2160" w:hanging="360"/>
      </w:pPr>
      <w:rPr>
        <w:rFonts w:ascii="Times New Roman" w:eastAsia="MS Mincho"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A10B6A"/>
    <w:multiLevelType w:val="hybridMultilevel"/>
    <w:tmpl w:val="E744A72A"/>
    <w:lvl w:ilvl="0" w:tplc="8FDC9230">
      <w:start w:val="1"/>
      <w:numFmt w:val="decimal"/>
      <w:lvlText w:val="%1."/>
      <w:lvlJc w:val="left"/>
      <w:pPr>
        <w:tabs>
          <w:tab w:val="num" w:pos="1005"/>
        </w:tabs>
        <w:ind w:left="1005" w:hanging="645"/>
      </w:pPr>
      <w:rPr>
        <w:rFonts w:hint="default"/>
      </w:rPr>
    </w:lvl>
    <w:lvl w:ilvl="1" w:tplc="A71C7ADC">
      <w:start w:val="1"/>
      <w:numFmt w:val="lowerLetter"/>
      <w:lvlText w:val="%2."/>
      <w:lvlJc w:val="left"/>
      <w:pPr>
        <w:ind w:left="1440" w:hanging="360"/>
      </w:pPr>
      <w:rPr>
        <w:rFonts w:ascii="Arial" w:hAnsi="Arial" w:cs="Arial" w:hint="default"/>
        <w:b/>
        <w:bCs w:val="0"/>
        <w:sz w:val="24"/>
        <w:szCs w:val="24"/>
      </w:rPr>
    </w:lvl>
    <w:lvl w:ilvl="2" w:tplc="42980EB4">
      <w:start w:val="1"/>
      <w:numFmt w:val="upperLetter"/>
      <w:lvlText w:val="%3."/>
      <w:lvlJc w:val="left"/>
      <w:pPr>
        <w:ind w:left="1778" w:hanging="360"/>
      </w:pPr>
      <w:rPr>
        <w:rFonts w:hint="default"/>
        <w:b/>
      </w:rPr>
    </w:lvl>
    <w:lvl w:ilvl="3" w:tplc="0409000F">
      <w:start w:val="1"/>
      <w:numFmt w:val="decimal"/>
      <w:lvlText w:val="%4."/>
      <w:lvlJc w:val="left"/>
      <w:pPr>
        <w:tabs>
          <w:tab w:val="num" w:pos="2880"/>
        </w:tabs>
        <w:ind w:left="2880" w:hanging="360"/>
      </w:pPr>
    </w:lvl>
    <w:lvl w:ilvl="4" w:tplc="9D6EFBDC">
      <w:start w:val="1"/>
      <w:numFmt w:val="lowerLetter"/>
      <w:lvlText w:val="%5)"/>
      <w:lvlJc w:val="left"/>
      <w:pPr>
        <w:ind w:left="3600" w:hanging="360"/>
      </w:pPr>
      <w:rPr>
        <w:rFonts w:hint="default"/>
        <w:i w:val="0"/>
        <w:iCs w:val="0"/>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062905"/>
    <w:multiLevelType w:val="hybridMultilevel"/>
    <w:tmpl w:val="62D4F0A4"/>
    <w:lvl w:ilvl="0" w:tplc="723030C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D0BFB"/>
    <w:multiLevelType w:val="hybridMultilevel"/>
    <w:tmpl w:val="AD1CB2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122A021C"/>
    <w:multiLevelType w:val="hybridMultilevel"/>
    <w:tmpl w:val="7B74A17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D17270"/>
    <w:multiLevelType w:val="hybridMultilevel"/>
    <w:tmpl w:val="4F942EC8"/>
    <w:lvl w:ilvl="0" w:tplc="BF7A5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561B"/>
    <w:multiLevelType w:val="hybridMultilevel"/>
    <w:tmpl w:val="BC22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4260C"/>
    <w:multiLevelType w:val="singleLevel"/>
    <w:tmpl w:val="49664AF8"/>
    <w:lvl w:ilvl="0">
      <w:start w:val="1"/>
      <w:numFmt w:val="decimal"/>
      <w:lvlText w:val="%1."/>
      <w:lvlJc w:val="left"/>
      <w:pPr>
        <w:tabs>
          <w:tab w:val="num" w:pos="480"/>
        </w:tabs>
        <w:ind w:left="480" w:hanging="480"/>
      </w:pPr>
      <w:rPr>
        <w:rFonts w:ascii="Times New Roman" w:eastAsia="Times New Roman" w:hAnsi="Times New Roman" w:cs="Times New Roman" w:hint="default"/>
      </w:rPr>
    </w:lvl>
  </w:abstractNum>
  <w:abstractNum w:abstractNumId="8">
    <w:nsid w:val="232912A0"/>
    <w:multiLevelType w:val="multilevel"/>
    <w:tmpl w:val="132E30B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eastAsia="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AF0C3A"/>
    <w:multiLevelType w:val="hybridMultilevel"/>
    <w:tmpl w:val="1E6C74B8"/>
    <w:lvl w:ilvl="0" w:tplc="081ED050">
      <w:start w:val="1"/>
      <w:numFmt w:val="upperLetter"/>
      <w:lvlText w:val="%1."/>
      <w:lvlJc w:val="left"/>
      <w:pPr>
        <w:ind w:left="720" w:hanging="360"/>
      </w:pPr>
      <w:rPr>
        <w:rFonts w:hint="default"/>
        <w:b/>
      </w:rPr>
    </w:lvl>
    <w:lvl w:ilvl="1" w:tplc="3AA088B2">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D7FD0"/>
    <w:multiLevelType w:val="hybridMultilevel"/>
    <w:tmpl w:val="D9E4B9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FD3A11"/>
    <w:multiLevelType w:val="hybridMultilevel"/>
    <w:tmpl w:val="99C254F0"/>
    <w:lvl w:ilvl="0" w:tplc="C9A2F292">
      <w:start w:val="2"/>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4E72CED"/>
    <w:multiLevelType w:val="hybridMultilevel"/>
    <w:tmpl w:val="882EC7E0"/>
    <w:lvl w:ilvl="0" w:tplc="38090011">
      <w:start w:val="1"/>
      <w:numFmt w:val="decimal"/>
      <w:lvlText w:val="%1)"/>
      <w:lvlJc w:val="left"/>
      <w:pPr>
        <w:ind w:left="1080" w:hanging="360"/>
      </w:pPr>
    </w:lvl>
    <w:lvl w:ilvl="1" w:tplc="38090019">
      <w:start w:val="1"/>
      <w:numFmt w:val="lowerLetter"/>
      <w:lvlText w:val="%2."/>
      <w:lvlJc w:val="left"/>
      <w:pPr>
        <w:ind w:left="1800" w:hanging="360"/>
      </w:pPr>
    </w:lvl>
    <w:lvl w:ilvl="2" w:tplc="75E68154">
      <w:start w:val="1"/>
      <w:numFmt w:val="lowerLetter"/>
      <w:lvlText w:val="%3)"/>
      <w:lvlJc w:val="left"/>
      <w:pPr>
        <w:ind w:left="2700" w:hanging="360"/>
      </w:pPr>
      <w:rPr>
        <w:rFonts w:hint="default"/>
      </w:rPr>
    </w:lvl>
    <w:lvl w:ilvl="3" w:tplc="867CED4E">
      <w:start w:val="1"/>
      <w:numFmt w:val="lowerLetter"/>
      <w:lvlText w:val="%4)"/>
      <w:lvlJc w:val="left"/>
      <w:pPr>
        <w:ind w:left="3240" w:hanging="360"/>
      </w:pPr>
      <w:rPr>
        <w:rFonts w:ascii="Arial" w:eastAsia="Times New Roman" w:hAnsi="Arial" w:cs="Arial"/>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366F7C0A"/>
    <w:multiLevelType w:val="hybridMultilevel"/>
    <w:tmpl w:val="31469B60"/>
    <w:lvl w:ilvl="0" w:tplc="614E4FD0">
      <w:start w:val="1"/>
      <w:numFmt w:val="lowerLetter"/>
      <w:lvlText w:val="%1."/>
      <w:lvlJc w:val="left"/>
      <w:pPr>
        <w:tabs>
          <w:tab w:val="num" w:pos="750"/>
        </w:tabs>
        <w:ind w:left="750" w:hanging="390"/>
      </w:pPr>
      <w:rPr>
        <w:rFonts w:ascii="Times New Roman" w:eastAsia="Times New Roman" w:hAnsi="Times New Roman" w:cs="Times New Roman" w:hint="default"/>
      </w:rPr>
    </w:lvl>
    <w:lvl w:ilvl="1" w:tplc="04090019">
      <w:start w:val="1"/>
      <w:numFmt w:val="decimal"/>
      <w:lvlText w:val="(%2)"/>
      <w:lvlJc w:val="left"/>
      <w:pPr>
        <w:tabs>
          <w:tab w:val="num" w:pos="1545"/>
        </w:tabs>
        <w:ind w:left="1545" w:hanging="465"/>
      </w:pPr>
      <w:rPr>
        <w:rFonts w:hint="default"/>
      </w:rPr>
    </w:lvl>
    <w:lvl w:ilvl="2" w:tplc="0409001B">
      <w:start w:val="1"/>
      <w:numFmt w:val="upperLetter"/>
      <w:lvlText w:val="%3."/>
      <w:lvlJc w:val="left"/>
      <w:pPr>
        <w:tabs>
          <w:tab w:val="num" w:pos="2340"/>
        </w:tabs>
        <w:ind w:left="2340" w:hanging="360"/>
      </w:pPr>
      <w:rPr>
        <w:rFonts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4B6EEE"/>
    <w:multiLevelType w:val="singleLevel"/>
    <w:tmpl w:val="0409000F"/>
    <w:lvl w:ilvl="0">
      <w:start w:val="1"/>
      <w:numFmt w:val="decimal"/>
      <w:lvlText w:val="%1."/>
      <w:lvlJc w:val="left"/>
      <w:pPr>
        <w:tabs>
          <w:tab w:val="num" w:pos="360"/>
        </w:tabs>
        <w:ind w:left="360" w:hanging="360"/>
      </w:pPr>
    </w:lvl>
  </w:abstractNum>
  <w:abstractNum w:abstractNumId="15">
    <w:nsid w:val="4B193405"/>
    <w:multiLevelType w:val="hybridMultilevel"/>
    <w:tmpl w:val="B8146F24"/>
    <w:lvl w:ilvl="0" w:tplc="8FDC9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D0AE5"/>
    <w:multiLevelType w:val="hybridMultilevel"/>
    <w:tmpl w:val="4D729CCA"/>
    <w:lvl w:ilvl="0" w:tplc="9F96AE46">
      <w:start w:val="1"/>
      <w:numFmt w:val="lowerLetter"/>
      <w:lvlText w:val="%1)"/>
      <w:lvlJc w:val="left"/>
      <w:pPr>
        <w:ind w:left="1800" w:hanging="360"/>
      </w:pPr>
      <w:rPr>
        <w:i w:val="0"/>
        <w:i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nsid w:val="54D54508"/>
    <w:multiLevelType w:val="hybridMultilevel"/>
    <w:tmpl w:val="E3F24016"/>
    <w:lvl w:ilvl="0" w:tplc="1F6E3F1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8CD79FF"/>
    <w:multiLevelType w:val="hybridMultilevel"/>
    <w:tmpl w:val="7FC422B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5B35705"/>
    <w:multiLevelType w:val="hybridMultilevel"/>
    <w:tmpl w:val="1B7A7F5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C1365FA"/>
    <w:multiLevelType w:val="hybridMultilevel"/>
    <w:tmpl w:val="8A44E52A"/>
    <w:lvl w:ilvl="0" w:tplc="E9E6C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40340"/>
    <w:multiLevelType w:val="hybridMultilevel"/>
    <w:tmpl w:val="E26256D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72E7384"/>
    <w:multiLevelType w:val="hybridMultilevel"/>
    <w:tmpl w:val="59F6B176"/>
    <w:lvl w:ilvl="0" w:tplc="53CAE7E2">
      <w:start w:val="1"/>
      <w:numFmt w:val="decimal"/>
      <w:lvlText w:val="%1."/>
      <w:lvlJc w:val="left"/>
      <w:pPr>
        <w:tabs>
          <w:tab w:val="num" w:pos="720"/>
        </w:tabs>
        <w:ind w:left="720" w:hanging="360"/>
      </w:pPr>
      <w:rPr>
        <w:rFonts w:ascii="Arial" w:eastAsia="Times New Roman" w:hAnsi="Arial" w:cs="Arial"/>
      </w:rPr>
    </w:lvl>
    <w:lvl w:ilvl="1" w:tplc="80FE00A6">
      <w:start w:val="1"/>
      <w:numFmt w:val="lowerLetter"/>
      <w:lvlText w:val="%2."/>
      <w:lvlJc w:val="left"/>
      <w:pPr>
        <w:tabs>
          <w:tab w:val="num" w:pos="1440"/>
        </w:tabs>
        <w:ind w:left="1440" w:hanging="360"/>
      </w:pPr>
      <w:rPr>
        <w:rFonts w:ascii="Arial" w:eastAsia="Times New Roman" w:hAnsi="Arial" w:cs="Arial"/>
      </w:rPr>
    </w:lvl>
    <w:lvl w:ilvl="2" w:tplc="65B2DD66">
      <w:start w:val="1"/>
      <w:numFmt w:val="lowerLetter"/>
      <w:lvlText w:val="%3)"/>
      <w:lvlJc w:val="left"/>
      <w:pPr>
        <w:ind w:left="2340" w:hanging="360"/>
      </w:pPr>
      <w:rPr>
        <w:rFonts w:hint="default"/>
        <w:sz w:val="20"/>
      </w:rPr>
    </w:lvl>
    <w:lvl w:ilvl="3" w:tplc="9FECB9CE">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914F2D"/>
    <w:multiLevelType w:val="singleLevel"/>
    <w:tmpl w:val="BB40FE0C"/>
    <w:lvl w:ilvl="0">
      <w:start w:val="1"/>
      <w:numFmt w:val="upperLetter"/>
      <w:lvlText w:val="%1."/>
      <w:lvlJc w:val="left"/>
      <w:pPr>
        <w:tabs>
          <w:tab w:val="num" w:pos="360"/>
        </w:tabs>
        <w:ind w:left="360" w:hanging="360"/>
      </w:pPr>
    </w:lvl>
  </w:abstractNum>
  <w:abstractNum w:abstractNumId="24">
    <w:nsid w:val="79B01A25"/>
    <w:multiLevelType w:val="hybridMultilevel"/>
    <w:tmpl w:val="82A0AA4A"/>
    <w:lvl w:ilvl="0" w:tplc="25988A70">
      <w:start w:val="1"/>
      <w:numFmt w:val="decimal"/>
      <w:lvlText w:val="%1."/>
      <w:lvlJc w:val="left"/>
      <w:pPr>
        <w:ind w:left="2389" w:hanging="360"/>
      </w:pPr>
      <w:rPr>
        <w:rFonts w:hint="default"/>
      </w:rPr>
    </w:lvl>
    <w:lvl w:ilvl="1" w:tplc="04090019" w:tentative="1">
      <w:start w:val="1"/>
      <w:numFmt w:val="lowerLetter"/>
      <w:lvlText w:val="%2."/>
      <w:lvlJc w:val="left"/>
      <w:pPr>
        <w:ind w:left="3109" w:hanging="360"/>
      </w:pPr>
    </w:lvl>
    <w:lvl w:ilvl="2" w:tplc="0409001B" w:tentative="1">
      <w:start w:val="1"/>
      <w:numFmt w:val="lowerRoman"/>
      <w:lvlText w:val="%3."/>
      <w:lvlJc w:val="right"/>
      <w:pPr>
        <w:ind w:left="3829" w:hanging="180"/>
      </w:pPr>
    </w:lvl>
    <w:lvl w:ilvl="3" w:tplc="0409000F" w:tentative="1">
      <w:start w:val="1"/>
      <w:numFmt w:val="decimal"/>
      <w:lvlText w:val="%4."/>
      <w:lvlJc w:val="left"/>
      <w:pPr>
        <w:ind w:left="4549" w:hanging="360"/>
      </w:pPr>
    </w:lvl>
    <w:lvl w:ilvl="4" w:tplc="04090019" w:tentative="1">
      <w:start w:val="1"/>
      <w:numFmt w:val="lowerLetter"/>
      <w:lvlText w:val="%5."/>
      <w:lvlJc w:val="left"/>
      <w:pPr>
        <w:ind w:left="5269" w:hanging="360"/>
      </w:pPr>
    </w:lvl>
    <w:lvl w:ilvl="5" w:tplc="0409001B" w:tentative="1">
      <w:start w:val="1"/>
      <w:numFmt w:val="lowerRoman"/>
      <w:lvlText w:val="%6."/>
      <w:lvlJc w:val="right"/>
      <w:pPr>
        <w:ind w:left="5989" w:hanging="180"/>
      </w:pPr>
    </w:lvl>
    <w:lvl w:ilvl="6" w:tplc="0409000F" w:tentative="1">
      <w:start w:val="1"/>
      <w:numFmt w:val="decimal"/>
      <w:lvlText w:val="%7."/>
      <w:lvlJc w:val="left"/>
      <w:pPr>
        <w:ind w:left="6709" w:hanging="360"/>
      </w:pPr>
    </w:lvl>
    <w:lvl w:ilvl="7" w:tplc="04090019" w:tentative="1">
      <w:start w:val="1"/>
      <w:numFmt w:val="lowerLetter"/>
      <w:lvlText w:val="%8."/>
      <w:lvlJc w:val="left"/>
      <w:pPr>
        <w:ind w:left="7429" w:hanging="360"/>
      </w:pPr>
    </w:lvl>
    <w:lvl w:ilvl="8" w:tplc="0409001B" w:tentative="1">
      <w:start w:val="1"/>
      <w:numFmt w:val="lowerRoman"/>
      <w:lvlText w:val="%9."/>
      <w:lvlJc w:val="right"/>
      <w:pPr>
        <w:ind w:left="8149" w:hanging="180"/>
      </w:pPr>
    </w:lvl>
  </w:abstractNum>
  <w:abstractNum w:abstractNumId="25">
    <w:nsid w:val="7D2959E8"/>
    <w:multiLevelType w:val="hybridMultilevel"/>
    <w:tmpl w:val="ABBA71A0"/>
    <w:lvl w:ilvl="0" w:tplc="69740C1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num>
  <w:num w:numId="2">
    <w:abstractNumId w:val="14"/>
    <w:lvlOverride w:ilvl="0">
      <w:startOverride w:val="1"/>
    </w:lvlOverride>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num>
  <w:num w:numId="7">
    <w:abstractNumId w:val="15"/>
  </w:num>
  <w:num w:numId="8">
    <w:abstractNumId w:val="7"/>
    <w:lvlOverride w:ilvl="0">
      <w:startOverride w:val="1"/>
    </w:lvlOverride>
  </w:num>
  <w:num w:numId="9">
    <w:abstractNumId w:val="17"/>
  </w:num>
  <w:num w:numId="10">
    <w:abstractNumId w:val="4"/>
  </w:num>
  <w:num w:numId="11">
    <w:abstractNumId w:val="21"/>
  </w:num>
  <w:num w:numId="12">
    <w:abstractNumId w:val="18"/>
  </w:num>
  <w:num w:numId="13">
    <w:abstractNumId w:val="19"/>
  </w:num>
  <w:num w:numId="14">
    <w:abstractNumId w:val="6"/>
  </w:num>
  <w:num w:numId="15">
    <w:abstractNumId w:val="24"/>
  </w:num>
  <w:num w:numId="16">
    <w:abstractNumId w:val="1"/>
  </w:num>
  <w:num w:numId="17">
    <w:abstractNumId w:val="22"/>
  </w:num>
  <w:num w:numId="18">
    <w:abstractNumId w:val="2"/>
  </w:num>
  <w:num w:numId="19">
    <w:abstractNumId w:val="25"/>
  </w:num>
  <w:num w:numId="20">
    <w:abstractNumId w:val="20"/>
  </w:num>
  <w:num w:numId="21">
    <w:abstractNumId w:val="5"/>
  </w:num>
  <w:num w:numId="22">
    <w:abstractNumId w:val="12"/>
  </w:num>
  <w:num w:numId="23">
    <w:abstractNumId w:val="3"/>
  </w:num>
  <w:num w:numId="24">
    <w:abstractNumId w:val="16"/>
  </w:num>
  <w:num w:numId="25">
    <w:abstractNumId w:val="11"/>
  </w:num>
  <w:num w:numId="26">
    <w:abstractNumId w:val="1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vWdn6gjIFsOOPbQtNRt2+i8q38s=" w:salt="X3rAmLRsJkfZ4dkcDaFF8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10EF3"/>
    <w:rsid w:val="00016836"/>
    <w:rsid w:val="000204C3"/>
    <w:rsid w:val="00035A24"/>
    <w:rsid w:val="000554F3"/>
    <w:rsid w:val="000609B4"/>
    <w:rsid w:val="0009006E"/>
    <w:rsid w:val="000A35B7"/>
    <w:rsid w:val="000A5015"/>
    <w:rsid w:val="000C219B"/>
    <w:rsid w:val="000D7F2F"/>
    <w:rsid w:val="00113408"/>
    <w:rsid w:val="00124363"/>
    <w:rsid w:val="00133FAA"/>
    <w:rsid w:val="00136FFB"/>
    <w:rsid w:val="001432CC"/>
    <w:rsid w:val="00190E99"/>
    <w:rsid w:val="00197AE7"/>
    <w:rsid w:val="001A2B78"/>
    <w:rsid w:val="001A4160"/>
    <w:rsid w:val="001C567C"/>
    <w:rsid w:val="001D180B"/>
    <w:rsid w:val="001D5DD1"/>
    <w:rsid w:val="001E2C8B"/>
    <w:rsid w:val="002106B6"/>
    <w:rsid w:val="00224259"/>
    <w:rsid w:val="002531A6"/>
    <w:rsid w:val="00254D5A"/>
    <w:rsid w:val="00273EF9"/>
    <w:rsid w:val="002932C9"/>
    <w:rsid w:val="002B2C8F"/>
    <w:rsid w:val="002B72B5"/>
    <w:rsid w:val="002C6DEB"/>
    <w:rsid w:val="002E605A"/>
    <w:rsid w:val="003039CD"/>
    <w:rsid w:val="00321BB7"/>
    <w:rsid w:val="00342D52"/>
    <w:rsid w:val="00356085"/>
    <w:rsid w:val="00367E5C"/>
    <w:rsid w:val="0037454B"/>
    <w:rsid w:val="003871EA"/>
    <w:rsid w:val="003A7552"/>
    <w:rsid w:val="003B0000"/>
    <w:rsid w:val="003C605A"/>
    <w:rsid w:val="003C7C01"/>
    <w:rsid w:val="003E1CC0"/>
    <w:rsid w:val="003E6559"/>
    <w:rsid w:val="003F23F2"/>
    <w:rsid w:val="004117A3"/>
    <w:rsid w:val="00451DA6"/>
    <w:rsid w:val="004566D5"/>
    <w:rsid w:val="00460E29"/>
    <w:rsid w:val="00465904"/>
    <w:rsid w:val="004974DC"/>
    <w:rsid w:val="004B3276"/>
    <w:rsid w:val="004D7499"/>
    <w:rsid w:val="00525E42"/>
    <w:rsid w:val="00527D2F"/>
    <w:rsid w:val="00532022"/>
    <w:rsid w:val="00553385"/>
    <w:rsid w:val="005B3576"/>
    <w:rsid w:val="005C0343"/>
    <w:rsid w:val="005C2DFA"/>
    <w:rsid w:val="005D0340"/>
    <w:rsid w:val="005E3BAE"/>
    <w:rsid w:val="0060210A"/>
    <w:rsid w:val="00602896"/>
    <w:rsid w:val="00625AA5"/>
    <w:rsid w:val="006636F7"/>
    <w:rsid w:val="0067094E"/>
    <w:rsid w:val="0068769A"/>
    <w:rsid w:val="006B706B"/>
    <w:rsid w:val="006D1A30"/>
    <w:rsid w:val="006D22A2"/>
    <w:rsid w:val="006F50DD"/>
    <w:rsid w:val="006F6838"/>
    <w:rsid w:val="00711E6A"/>
    <w:rsid w:val="00730EA4"/>
    <w:rsid w:val="007325F4"/>
    <w:rsid w:val="00760402"/>
    <w:rsid w:val="007605C9"/>
    <w:rsid w:val="00762C2C"/>
    <w:rsid w:val="00764991"/>
    <w:rsid w:val="00775CA5"/>
    <w:rsid w:val="00780A04"/>
    <w:rsid w:val="00781400"/>
    <w:rsid w:val="00795D8F"/>
    <w:rsid w:val="007B1AE7"/>
    <w:rsid w:val="007C3609"/>
    <w:rsid w:val="007D310F"/>
    <w:rsid w:val="007D7C30"/>
    <w:rsid w:val="007E7C76"/>
    <w:rsid w:val="00815FE5"/>
    <w:rsid w:val="008264C8"/>
    <w:rsid w:val="00836E59"/>
    <w:rsid w:val="008516E4"/>
    <w:rsid w:val="008679A1"/>
    <w:rsid w:val="00886A3F"/>
    <w:rsid w:val="008D3915"/>
    <w:rsid w:val="008F2D4E"/>
    <w:rsid w:val="009064B5"/>
    <w:rsid w:val="009226D5"/>
    <w:rsid w:val="009770B8"/>
    <w:rsid w:val="009D3D19"/>
    <w:rsid w:val="00A04E9B"/>
    <w:rsid w:val="00A1109F"/>
    <w:rsid w:val="00A15C82"/>
    <w:rsid w:val="00A16449"/>
    <w:rsid w:val="00A23A07"/>
    <w:rsid w:val="00A24350"/>
    <w:rsid w:val="00A4303D"/>
    <w:rsid w:val="00A75FC0"/>
    <w:rsid w:val="00A96642"/>
    <w:rsid w:val="00AA6C1D"/>
    <w:rsid w:val="00AA71B0"/>
    <w:rsid w:val="00B27AA0"/>
    <w:rsid w:val="00B5558F"/>
    <w:rsid w:val="00B5561D"/>
    <w:rsid w:val="00B56212"/>
    <w:rsid w:val="00B858AF"/>
    <w:rsid w:val="00B97A88"/>
    <w:rsid w:val="00BA0EC0"/>
    <w:rsid w:val="00BB353B"/>
    <w:rsid w:val="00C06970"/>
    <w:rsid w:val="00C206E1"/>
    <w:rsid w:val="00C26EFA"/>
    <w:rsid w:val="00C36387"/>
    <w:rsid w:val="00C647F2"/>
    <w:rsid w:val="00C6666E"/>
    <w:rsid w:val="00C8637D"/>
    <w:rsid w:val="00CA6804"/>
    <w:rsid w:val="00CC262E"/>
    <w:rsid w:val="00CD0355"/>
    <w:rsid w:val="00CD4E72"/>
    <w:rsid w:val="00CE3B02"/>
    <w:rsid w:val="00D07BD6"/>
    <w:rsid w:val="00D13D04"/>
    <w:rsid w:val="00D76A6D"/>
    <w:rsid w:val="00D80ADF"/>
    <w:rsid w:val="00D961F8"/>
    <w:rsid w:val="00DB18C4"/>
    <w:rsid w:val="00DC2E19"/>
    <w:rsid w:val="00DD202F"/>
    <w:rsid w:val="00DD59FB"/>
    <w:rsid w:val="00DD5EB7"/>
    <w:rsid w:val="00E1359A"/>
    <w:rsid w:val="00E24033"/>
    <w:rsid w:val="00E24B0F"/>
    <w:rsid w:val="00E44757"/>
    <w:rsid w:val="00E576D0"/>
    <w:rsid w:val="00E6622E"/>
    <w:rsid w:val="00E67F8C"/>
    <w:rsid w:val="00E87F39"/>
    <w:rsid w:val="00E95274"/>
    <w:rsid w:val="00E958D3"/>
    <w:rsid w:val="00EA5BC2"/>
    <w:rsid w:val="00EC3238"/>
    <w:rsid w:val="00ED7DB9"/>
    <w:rsid w:val="00EE1A81"/>
    <w:rsid w:val="00EE1D6A"/>
    <w:rsid w:val="00F00EB0"/>
    <w:rsid w:val="00F53775"/>
    <w:rsid w:val="00F6454B"/>
    <w:rsid w:val="00F64650"/>
    <w:rsid w:val="00F837E2"/>
    <w:rsid w:val="00FD085E"/>
    <w:rsid w:val="00FE6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qFormat/>
    <w:rsid w:val="00016836"/>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link w:val="BodyTextIndent3Char"/>
    <w:rsid w:val="00016836"/>
    <w:pPr>
      <w:tabs>
        <w:tab w:val="left" w:pos="1276"/>
        <w:tab w:val="left" w:pos="1560"/>
        <w:tab w:val="left" w:pos="1701"/>
      </w:tabs>
      <w:spacing w:line="480" w:lineRule="auto"/>
      <w:ind w:left="426"/>
    </w:pPr>
    <w:rPr>
      <w:szCs w:val="20"/>
    </w:rPr>
  </w:style>
  <w:style w:type="paragraph" w:styleId="BodyText2">
    <w:name w:val="Body Text 2"/>
    <w:basedOn w:val="Normal"/>
    <w:link w:val="BodyText2Char"/>
    <w:rsid w:val="00016836"/>
    <w:pPr>
      <w:tabs>
        <w:tab w:val="left" w:pos="709"/>
      </w:tabs>
      <w:spacing w:line="480" w:lineRule="auto"/>
      <w:jc w:val="both"/>
    </w:pPr>
    <w:rPr>
      <w:b/>
      <w:szCs w:val="20"/>
    </w:rPr>
  </w:style>
  <w:style w:type="paragraph" w:styleId="BodyText3">
    <w:name w:val="Body Text 3"/>
    <w:basedOn w:val="Normal"/>
    <w:link w:val="BodyText3Char"/>
    <w:rsid w:val="00016836"/>
    <w:pPr>
      <w:jc w:val="center"/>
    </w:pPr>
    <w:rPr>
      <w:sz w:val="36"/>
      <w:szCs w:val="20"/>
    </w:rPr>
  </w:style>
  <w:style w:type="paragraph" w:styleId="FootnoteText">
    <w:name w:val="footnote text"/>
    <w:aliases w:val=" Char Char Char Char, Char Char Char,Char, Char, Char Char,Char Char Char Char,Char Char Char,Footnote Text Char1,Footnote Text Char Char,Char Char Char1,Char Char Char Char Char Char1,Char Char Char Ch,Footnote Text Char Char Char Char Char"/>
    <w:basedOn w:val="Normal"/>
    <w:link w:val="FootnoteTextChar"/>
    <w:uiPriority w:val="99"/>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uiPriority w:val="99"/>
    <w:rsid w:val="00190E99"/>
    <w:rPr>
      <w:lang w:val="en-US" w:eastAsia="en-US"/>
    </w:rPr>
  </w:style>
  <w:style w:type="character" w:customStyle="1" w:styleId="Heading4Char">
    <w:name w:val="Heading 4 Char"/>
    <w:link w:val="Heading4"/>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styleId="ListParagraph">
    <w:name w:val="List Paragraph"/>
    <w:aliases w:val="Body Text Char1,Char Char2,kepala,skripsi,Body of text"/>
    <w:basedOn w:val="Normal"/>
    <w:link w:val="ListParagraphChar"/>
    <w:qFormat/>
    <w:rsid w:val="00224259"/>
    <w:pPr>
      <w:spacing w:after="200" w:line="276" w:lineRule="auto"/>
      <w:ind w:left="720"/>
      <w:contextualSpacing/>
    </w:pPr>
    <w:rPr>
      <w:rFonts w:ascii="Calibri" w:eastAsia="Calibri" w:hAnsi="Calibri"/>
      <w:sz w:val="22"/>
      <w:szCs w:val="22"/>
    </w:rPr>
  </w:style>
  <w:style w:type="paragraph" w:customStyle="1" w:styleId="Default">
    <w:name w:val="Default"/>
    <w:rsid w:val="007605C9"/>
    <w:pPr>
      <w:autoSpaceDE w:val="0"/>
      <w:autoSpaceDN w:val="0"/>
      <w:adjustRightInd w:val="0"/>
    </w:pPr>
    <w:rPr>
      <w:color w:val="000000"/>
      <w:sz w:val="24"/>
      <w:szCs w:val="24"/>
      <w:lang w:val="en-US" w:eastAsia="en-US"/>
    </w:rPr>
  </w:style>
  <w:style w:type="character" w:customStyle="1" w:styleId="BodyTextChar">
    <w:name w:val="Body Text Char"/>
    <w:link w:val="BodyText"/>
    <w:rsid w:val="00781400"/>
    <w:rPr>
      <w:rFonts w:ascii="Bookman Old Style" w:hAnsi="Bookman Old Style"/>
      <w:sz w:val="24"/>
    </w:rPr>
  </w:style>
  <w:style w:type="character" w:customStyle="1" w:styleId="BodyTextIndent3Char">
    <w:name w:val="Body Text Indent 3 Char"/>
    <w:link w:val="BodyTextIndent3"/>
    <w:rsid w:val="00781400"/>
    <w:rPr>
      <w:sz w:val="24"/>
    </w:rPr>
  </w:style>
  <w:style w:type="character" w:customStyle="1" w:styleId="st">
    <w:name w:val="st"/>
    <w:basedOn w:val="DefaultParagraphFont"/>
    <w:rsid w:val="00367E5C"/>
  </w:style>
  <w:style w:type="character" w:customStyle="1" w:styleId="a">
    <w:name w:val="a"/>
    <w:basedOn w:val="DefaultParagraphFont"/>
    <w:rsid w:val="005B3576"/>
  </w:style>
  <w:style w:type="character" w:customStyle="1" w:styleId="ListParagraphChar">
    <w:name w:val="List Paragraph Char"/>
    <w:aliases w:val="Body Text Char1 Char,Char Char2 Char,kepala Char,skripsi Char,Body of text Char"/>
    <w:link w:val="ListParagraph"/>
    <w:locked/>
    <w:rsid w:val="00527D2F"/>
    <w:rPr>
      <w:rFonts w:ascii="Calibri" w:eastAsia="Calibri" w:hAnsi="Calibri"/>
      <w:sz w:val="22"/>
      <w:szCs w:val="22"/>
    </w:rPr>
  </w:style>
  <w:style w:type="character" w:customStyle="1" w:styleId="A9">
    <w:name w:val="A9"/>
    <w:uiPriority w:val="99"/>
    <w:rsid w:val="007D310F"/>
    <w:rPr>
      <w:color w:val="000000"/>
      <w:sz w:val="23"/>
      <w:szCs w:val="23"/>
    </w:rPr>
  </w:style>
  <w:style w:type="character" w:customStyle="1" w:styleId="HeaderChar">
    <w:name w:val="Header Char"/>
    <w:link w:val="Header"/>
    <w:rsid w:val="007D310F"/>
    <w:rPr>
      <w:sz w:val="24"/>
      <w:szCs w:val="24"/>
    </w:rPr>
  </w:style>
  <w:style w:type="character" w:customStyle="1" w:styleId="FooterChar">
    <w:name w:val="Footer Char"/>
    <w:link w:val="Footer"/>
    <w:uiPriority w:val="99"/>
    <w:rsid w:val="007D310F"/>
    <w:rPr>
      <w:sz w:val="24"/>
      <w:szCs w:val="24"/>
    </w:rPr>
  </w:style>
  <w:style w:type="paragraph" w:styleId="BalloonText">
    <w:name w:val="Balloon Text"/>
    <w:basedOn w:val="Normal"/>
    <w:link w:val="BalloonTextChar"/>
    <w:uiPriority w:val="99"/>
    <w:semiHidden/>
    <w:unhideWhenUsed/>
    <w:rsid w:val="008516E4"/>
    <w:rPr>
      <w:rFonts w:ascii="Segoe UI" w:hAnsi="Segoe UI" w:cs="Segoe UI"/>
      <w:sz w:val="18"/>
      <w:szCs w:val="18"/>
    </w:rPr>
  </w:style>
  <w:style w:type="character" w:customStyle="1" w:styleId="BalloonTextChar">
    <w:name w:val="Balloon Text Char"/>
    <w:link w:val="BalloonText"/>
    <w:uiPriority w:val="99"/>
    <w:semiHidden/>
    <w:rsid w:val="008516E4"/>
    <w:rPr>
      <w:rFonts w:ascii="Segoe UI" w:hAnsi="Segoe UI" w:cs="Segoe UI"/>
      <w:sz w:val="18"/>
      <w:szCs w:val="18"/>
    </w:rPr>
  </w:style>
  <w:style w:type="character" w:customStyle="1" w:styleId="lrzxr">
    <w:name w:val="lrzxr"/>
    <w:rsid w:val="001A2B78"/>
  </w:style>
  <w:style w:type="character" w:customStyle="1" w:styleId="ilfuvd">
    <w:name w:val="ilfuvd"/>
    <w:rsid w:val="001A2B78"/>
  </w:style>
  <w:style w:type="character" w:customStyle="1" w:styleId="TitleChar">
    <w:name w:val="Title Char"/>
    <w:link w:val="Title"/>
    <w:rsid w:val="001A2B78"/>
    <w:rPr>
      <w:rFonts w:ascii="Bookman Old Style" w:hAnsi="Bookman Old Style"/>
      <w:sz w:val="24"/>
    </w:rPr>
  </w:style>
  <w:style w:type="character" w:customStyle="1" w:styleId="Heading2Char">
    <w:name w:val="Heading 2 Char"/>
    <w:link w:val="Heading2"/>
    <w:rsid w:val="001A2B78"/>
    <w:rPr>
      <w:rFonts w:ascii="Bookman Old Style" w:hAnsi="Bookman Old Style"/>
      <w:b/>
      <w:sz w:val="24"/>
    </w:rPr>
  </w:style>
  <w:style w:type="character" w:customStyle="1" w:styleId="UnresolvedMention">
    <w:name w:val="Unresolved Mention"/>
    <w:uiPriority w:val="99"/>
    <w:semiHidden/>
    <w:unhideWhenUsed/>
    <w:rsid w:val="001A2B78"/>
    <w:rPr>
      <w:color w:val="605E5C"/>
      <w:shd w:val="clear" w:color="auto" w:fill="E1DFDD"/>
    </w:rPr>
  </w:style>
  <w:style w:type="character" w:customStyle="1" w:styleId="BodyText2Char">
    <w:name w:val="Body Text 2 Char"/>
    <w:link w:val="BodyText2"/>
    <w:rsid w:val="00795D8F"/>
    <w:rPr>
      <w:b/>
      <w:sz w:val="24"/>
    </w:rPr>
  </w:style>
  <w:style w:type="character" w:customStyle="1" w:styleId="BodyText3Char">
    <w:name w:val="Body Text 3 Char"/>
    <w:link w:val="BodyText3"/>
    <w:rsid w:val="00795D8F"/>
    <w:rPr>
      <w:sz w:val="36"/>
    </w:rPr>
  </w:style>
  <w:style w:type="character" w:customStyle="1" w:styleId="hgkelc">
    <w:name w:val="hgkelc"/>
    <w:rsid w:val="001D5DD1"/>
  </w:style>
  <w:style w:type="paragraph" w:styleId="PlainText">
    <w:name w:val="Plain Text"/>
    <w:basedOn w:val="Normal"/>
    <w:link w:val="PlainTextChar"/>
    <w:rsid w:val="00C06970"/>
    <w:rPr>
      <w:rFonts w:ascii="Courier New" w:hAnsi="Courier New" w:cs="Courier New"/>
      <w:sz w:val="20"/>
      <w:szCs w:val="20"/>
    </w:rPr>
  </w:style>
  <w:style w:type="character" w:customStyle="1" w:styleId="PlainTextChar">
    <w:name w:val="Plain Text Char"/>
    <w:link w:val="PlainText"/>
    <w:rsid w:val="00C06970"/>
    <w:rPr>
      <w:rFonts w:ascii="Courier New" w:hAnsi="Courier New" w:cs="Courier New"/>
    </w:rPr>
  </w:style>
  <w:style w:type="character" w:customStyle="1" w:styleId="markedcontent">
    <w:name w:val="markedcontent"/>
    <w:rsid w:val="00C06970"/>
  </w:style>
  <w:style w:type="paragraph" w:styleId="NoSpacing">
    <w:name w:val="No Spacing"/>
    <w:uiPriority w:val="1"/>
    <w:qFormat/>
    <w:rsid w:val="004B3276"/>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21059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158B-EC05-484A-B5EC-DFD07CFB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5667</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2025-08-11T01:29:00Z</cp:lastPrinted>
  <dcterms:created xsi:type="dcterms:W3CDTF">2025-11-21T08:29:00Z</dcterms:created>
  <dcterms:modified xsi:type="dcterms:W3CDTF">2025-11-21T08:29:00Z</dcterms:modified>
</cp:coreProperties>
</file>