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70" w:rsidRPr="00825575" w:rsidRDefault="00C06970" w:rsidP="00C06970">
      <w:pPr>
        <w:pStyle w:val="Default"/>
        <w:spacing w:line="480" w:lineRule="auto"/>
        <w:jc w:val="center"/>
      </w:pPr>
      <w:r w:rsidRPr="00825575">
        <w:rPr>
          <w:b/>
          <w:bCs/>
          <w:noProof/>
        </w:rPr>
        <w:pict>
          <v:rect id="_x0000_s1068" style="position:absolute;left:0;text-align:left;margin-left:347.15pt;margin-top:-97.25pt;width:83.75pt;height:50.05pt;z-index:251658240" stroked="f"/>
        </w:pict>
      </w:r>
      <w:r w:rsidRPr="00825575">
        <w:rPr>
          <w:b/>
          <w:bCs/>
          <w:noProof/>
        </w:rPr>
        <w:pict>
          <v:rect id="_x0000_s1067" style="position:absolute;left:0;text-align:left;margin-left:347.15pt;margin-top:-88.55pt;width:39.75pt;height:32.25pt;z-index:251657216" stroked="f"/>
        </w:pict>
      </w:r>
      <w:r w:rsidRPr="00825575">
        <w:rPr>
          <w:b/>
          <w:bCs/>
        </w:rPr>
        <w:t>BAB II</w:t>
      </w:r>
    </w:p>
    <w:p w:rsidR="00C06970" w:rsidRPr="00825575" w:rsidRDefault="00C06970" w:rsidP="00C06970">
      <w:pPr>
        <w:pStyle w:val="Default"/>
        <w:spacing w:line="480" w:lineRule="auto"/>
        <w:jc w:val="center"/>
        <w:rPr>
          <w:b/>
          <w:bCs/>
        </w:rPr>
      </w:pPr>
      <w:r w:rsidRPr="00825575">
        <w:rPr>
          <w:b/>
          <w:bCs/>
        </w:rPr>
        <w:t>TINJAUAN PUSTAKA</w:t>
      </w:r>
    </w:p>
    <w:p w:rsidR="00C06970" w:rsidRPr="00825575" w:rsidRDefault="00C06970" w:rsidP="00C06970">
      <w:pPr>
        <w:pStyle w:val="Default"/>
        <w:jc w:val="center"/>
        <w:rPr>
          <w:b/>
          <w:bCs/>
        </w:rPr>
      </w:pPr>
    </w:p>
    <w:p w:rsidR="00C06970" w:rsidRPr="00825575" w:rsidRDefault="00C06970" w:rsidP="00B7086C">
      <w:pPr>
        <w:pStyle w:val="Default"/>
        <w:numPr>
          <w:ilvl w:val="0"/>
          <w:numId w:val="4"/>
        </w:numPr>
        <w:spacing w:line="480" w:lineRule="auto"/>
        <w:ind w:left="360"/>
        <w:jc w:val="both"/>
      </w:pPr>
      <w:r w:rsidRPr="00825575">
        <w:rPr>
          <w:b/>
          <w:bCs/>
        </w:rPr>
        <w:t>Perjanjian Hutang Piutang</w:t>
      </w:r>
    </w:p>
    <w:p w:rsidR="00C06970" w:rsidRPr="00825575" w:rsidRDefault="00C06970" w:rsidP="00B7086C">
      <w:pPr>
        <w:pStyle w:val="Default"/>
        <w:numPr>
          <w:ilvl w:val="1"/>
          <w:numId w:val="4"/>
        </w:numPr>
        <w:spacing w:line="480" w:lineRule="auto"/>
        <w:ind w:left="720"/>
        <w:jc w:val="both"/>
      </w:pPr>
      <w:bookmarkStart w:id="0" w:name="_Hlk97524781"/>
      <w:r w:rsidRPr="00825575">
        <w:rPr>
          <w:b/>
          <w:bCs/>
        </w:rPr>
        <w:t>Pengertian</w:t>
      </w:r>
      <w:bookmarkEnd w:id="0"/>
      <w:r w:rsidRPr="00825575">
        <w:rPr>
          <w:b/>
          <w:bCs/>
        </w:rPr>
        <w:t xml:space="preserve"> Perjanjian Hutang Piutang</w:t>
      </w:r>
    </w:p>
    <w:p w:rsidR="00C06970" w:rsidRPr="00825575" w:rsidRDefault="00C06970" w:rsidP="00C06970">
      <w:pPr>
        <w:pStyle w:val="BodyTextIndent2"/>
        <w:spacing w:line="456" w:lineRule="auto"/>
        <w:ind w:left="0" w:firstLine="765"/>
        <w:rPr>
          <w:color w:val="000000"/>
          <w:lang w:val="id-ID"/>
        </w:rPr>
      </w:pPr>
      <w:r w:rsidRPr="00825575">
        <w:rPr>
          <w:color w:val="000000"/>
          <w:lang w:val="id-ID"/>
        </w:rPr>
        <w:t xml:space="preserve">Perjanjian adalah suatu peristiwa </w:t>
      </w:r>
      <w:r w:rsidRPr="00825575">
        <w:rPr>
          <w:color w:val="000000"/>
        </w:rPr>
        <w:t>dimana seseorang berjanji kepada seorang lain atau dimana dua orang itu saling berjanji untuk melaksanakan suatu hal</w:t>
      </w:r>
      <w:r w:rsidRPr="00825575">
        <w:rPr>
          <w:color w:val="000000"/>
          <w:lang w:val="id-ID"/>
        </w:rPr>
        <w:t>”.</w:t>
      </w:r>
      <w:r w:rsidRPr="00825575">
        <w:rPr>
          <w:rStyle w:val="FootnoteReference"/>
          <w:color w:val="000000"/>
        </w:rPr>
        <w:footnoteReference w:id="2"/>
      </w:r>
      <w:r w:rsidRPr="00825575">
        <w:rPr>
          <w:color w:val="000000"/>
          <w:lang w:val="id-ID"/>
        </w:rPr>
        <w:t xml:space="preserve"> Dapat dikatakan bahwa dua perkataan (perjanjian dan persetujuan) itu adalah sama artinya.  M. Yahya Harahap mengatakan bahwa “istilah kontrak sama pengertiannya dengan persetujuan”.</w:t>
      </w:r>
      <w:r w:rsidRPr="00825575">
        <w:rPr>
          <w:rStyle w:val="FootnoteReference"/>
          <w:color w:val="000000"/>
        </w:rPr>
        <w:footnoteReference w:id="3"/>
      </w:r>
    </w:p>
    <w:p w:rsidR="00C06970" w:rsidRPr="00825575" w:rsidRDefault="00C06970" w:rsidP="00C06970">
      <w:pPr>
        <w:pStyle w:val="BodyTextIndent2"/>
        <w:ind w:left="0" w:firstLine="765"/>
        <w:rPr>
          <w:color w:val="000000"/>
        </w:rPr>
      </w:pPr>
      <w:r w:rsidRPr="00825575">
        <w:rPr>
          <w:color w:val="000000"/>
          <w:lang w:val="id-ID"/>
        </w:rPr>
        <w:t xml:space="preserve">Berdasarkan pendapat di atas bahwa </w:t>
      </w:r>
      <w:r w:rsidRPr="00825575">
        <w:rPr>
          <w:color w:val="000000"/>
        </w:rPr>
        <w:t>perjanjian sama pengertiannya dengan persetujuan, oleh karena itu persetujuan dalam Pasal 1313 KUHPerdata dapat dibaca dengan perjanjian.</w:t>
      </w:r>
    </w:p>
    <w:p w:rsidR="00C06970" w:rsidRPr="00825575" w:rsidRDefault="00C06970" w:rsidP="00C06970">
      <w:pPr>
        <w:pStyle w:val="BodyTextIndent2"/>
        <w:ind w:left="0" w:firstLine="765"/>
        <w:rPr>
          <w:color w:val="000000"/>
        </w:rPr>
      </w:pPr>
      <w:r w:rsidRPr="00825575">
        <w:rPr>
          <w:color w:val="000000"/>
        </w:rPr>
        <w:t>Menurut para sarjana, antara lain Abdul</w:t>
      </w:r>
      <w:r>
        <w:rPr>
          <w:color w:val="000000"/>
        </w:rPr>
        <w:t>k</w:t>
      </w:r>
      <w:r w:rsidRPr="00825575">
        <w:rPr>
          <w:color w:val="000000"/>
        </w:rPr>
        <w:t xml:space="preserve">adir Muhammad bahwa rumusan perjanjian adalah KUHPerdata itu kurang memuaskan, karena mengandung beberapa kelemahannya yaitu.       </w:t>
      </w:r>
    </w:p>
    <w:p w:rsidR="00C06970" w:rsidRPr="00825575" w:rsidRDefault="00C06970" w:rsidP="00B7086C">
      <w:pPr>
        <w:pStyle w:val="BodyTextIndent2"/>
        <w:numPr>
          <w:ilvl w:val="1"/>
          <w:numId w:val="7"/>
        </w:numPr>
        <w:tabs>
          <w:tab w:val="clear" w:pos="1440"/>
          <w:tab w:val="left" w:pos="709"/>
        </w:tabs>
        <w:spacing w:line="240" w:lineRule="auto"/>
        <w:ind w:left="709" w:hanging="284"/>
        <w:rPr>
          <w:color w:val="000000"/>
        </w:rPr>
      </w:pPr>
      <w:r w:rsidRPr="00825575">
        <w:rPr>
          <w:color w:val="000000"/>
        </w:rPr>
        <w:t>Hanya menyangkut sepihak saja</w:t>
      </w:r>
    </w:p>
    <w:p w:rsidR="00C06970" w:rsidRPr="00825575" w:rsidRDefault="00C06970" w:rsidP="00C06970">
      <w:pPr>
        <w:pStyle w:val="BodyTextIndent2"/>
        <w:tabs>
          <w:tab w:val="left" w:pos="709"/>
        </w:tabs>
        <w:spacing w:line="240" w:lineRule="auto"/>
        <w:ind w:left="709" w:hanging="284"/>
        <w:rPr>
          <w:color w:val="000000"/>
        </w:rPr>
      </w:pPr>
      <w:r w:rsidRPr="00825575">
        <w:rPr>
          <w:color w:val="000000"/>
        </w:rPr>
        <w:tab/>
        <w:t>Hal ini diketahui dari perumusan “satu orang atau lebih mengikatkan dirinya terhadap satu orang atau lebih lainnya”.Kata kerja “mengikatkan” sifatnya hanya datang dari satu pihak saja, tidak dari kedua belah pihak.Seharusnya perumusan itu “saling mengikatkan diri”, jadi ada konsensus antara pihak-pihak.</w:t>
      </w:r>
    </w:p>
    <w:p w:rsidR="00C06970" w:rsidRPr="00825575" w:rsidRDefault="00C06970" w:rsidP="00B7086C">
      <w:pPr>
        <w:pStyle w:val="BodyTextIndent2"/>
        <w:numPr>
          <w:ilvl w:val="1"/>
          <w:numId w:val="7"/>
        </w:numPr>
        <w:tabs>
          <w:tab w:val="clear" w:pos="1440"/>
          <w:tab w:val="left" w:pos="709"/>
        </w:tabs>
        <w:spacing w:line="240" w:lineRule="auto"/>
        <w:ind w:left="709" w:hanging="284"/>
        <w:rPr>
          <w:color w:val="000000"/>
        </w:rPr>
      </w:pPr>
      <w:r w:rsidRPr="00825575">
        <w:rPr>
          <w:color w:val="000000"/>
        </w:rPr>
        <w:t>Kata perbuatan mencakup juga tanpa konsensus</w:t>
      </w:r>
    </w:p>
    <w:p w:rsidR="00C06970" w:rsidRPr="00825575" w:rsidRDefault="00C06970" w:rsidP="00C06970">
      <w:pPr>
        <w:pStyle w:val="BodyTextIndent2"/>
        <w:tabs>
          <w:tab w:val="left" w:pos="709"/>
        </w:tabs>
        <w:spacing w:line="240" w:lineRule="auto"/>
        <w:ind w:left="709" w:hanging="284"/>
        <w:rPr>
          <w:color w:val="000000"/>
        </w:rPr>
      </w:pPr>
      <w:r w:rsidRPr="00825575">
        <w:rPr>
          <w:color w:val="000000"/>
        </w:rPr>
        <w:tab/>
        <w:t xml:space="preserve">Dalam pengertian “perbuatan” termasuk juga tindakan  melaksanakan tugas tanpa kuasa </w:t>
      </w:r>
      <w:r w:rsidRPr="00825575">
        <w:rPr>
          <w:i/>
          <w:iCs/>
          <w:color w:val="000000"/>
        </w:rPr>
        <w:t>(zaakwaarneming)</w:t>
      </w:r>
      <w:r w:rsidRPr="00825575">
        <w:rPr>
          <w:color w:val="000000"/>
        </w:rPr>
        <w:t>, tindakan melawan hukum (</w:t>
      </w:r>
      <w:r w:rsidRPr="00825575">
        <w:rPr>
          <w:i/>
          <w:iCs/>
          <w:color w:val="000000"/>
        </w:rPr>
        <w:t xml:space="preserve">onrechtmatige daad) </w:t>
      </w:r>
      <w:r w:rsidRPr="00825575">
        <w:rPr>
          <w:color w:val="000000"/>
        </w:rPr>
        <w:t>yang tidak mengandung konsesus. Seharusnya dipakai kata “persetujuan”.</w:t>
      </w:r>
    </w:p>
    <w:p w:rsidR="00C06970" w:rsidRPr="00825575" w:rsidRDefault="00C06970" w:rsidP="00B7086C">
      <w:pPr>
        <w:pStyle w:val="BodyTextIndent2"/>
        <w:numPr>
          <w:ilvl w:val="1"/>
          <w:numId w:val="7"/>
        </w:numPr>
        <w:tabs>
          <w:tab w:val="clear" w:pos="1440"/>
          <w:tab w:val="left" w:pos="709"/>
        </w:tabs>
        <w:spacing w:line="240" w:lineRule="auto"/>
        <w:ind w:left="709" w:hanging="284"/>
        <w:rPr>
          <w:color w:val="000000"/>
        </w:rPr>
      </w:pPr>
      <w:r w:rsidRPr="00825575">
        <w:rPr>
          <w:color w:val="000000"/>
        </w:rPr>
        <w:lastRenderedPageBreak/>
        <w:t>Pengertian perjanjian terlalu luas</w:t>
      </w:r>
    </w:p>
    <w:p w:rsidR="00C06970" w:rsidRPr="00825575" w:rsidRDefault="00C06970" w:rsidP="00C06970">
      <w:pPr>
        <w:pStyle w:val="BodyTextIndent2"/>
        <w:tabs>
          <w:tab w:val="left" w:pos="709"/>
        </w:tabs>
        <w:spacing w:line="240" w:lineRule="auto"/>
        <w:ind w:left="709" w:hanging="284"/>
        <w:rPr>
          <w:color w:val="000000"/>
        </w:rPr>
      </w:pPr>
      <w:r w:rsidRPr="00825575">
        <w:rPr>
          <w:color w:val="000000"/>
        </w:rPr>
        <w:tab/>
        <w:t>Pengertian perjanjian dalam pasal tersebut diatas terlalu luas, karena mencakup juga pelangsungan perkawinan, janji kawin, yang diatur dalam lapangan hukum keluarga. Padalah yang dimaksud adalah hubungan antara debitur dan kreditur dalam lapangan harta kekayaan saja. Perjanjian yang dikehendaki oleh buku ketiga KUHPerdata sebenarnya hanyalah perjanjian yang bersifat kebendaan bukan perjanjian yang bersifat personal.</w:t>
      </w:r>
    </w:p>
    <w:p w:rsidR="00C06970" w:rsidRPr="00825575" w:rsidRDefault="00C06970" w:rsidP="00B7086C">
      <w:pPr>
        <w:pStyle w:val="BodyTextIndent2"/>
        <w:numPr>
          <w:ilvl w:val="1"/>
          <w:numId w:val="7"/>
        </w:numPr>
        <w:tabs>
          <w:tab w:val="clear" w:pos="1440"/>
          <w:tab w:val="left" w:pos="709"/>
        </w:tabs>
        <w:spacing w:line="240" w:lineRule="auto"/>
        <w:ind w:left="709" w:hanging="284"/>
        <w:rPr>
          <w:color w:val="000000"/>
        </w:rPr>
      </w:pPr>
      <w:r w:rsidRPr="00825575">
        <w:rPr>
          <w:color w:val="000000"/>
        </w:rPr>
        <w:t>Tanpa menyebut tujuan</w:t>
      </w:r>
    </w:p>
    <w:p w:rsidR="00C06970" w:rsidRPr="00825575" w:rsidRDefault="00C06970" w:rsidP="00C06970">
      <w:pPr>
        <w:pStyle w:val="BodyTextIndent2"/>
        <w:tabs>
          <w:tab w:val="left" w:pos="709"/>
        </w:tabs>
        <w:spacing w:line="240" w:lineRule="auto"/>
        <w:ind w:left="709" w:hanging="284"/>
        <w:rPr>
          <w:color w:val="000000"/>
        </w:rPr>
      </w:pPr>
      <w:r w:rsidRPr="00825575">
        <w:rPr>
          <w:color w:val="000000"/>
        </w:rPr>
        <w:tab/>
        <w:t>Pasal itu tidak disebutkan tujuan mengadakan perjanjian, sehingga pihak-pihak mengikatkan diri tidak jelas untuk apa.</w:t>
      </w:r>
      <w:r w:rsidRPr="00825575">
        <w:rPr>
          <w:rStyle w:val="FootnoteReference"/>
          <w:color w:val="000000"/>
        </w:rPr>
        <w:footnoteReference w:id="4"/>
      </w:r>
    </w:p>
    <w:p w:rsidR="00C06970" w:rsidRPr="00825575" w:rsidRDefault="00C06970" w:rsidP="00C06970">
      <w:pPr>
        <w:pStyle w:val="BodyTextIndent2"/>
        <w:tabs>
          <w:tab w:val="num" w:pos="1122"/>
        </w:tabs>
        <w:spacing w:line="240" w:lineRule="auto"/>
        <w:ind w:left="1122"/>
        <w:rPr>
          <w:color w:val="000000"/>
        </w:rPr>
      </w:pPr>
    </w:p>
    <w:p w:rsidR="00C06970" w:rsidRPr="00FF3D25" w:rsidRDefault="00C06970" w:rsidP="00C06970">
      <w:pPr>
        <w:pStyle w:val="BodyTextIndent2"/>
        <w:ind w:left="0" w:firstLine="731"/>
      </w:pPr>
      <w:r w:rsidRPr="00825575">
        <w:rPr>
          <w:color w:val="000000"/>
        </w:rPr>
        <w:t xml:space="preserve">Berdasarkan alasan-alasan tersebut di atas, perlu dirumuskan kembali arti perjanjian. </w:t>
      </w:r>
      <w:r w:rsidRPr="00FF3D25">
        <w:t>Sudikno Mertokusumo mengatakan bahwa perjanjian adalah “hubungan antara dua pihak atau lebih berdasarkan kata sepakat untuk menimbulkan hukum”.</w:t>
      </w:r>
      <w:r w:rsidRPr="00FF3D25">
        <w:rPr>
          <w:rStyle w:val="FootnoteReference"/>
        </w:rPr>
        <w:footnoteReference w:id="5"/>
      </w:r>
      <w:r w:rsidRPr="00FF3D25">
        <w:t xml:space="preserve">  M. Yahya Harahap mengatakan perjanjian adalah “hubungan hukum kekayaan/harta benda antara dua orang atau lebih, yang memberi kekuatan hak pada satu pihak untuk memperoleh prestasi dan sekaligus mewajibkan pada pihak lain untuk menunaikan prestasi”.</w:t>
      </w:r>
      <w:r w:rsidRPr="00FF3D25">
        <w:rPr>
          <w:rStyle w:val="FootnoteReference"/>
        </w:rPr>
        <w:footnoteReference w:id="6"/>
      </w:r>
    </w:p>
    <w:p w:rsidR="00C06970" w:rsidRPr="00FF3D25" w:rsidRDefault="00C06970" w:rsidP="00C06970">
      <w:pPr>
        <w:pStyle w:val="BodyTextIndent2"/>
        <w:ind w:left="0" w:firstLine="731"/>
      </w:pPr>
      <w:r w:rsidRPr="00FF3D25">
        <w:t>R. Wirjono Prodjodikoro mengatakan perjanjian adalah “suatu perhubungan hukum mengenai  harta benda kekayaan antara dua pihak, dalam mana satu pihak berjanji atau dianggap berjanji untuk melakukan suatu hal atau untuk tidak melakukan sesuatu hal, sedang pihak lain berhak menuntut pelaksanaan janji itu”.</w:t>
      </w:r>
      <w:r w:rsidRPr="00FF3D25">
        <w:rPr>
          <w:rStyle w:val="FootnoteReference"/>
        </w:rPr>
        <w:footnoteReference w:id="7"/>
      </w:r>
    </w:p>
    <w:p w:rsidR="00C06970" w:rsidRPr="00FF3D25" w:rsidRDefault="00C06970" w:rsidP="00C06970">
      <w:pPr>
        <w:pStyle w:val="BodyTextIndent2"/>
        <w:ind w:left="0" w:firstLine="734"/>
      </w:pPr>
      <w:r w:rsidRPr="00FF3D25">
        <w:t>Dari beberapa pengertian perjanjian tersebut di atas dapat diambil kesimpulan bahwa unsur-unsur yang membentuk pengertian perjanjian adalah :</w:t>
      </w:r>
    </w:p>
    <w:p w:rsidR="00C06970" w:rsidRPr="00FF3D25" w:rsidRDefault="00C06970" w:rsidP="00B7086C">
      <w:pPr>
        <w:pStyle w:val="BodyTextIndent2"/>
        <w:numPr>
          <w:ilvl w:val="0"/>
          <w:numId w:val="22"/>
        </w:numPr>
        <w:tabs>
          <w:tab w:val="clear" w:pos="720"/>
          <w:tab w:val="num" w:pos="-360"/>
        </w:tabs>
        <w:ind w:left="360"/>
      </w:pPr>
      <w:r w:rsidRPr="00FF3D25">
        <w:t>Terdapatnya para pihak yang berjanji.</w:t>
      </w:r>
    </w:p>
    <w:p w:rsidR="00C06970" w:rsidRPr="00FF3D25" w:rsidRDefault="00C06970" w:rsidP="00B7086C">
      <w:pPr>
        <w:pStyle w:val="BodyTextIndent2"/>
        <w:numPr>
          <w:ilvl w:val="0"/>
          <w:numId w:val="22"/>
        </w:numPr>
        <w:tabs>
          <w:tab w:val="clear" w:pos="720"/>
          <w:tab w:val="num" w:pos="-360"/>
        </w:tabs>
        <w:ind w:left="360"/>
      </w:pPr>
      <w:r w:rsidRPr="00FF3D25">
        <w:lastRenderedPageBreak/>
        <w:t>Perjanjian itu didasarkan kepada kata sepakat / kesesuaian hendak.</w:t>
      </w:r>
    </w:p>
    <w:p w:rsidR="00C06970" w:rsidRPr="00FF3D25" w:rsidRDefault="00C06970" w:rsidP="00B7086C">
      <w:pPr>
        <w:pStyle w:val="BodyTextIndent2"/>
        <w:numPr>
          <w:ilvl w:val="0"/>
          <w:numId w:val="22"/>
        </w:numPr>
        <w:tabs>
          <w:tab w:val="clear" w:pos="720"/>
          <w:tab w:val="num" w:pos="-360"/>
        </w:tabs>
        <w:spacing w:line="504" w:lineRule="auto"/>
        <w:ind w:left="360"/>
      </w:pPr>
      <w:r w:rsidRPr="00FF3D25">
        <w:t>Perjanjian merupakan perbuatan hukum atau hubungan hukum.</w:t>
      </w:r>
    </w:p>
    <w:p w:rsidR="00C06970" w:rsidRPr="00FF3D25" w:rsidRDefault="00C06970" w:rsidP="00B7086C">
      <w:pPr>
        <w:pStyle w:val="BodyTextIndent2"/>
        <w:numPr>
          <w:ilvl w:val="0"/>
          <w:numId w:val="22"/>
        </w:numPr>
        <w:tabs>
          <w:tab w:val="clear" w:pos="720"/>
          <w:tab w:val="num" w:pos="-360"/>
        </w:tabs>
        <w:spacing w:line="504" w:lineRule="auto"/>
        <w:ind w:left="360"/>
      </w:pPr>
      <w:r w:rsidRPr="00FF3D25">
        <w:t xml:space="preserve">Terletak dalam bidang harta kekayaan. </w:t>
      </w:r>
    </w:p>
    <w:p w:rsidR="00C06970" w:rsidRPr="00FF3D25" w:rsidRDefault="00C06970" w:rsidP="00B7086C">
      <w:pPr>
        <w:pStyle w:val="BodyTextIndent2"/>
        <w:numPr>
          <w:ilvl w:val="0"/>
          <w:numId w:val="22"/>
        </w:numPr>
        <w:tabs>
          <w:tab w:val="clear" w:pos="720"/>
          <w:tab w:val="num" w:pos="-360"/>
        </w:tabs>
        <w:spacing w:line="504" w:lineRule="auto"/>
        <w:ind w:left="360"/>
      </w:pPr>
      <w:r w:rsidRPr="00FF3D25">
        <w:t>Adanya hak dan kewajiban para pihak.</w:t>
      </w:r>
    </w:p>
    <w:p w:rsidR="00C06970" w:rsidRPr="00FF3D25" w:rsidRDefault="00C06970" w:rsidP="00B7086C">
      <w:pPr>
        <w:pStyle w:val="BodyTextIndent2"/>
        <w:numPr>
          <w:ilvl w:val="0"/>
          <w:numId w:val="22"/>
        </w:numPr>
        <w:tabs>
          <w:tab w:val="clear" w:pos="720"/>
          <w:tab w:val="num" w:pos="-360"/>
        </w:tabs>
        <w:spacing w:line="504" w:lineRule="auto"/>
        <w:ind w:left="360"/>
      </w:pPr>
      <w:r w:rsidRPr="00FF3D25">
        <w:t>Menimbulkan akibat hukum yang mengikat.</w:t>
      </w:r>
    </w:p>
    <w:p w:rsidR="00C06970" w:rsidRPr="00FF3D25" w:rsidRDefault="00C06970" w:rsidP="00C06970">
      <w:pPr>
        <w:pStyle w:val="BodyTextIndent2"/>
        <w:spacing w:line="504" w:lineRule="auto"/>
        <w:ind w:left="0" w:firstLine="720"/>
      </w:pPr>
      <w:r w:rsidRPr="00FF3D25">
        <w:t xml:space="preserve">Berdasarkan 6 (enam) unsur tersebut ada hal yang perlu diperjelas, misalnya perubahan konsep perjanjian yang menurut paham KUH Perdata dikatakan perjanjian hanya merupakan perbuatan </w:t>
      </w:r>
      <w:r w:rsidRPr="00FF3D25">
        <w:rPr>
          <w:i/>
        </w:rPr>
        <w:t>(handeling),</w:t>
      </w:r>
      <w:r w:rsidRPr="00FF3D25">
        <w:t xml:space="preserve"> selanjutnya oleh para sarjana di sempurnakan menjadi perbuatan hukum dan perkembangan terakhir dikatakan sebagai hubungan hukum</w:t>
      </w:r>
      <w:r w:rsidRPr="00FF3D25">
        <w:rPr>
          <w:i/>
        </w:rPr>
        <w:t>.</w:t>
      </w:r>
      <w:r w:rsidRPr="00FF3D25">
        <w:t xml:space="preserve"> </w:t>
      </w:r>
    </w:p>
    <w:p w:rsidR="00C06970" w:rsidRPr="00FF3D25" w:rsidRDefault="00C06970" w:rsidP="00C06970">
      <w:pPr>
        <w:pStyle w:val="BodyTextIndent2"/>
        <w:spacing w:line="504" w:lineRule="auto"/>
        <w:ind w:left="0" w:firstLine="720"/>
      </w:pPr>
      <w:r w:rsidRPr="00FF3D25">
        <w:t xml:space="preserve">Sudikno Mertokusumo menjelaskan </w:t>
      </w:r>
      <w:r>
        <w:t>p</w:t>
      </w:r>
      <w:r w:rsidRPr="00FF3D25">
        <w:t xml:space="preserve">erbedaan perbuatan hukum dan hubungan hukum yang melahirkan konsep perjanjian sebagai berikut : bahwa perbuatan hukum </w:t>
      </w:r>
      <w:r w:rsidRPr="00FF3D25">
        <w:rPr>
          <w:i/>
        </w:rPr>
        <w:t>(rechtshandeling)</w:t>
      </w:r>
      <w:r w:rsidRPr="00FF3D25">
        <w:t xml:space="preserve"> yang selama ini di maksudkan dalam pengertian perjanjian adalah satu perbuatan hukum bersisi dua </w:t>
      </w:r>
      <w:r w:rsidRPr="00FF3D25">
        <w:rPr>
          <w:i/>
        </w:rPr>
        <w:t>(een tweezijdigerechtshandeling)</w:t>
      </w:r>
      <w:r w:rsidRPr="00FF3D25">
        <w:t xml:space="preserve"> yakni perbuatan penawaran </w:t>
      </w:r>
      <w:r w:rsidRPr="00FF3D25">
        <w:rPr>
          <w:i/>
        </w:rPr>
        <w:t>(aanbod)</w:t>
      </w:r>
      <w:r w:rsidRPr="00FF3D25">
        <w:t xml:space="preserve"> dan penerimaan </w:t>
      </w:r>
      <w:r w:rsidRPr="00FF3D25">
        <w:rPr>
          <w:i/>
        </w:rPr>
        <w:t>(aanvaarding)</w:t>
      </w:r>
      <w:r w:rsidRPr="00FF3D25">
        <w:t xml:space="preserve"> . berbeda halnya kalau perjanjian dikatakan sebagai dua perbuatan hukum yang masing-masing berisi satu </w:t>
      </w:r>
      <w:r w:rsidRPr="00FF3D25">
        <w:rPr>
          <w:i/>
        </w:rPr>
        <w:t>(twee eenzijdige rechtshandeling)</w:t>
      </w:r>
      <w:r w:rsidRPr="00FF3D25">
        <w:t xml:space="preserve"> yakni penawaran dan penerimaan yang didasarkan kepada kata sepakat antara dua orang yang saling berhubungan untuk menimbulkan akibat hukum, maka konsep perjanjian yang demikian merupakan suatu hubungan hukum </w:t>
      </w:r>
      <w:r w:rsidRPr="00FF3D25">
        <w:rPr>
          <w:i/>
        </w:rPr>
        <w:t>(rechtsverhoudingen).</w:t>
      </w:r>
      <w:r w:rsidRPr="00FF3D25">
        <w:rPr>
          <w:rStyle w:val="FootnoteReference"/>
        </w:rPr>
        <w:t xml:space="preserve"> </w:t>
      </w:r>
      <w:r w:rsidRPr="00FF3D25">
        <w:rPr>
          <w:rStyle w:val="FootnoteReference"/>
        </w:rPr>
        <w:footnoteReference w:id="8"/>
      </w:r>
    </w:p>
    <w:p w:rsidR="00C06970" w:rsidRDefault="00C06970" w:rsidP="00C06970">
      <w:pPr>
        <w:pStyle w:val="BodyTextIndent2"/>
        <w:ind w:left="0" w:firstLine="720"/>
        <w:rPr>
          <w:rFonts w:eastAsia="MS Mincho"/>
        </w:rPr>
      </w:pPr>
      <w:r w:rsidRPr="00FF3D25">
        <w:lastRenderedPageBreak/>
        <w:t>Sehubungan dengan perkembangan pengertian perjanjian tersebut, Purwahid Patrik menyimpulkan bahwa “perjanjiian dapat di rumuskan sebagai hubungan hukum antara dua pihak dimana masing-masing melakukan perbuatan hukum sepihak, penawaran dan penawaran”.</w:t>
      </w:r>
      <w:r w:rsidRPr="00FF3D25">
        <w:rPr>
          <w:rStyle w:val="FootnoteReference"/>
        </w:rPr>
        <w:footnoteReference w:id="9"/>
      </w:r>
      <w:r>
        <w:t xml:space="preserve"> </w:t>
      </w:r>
      <w:r w:rsidRPr="00FF3D25">
        <w:rPr>
          <w:rFonts w:eastAsia="MS Mincho"/>
        </w:rPr>
        <w:t>Perjanjian adalah perbuatan hukum yang melahirkan hubungan hukum yang terletak di dalam lapangan hukum harta kekayaan  diantara dua orang atau lebih yang menyebabkan pihak  yang satu  berhak  atas  sesuatu  dan pihak lain mempunyai kewajiban untuk melakukan atau memberi  sesuatu.  Atau dengan  kata  lain  pihak  yang  mempunyai  hak  disebut kreditur sedangkan pihak yang  mempunyai   kewajiban disebut debitur.</w:t>
      </w:r>
    </w:p>
    <w:p w:rsidR="00C06970" w:rsidRPr="00FF3D25" w:rsidRDefault="00C06970" w:rsidP="00C06970">
      <w:pPr>
        <w:pStyle w:val="BodyTextIndent2"/>
        <w:ind w:left="0" w:firstLine="720"/>
        <w:rPr>
          <w:rFonts w:eastAsia="MS Mincho"/>
        </w:rPr>
      </w:pPr>
      <w:r w:rsidRPr="00FF3D25">
        <w:rPr>
          <w:rFonts w:eastAsia="MS Mincho"/>
        </w:rPr>
        <w:t>Jelaslah bahwa yang menjadi  subjek  perjanjian adalah  kreditur  dan debitur. Perjanjian  itu  tidak hanya  harus  antara seorang debitur dengan seorang kreditur   saja,  tetapi  beberapa   orang kreditur berhadapan  dengan seorang debitur atau sebaliknya. Juga jika pada mulanya kreditur terdiri dari beberapa orang  kemudian yang tinggal hanya  seorang  kreditur saja berhadapan dengan seorang debitur juga tidak menghalangi perjanjian itu.</w:t>
      </w:r>
      <w:r w:rsidRPr="00FF3D25">
        <w:rPr>
          <w:rStyle w:val="FootnoteReference"/>
          <w:rFonts w:eastAsia="MS Mincho"/>
        </w:rPr>
        <w:footnoteReference w:id="10"/>
      </w:r>
    </w:p>
    <w:p w:rsidR="00C06970" w:rsidRPr="00FF3D25" w:rsidRDefault="00C06970" w:rsidP="00C06970">
      <w:pPr>
        <w:pStyle w:val="BodyTextIndent2"/>
        <w:spacing w:line="444" w:lineRule="auto"/>
        <w:ind w:left="0" w:firstLine="720"/>
      </w:pPr>
      <w:r w:rsidRPr="00FF3D25">
        <w:t>Berdasarkan perumusan perjanjian, maka suatu perjanjian mengandung unsur-unsur sebagai berikut :</w:t>
      </w:r>
    </w:p>
    <w:p w:rsidR="00C06970" w:rsidRPr="00FF3D25" w:rsidRDefault="00C06970" w:rsidP="00B7086C">
      <w:pPr>
        <w:pStyle w:val="BodyTextIndent2"/>
        <w:numPr>
          <w:ilvl w:val="0"/>
          <w:numId w:val="23"/>
        </w:numPr>
        <w:spacing w:line="444" w:lineRule="auto"/>
        <w:ind w:left="360"/>
      </w:pPr>
      <w:r w:rsidRPr="00FF3D25">
        <w:t>Ada pihak-pihak minimal dua pihak</w:t>
      </w:r>
    </w:p>
    <w:p w:rsidR="00C06970" w:rsidRPr="00FF3D25" w:rsidRDefault="00C06970" w:rsidP="00C06970">
      <w:pPr>
        <w:pStyle w:val="BodyTextIndent2"/>
        <w:spacing w:line="444" w:lineRule="auto"/>
      </w:pPr>
      <w:r w:rsidRPr="00FF3D25">
        <w:t>Dikatakan pihak bukan orang karena mungkin sekali dalam suatu perikatan terlibat lebih dari dua orang, tetapi pihaknya tetap dua.</w:t>
      </w:r>
    </w:p>
    <w:p w:rsidR="00C06970" w:rsidRPr="00FF3D25" w:rsidRDefault="00C06970" w:rsidP="00B7086C">
      <w:pPr>
        <w:pStyle w:val="BodyTextIndent2"/>
        <w:numPr>
          <w:ilvl w:val="0"/>
          <w:numId w:val="23"/>
        </w:numPr>
        <w:spacing w:line="444" w:lineRule="auto"/>
        <w:ind w:left="360"/>
      </w:pPr>
      <w:r w:rsidRPr="00FF3D25">
        <w:t>Ada persetujuan antara para pihak, mengenai :</w:t>
      </w:r>
    </w:p>
    <w:p w:rsidR="00C06970" w:rsidRPr="00FF3D25" w:rsidRDefault="00C06970" w:rsidP="00B7086C">
      <w:pPr>
        <w:pStyle w:val="BodyTextIndent2"/>
        <w:numPr>
          <w:ilvl w:val="0"/>
          <w:numId w:val="21"/>
        </w:numPr>
        <w:tabs>
          <w:tab w:val="clear" w:pos="720"/>
          <w:tab w:val="num" w:pos="0"/>
        </w:tabs>
        <w:spacing w:line="444" w:lineRule="auto"/>
      </w:pPr>
      <w:r w:rsidRPr="00FF3D25">
        <w:t>Tujuan</w:t>
      </w:r>
    </w:p>
    <w:p w:rsidR="00C06970" w:rsidRPr="00FF3D25" w:rsidRDefault="00C06970" w:rsidP="00B7086C">
      <w:pPr>
        <w:pStyle w:val="BodyTextIndent2"/>
        <w:numPr>
          <w:ilvl w:val="0"/>
          <w:numId w:val="21"/>
        </w:numPr>
        <w:tabs>
          <w:tab w:val="clear" w:pos="720"/>
          <w:tab w:val="num" w:pos="0"/>
        </w:tabs>
        <w:spacing w:line="444" w:lineRule="auto"/>
      </w:pPr>
      <w:r w:rsidRPr="00FF3D25">
        <w:lastRenderedPageBreak/>
        <w:t>Prestasi</w:t>
      </w:r>
    </w:p>
    <w:p w:rsidR="00C06970" w:rsidRPr="00FF3D25" w:rsidRDefault="00C06970" w:rsidP="00B7086C">
      <w:pPr>
        <w:pStyle w:val="BodyTextIndent2"/>
        <w:numPr>
          <w:ilvl w:val="0"/>
          <w:numId w:val="21"/>
        </w:numPr>
        <w:tabs>
          <w:tab w:val="clear" w:pos="720"/>
          <w:tab w:val="num" w:pos="0"/>
        </w:tabs>
        <w:spacing w:line="444" w:lineRule="auto"/>
      </w:pPr>
      <w:r w:rsidRPr="00FF3D25">
        <w:t>Bentuk tertentu lisan/tulisan</w:t>
      </w:r>
    </w:p>
    <w:p w:rsidR="00C06970" w:rsidRPr="00FF3D25" w:rsidRDefault="00C06970" w:rsidP="00B7086C">
      <w:pPr>
        <w:pStyle w:val="BodyTextIndent2"/>
        <w:numPr>
          <w:ilvl w:val="0"/>
          <w:numId w:val="21"/>
        </w:numPr>
        <w:tabs>
          <w:tab w:val="clear" w:pos="720"/>
          <w:tab w:val="num" w:pos="0"/>
        </w:tabs>
        <w:spacing w:line="444" w:lineRule="auto"/>
      </w:pPr>
      <w:r w:rsidRPr="00FF3D25">
        <w:t>Syarat tertentu yang merupakan isi perjanjian</w:t>
      </w:r>
    </w:p>
    <w:p w:rsidR="00C06970" w:rsidRPr="00FF3D25" w:rsidRDefault="00C06970" w:rsidP="00C06970">
      <w:pPr>
        <w:autoSpaceDE w:val="0"/>
        <w:autoSpaceDN w:val="0"/>
        <w:adjustRightInd w:val="0"/>
        <w:spacing w:line="480" w:lineRule="auto"/>
        <w:ind w:firstLine="720"/>
        <w:jc w:val="both"/>
      </w:pPr>
      <w:r w:rsidRPr="00FF3D25">
        <w:t>Subjek perjanjian adalah “pihak-pihak yang terkait dengan suatu perjanjian. KUHPerdata membedakan tiga golongan yang tersangkut pada, yaitu para pihak yang mengadakan perjanjian, ahli waris mereka dan pihak ketiga”.</w:t>
      </w:r>
      <w:r w:rsidRPr="00FF3D25">
        <w:rPr>
          <w:rStyle w:val="FootnoteReference"/>
        </w:rPr>
        <w:footnoteReference w:id="11"/>
      </w:r>
      <w:r w:rsidRPr="00FF3D25">
        <w:t xml:space="preserve"> Subjek perjanjian terdiri dan orang dan badan hukum, dan dalam perjanjian, para pihak dibagi menjadi kreditur dan debitur. Kreditur adalah pihak yang berhak atas sesuatu (prestasi) dan pihak debitur, dan debitur bekewajiban memenuhi sesuatu kepada pihak kredltur. </w:t>
      </w:r>
    </w:p>
    <w:p w:rsidR="00C06970" w:rsidRDefault="00C06970" w:rsidP="00C06970">
      <w:pPr>
        <w:autoSpaceDE w:val="0"/>
        <w:autoSpaceDN w:val="0"/>
        <w:adjustRightInd w:val="0"/>
        <w:spacing w:line="480" w:lineRule="auto"/>
        <w:ind w:firstLine="720"/>
        <w:jc w:val="both"/>
      </w:pPr>
      <w:r w:rsidRPr="00FF3D25">
        <w:t>Badan hukum dapat berbentuk firma (Fa), Persatuan komanditer (CV), Perseroan terbatas (PT), dan Badan Usaha Koperasi. Badan hukum sebagai subjek hukum dapat bertindak sebagai manusia. Dalam pembuatan perjanjian, jika badan hukum bertindak sebagai subjek hukum, maka harus diwakili oleh orang atau manusia. Dan manusia sebagai wakil itu harus bisa bertindak melakukan perbuatan hukum sesuai Pasal 1330 KUHPerdata.</w:t>
      </w:r>
    </w:p>
    <w:p w:rsidR="00C06970" w:rsidRPr="00FF3D25" w:rsidRDefault="00C06970" w:rsidP="00C06970">
      <w:pPr>
        <w:autoSpaceDE w:val="0"/>
        <w:autoSpaceDN w:val="0"/>
        <w:adjustRightInd w:val="0"/>
        <w:spacing w:line="480" w:lineRule="auto"/>
        <w:ind w:firstLine="720"/>
        <w:jc w:val="both"/>
      </w:pPr>
      <w:r w:rsidRPr="00FF3D25">
        <w:t xml:space="preserve">Objek bukti adalah segala sesuatu yang berguna bagi subjek hukum, dan yang menjadi objek perjanjian adalah prestasi. Prestasi merupakan hal yang harus dilakukan oleh masing-masing pihak. Prestasi adalah kewajiban salah satu pihak dan pihak lain berhak untuk menuntut hal itu. Dalam perjanjian, debitur wajib melakukan perbuatan tertentu yang telah ditetapkan dalam perjanjian dan dalam melakukan perbuatan itu debitur harus mematuhi semua ketentuan dalam </w:t>
      </w:r>
      <w:r w:rsidRPr="00FF3D25">
        <w:lastRenderedPageBreak/>
        <w:t>perjanjian, debitur bertanggungjawab atas perbuatannya yang tidak sesuai dengan ketentuan perjanjaan.</w:t>
      </w:r>
      <w:r w:rsidRPr="00FF3D25">
        <w:rPr>
          <w:rStyle w:val="FootnoteReference"/>
        </w:rPr>
        <w:footnoteReference w:id="12"/>
      </w:r>
    </w:p>
    <w:p w:rsidR="00C06970" w:rsidRPr="00FF3D25" w:rsidRDefault="00C06970" w:rsidP="00C06970">
      <w:pPr>
        <w:autoSpaceDE w:val="0"/>
        <w:autoSpaceDN w:val="0"/>
        <w:adjustRightInd w:val="0"/>
        <w:spacing w:line="456" w:lineRule="auto"/>
        <w:ind w:firstLine="720"/>
        <w:jc w:val="both"/>
      </w:pPr>
      <w:r w:rsidRPr="00FF3D25">
        <w:t xml:space="preserve">Objek dari perjanjian atau prestasi harus dipenuhi oleh pihak-pihak yang mengadakan perjanjian sesuai dengan apa yang diperjanjikan. Jika salah satu pihak tidak memenuhi prestasinya, maka pihak yang tidak memenuhi prestasi tersebut dikatakan wanprestasi. Namun, hal tesebut dapat dikecualikan dalam hal memaksa atau </w:t>
      </w:r>
      <w:r w:rsidRPr="00FF3D25">
        <w:rPr>
          <w:i/>
        </w:rPr>
        <w:t>overmacht,</w:t>
      </w:r>
      <w:r w:rsidRPr="00FF3D25">
        <w:t xml:space="preserve"> dimana salah satu pihak tidak dapat memenuhi prestasinya karena sebab diluar dirinya seperti meninggal dunia, bencana alam, kecelakaan, dan lain-lain. “Objek perjanjian tidak boleh samar- samar sebab, objek perjanjian yang jelas dapat memberikan jaminan kepada para pihak pembuat perjanjian dan mencegah perjanjian yang fiktif”.</w:t>
      </w:r>
      <w:r w:rsidRPr="00FF3D25">
        <w:rPr>
          <w:rStyle w:val="FootnoteReference"/>
        </w:rPr>
        <w:footnoteReference w:id="13"/>
      </w:r>
    </w:p>
    <w:p w:rsidR="00C06970" w:rsidRPr="00825575" w:rsidRDefault="00C06970" w:rsidP="00C06970">
      <w:pPr>
        <w:pStyle w:val="BodyTextIndent2"/>
        <w:ind w:left="0" w:firstLine="731"/>
        <w:rPr>
          <w:rStyle w:val="markedcontent"/>
        </w:rPr>
      </w:pPr>
      <w:r>
        <w:rPr>
          <w:color w:val="000000"/>
        </w:rPr>
        <w:t xml:space="preserve">Salah satu objek perjanjian adalah perjanjian hutang piutang atau </w:t>
      </w:r>
      <w:r w:rsidRPr="00825575">
        <w:rPr>
          <w:rStyle w:val="markedcontent"/>
        </w:rPr>
        <w:t>perjanjian pinjam meminjam</w:t>
      </w:r>
      <w:r>
        <w:rPr>
          <w:rStyle w:val="markedcontent"/>
        </w:rPr>
        <w:t xml:space="preserve">. </w:t>
      </w:r>
      <w:r w:rsidRPr="00825575">
        <w:rPr>
          <w:rStyle w:val="markedcontent"/>
        </w:rPr>
        <w:t>Menurut R. Subekti, perjanjian hutang piutang identik dengan perjanjian pinjam meminjam. Pasal 1754 KUHPerdata menyatakan</w:t>
      </w:r>
      <w:r>
        <w:rPr>
          <w:rStyle w:val="markedcontent"/>
        </w:rPr>
        <w:t xml:space="preserve"> p</w:t>
      </w:r>
      <w:r w:rsidRPr="00825575">
        <w:rPr>
          <w:rStyle w:val="markedcontent"/>
        </w:rPr>
        <w:t>injam-meminjam adalah persetujuan dengan mana pihak kreditur</w:t>
      </w:r>
      <w:r w:rsidRPr="00825575">
        <w:br/>
      </w:r>
      <w:r w:rsidRPr="00825575">
        <w:rPr>
          <w:rStyle w:val="markedcontent"/>
        </w:rPr>
        <w:t>memberikan kepada pihak yang lain (debitur) sejumlah barang atau uang yang dapat habis karena pemakaian, dengan syarat bahwa pihak debitur akan mengembalikan sejumlah barang/uang yang sama dari jenis dan keadaan yang sama pula.</w:t>
      </w:r>
      <w:r w:rsidRPr="00825575">
        <w:rPr>
          <w:rStyle w:val="FootnoteReference"/>
        </w:rPr>
        <w:footnoteReference w:id="14"/>
      </w:r>
    </w:p>
    <w:p w:rsidR="00C06970" w:rsidRPr="00825575" w:rsidRDefault="00C06970" w:rsidP="00C06970">
      <w:pPr>
        <w:pStyle w:val="PlainText"/>
        <w:spacing w:line="480" w:lineRule="auto"/>
        <w:ind w:firstLine="748"/>
        <w:jc w:val="both"/>
        <w:rPr>
          <w:rFonts w:ascii="Times New Roman" w:eastAsia="MS Mincho" w:hAnsi="Times New Roman" w:cs="Times New Roman"/>
          <w:sz w:val="24"/>
          <w:szCs w:val="24"/>
        </w:rPr>
      </w:pPr>
      <w:r w:rsidRPr="00825575">
        <w:rPr>
          <w:rFonts w:ascii="Times New Roman" w:eastAsia="MS Mincho" w:hAnsi="Times New Roman" w:cs="Times New Roman"/>
          <w:sz w:val="24"/>
          <w:szCs w:val="24"/>
        </w:rPr>
        <w:t xml:space="preserve">Menurut Sri Soedewi Maschoen Sofwan menyebutkan bahwa yang dimaksud hutang piutang adalah “perjanjian pinjam meminjam baik berupa uang maupun berupa barang. Perjanjian hutang piutang tersebut dapat dilakukan secara </w:t>
      </w:r>
      <w:r w:rsidRPr="00825575">
        <w:rPr>
          <w:rFonts w:ascii="Times New Roman" w:eastAsia="MS Mincho" w:hAnsi="Times New Roman" w:cs="Times New Roman"/>
          <w:sz w:val="24"/>
          <w:szCs w:val="24"/>
        </w:rPr>
        <w:lastRenderedPageBreak/>
        <w:t>tertulis yaitu dengan surat yang ditanda tangani oleh kedua belah pihak ataupun secara lisan. Pihak yang meminjam disebut debitur”.</w:t>
      </w:r>
      <w:r w:rsidRPr="00825575">
        <w:rPr>
          <w:rStyle w:val="FootnoteReference"/>
          <w:rFonts w:ascii="Times New Roman" w:eastAsia="MS Mincho" w:hAnsi="Times New Roman" w:cs="Times New Roman"/>
          <w:sz w:val="24"/>
          <w:szCs w:val="24"/>
        </w:rPr>
        <w:footnoteReference w:customMarkFollows="1" w:id="15"/>
        <w:t>15</w:t>
      </w:r>
    </w:p>
    <w:p w:rsidR="00C06970" w:rsidRPr="00825575" w:rsidRDefault="00C06970" w:rsidP="00C06970">
      <w:pPr>
        <w:pStyle w:val="PlainText"/>
        <w:spacing w:line="480" w:lineRule="auto"/>
        <w:ind w:firstLine="748"/>
        <w:jc w:val="both"/>
        <w:rPr>
          <w:rFonts w:ascii="Times New Roman" w:eastAsia="MS Mincho" w:hAnsi="Times New Roman" w:cs="Times New Roman"/>
          <w:sz w:val="24"/>
          <w:szCs w:val="24"/>
        </w:rPr>
      </w:pPr>
      <w:r w:rsidRPr="00825575">
        <w:rPr>
          <w:rFonts w:ascii="Times New Roman" w:eastAsia="MS Mincho" w:hAnsi="Times New Roman" w:cs="Times New Roman"/>
          <w:sz w:val="24"/>
          <w:szCs w:val="24"/>
        </w:rPr>
        <w:t>Berdasarkan definisi di atas, maka dapat diketahui bahwa :</w:t>
      </w:r>
    </w:p>
    <w:p w:rsidR="00C06970" w:rsidRPr="00825575" w:rsidRDefault="00C06970" w:rsidP="00B7086C">
      <w:pPr>
        <w:pStyle w:val="PlainText"/>
        <w:numPr>
          <w:ilvl w:val="2"/>
          <w:numId w:val="6"/>
        </w:numPr>
        <w:tabs>
          <w:tab w:val="clear" w:pos="2160"/>
          <w:tab w:val="left" w:pos="851"/>
        </w:tabs>
        <w:ind w:left="851"/>
        <w:jc w:val="both"/>
        <w:rPr>
          <w:rFonts w:ascii="Times New Roman" w:eastAsia="MS Mincho" w:hAnsi="Times New Roman" w:cs="Times New Roman"/>
          <w:sz w:val="24"/>
          <w:szCs w:val="24"/>
        </w:rPr>
      </w:pPr>
      <w:r w:rsidRPr="00825575">
        <w:rPr>
          <w:rFonts w:ascii="Times New Roman" w:eastAsia="MS Mincho" w:hAnsi="Times New Roman" w:cs="Times New Roman"/>
          <w:sz w:val="24"/>
          <w:szCs w:val="24"/>
        </w:rPr>
        <w:t>Di dalam perjanjian hutang piutang antara debitur dengan kreditur mempunyai ikatan yang diperjanjikan yaitu berupa uang maupun barang dan ditentukan jumlah nilainya baik secara tertulis maupun secara lisan.</w:t>
      </w:r>
    </w:p>
    <w:p w:rsidR="00C06970" w:rsidRPr="00825575" w:rsidRDefault="00C06970" w:rsidP="00B7086C">
      <w:pPr>
        <w:pStyle w:val="PlainText"/>
        <w:numPr>
          <w:ilvl w:val="2"/>
          <w:numId w:val="6"/>
        </w:numPr>
        <w:tabs>
          <w:tab w:val="clear" w:pos="2160"/>
          <w:tab w:val="left" w:pos="851"/>
        </w:tabs>
        <w:ind w:left="851"/>
        <w:jc w:val="both"/>
        <w:rPr>
          <w:rFonts w:ascii="Times New Roman" w:eastAsia="MS Mincho" w:hAnsi="Times New Roman" w:cs="Times New Roman"/>
          <w:sz w:val="24"/>
          <w:szCs w:val="24"/>
        </w:rPr>
      </w:pPr>
      <w:r w:rsidRPr="00825575">
        <w:rPr>
          <w:rFonts w:ascii="Times New Roman" w:eastAsia="MS Mincho" w:hAnsi="Times New Roman" w:cs="Times New Roman"/>
          <w:sz w:val="24"/>
          <w:szCs w:val="24"/>
        </w:rPr>
        <w:t>Kedua belah pihak mempunyai perhubungan hukum untuk memenuhi hak dan kewajiban masing-masing.</w:t>
      </w:r>
      <w:r w:rsidRPr="00825575">
        <w:rPr>
          <w:rStyle w:val="FootnoteReference"/>
          <w:rFonts w:ascii="Times New Roman" w:eastAsia="MS Mincho" w:hAnsi="Times New Roman" w:cs="Times New Roman"/>
          <w:sz w:val="24"/>
          <w:szCs w:val="24"/>
        </w:rPr>
        <w:footnoteReference w:id="16"/>
      </w:r>
    </w:p>
    <w:p w:rsidR="00C06970" w:rsidRPr="00825575" w:rsidRDefault="00C06970" w:rsidP="00C06970">
      <w:pPr>
        <w:pStyle w:val="PlainText"/>
        <w:tabs>
          <w:tab w:val="left" w:pos="851"/>
        </w:tabs>
        <w:ind w:left="851"/>
        <w:jc w:val="both"/>
        <w:rPr>
          <w:rFonts w:ascii="Times New Roman" w:eastAsia="MS Mincho" w:hAnsi="Times New Roman" w:cs="Times New Roman"/>
          <w:sz w:val="24"/>
          <w:szCs w:val="24"/>
        </w:rPr>
      </w:pPr>
    </w:p>
    <w:p w:rsidR="00C06970" w:rsidRDefault="00C06970" w:rsidP="00C06970">
      <w:pPr>
        <w:spacing w:line="480" w:lineRule="auto"/>
        <w:ind w:firstLine="720"/>
        <w:jc w:val="both"/>
      </w:pPr>
      <w:r w:rsidRPr="00825575">
        <w:t>Perjanjian hutang piutang adalah perjanjian pinjam meminjam baik berupa uang maupun berupa barang. Perjanjian hutang piutang tersebut dapat dilakukan secara tertulis yaitu dengan surat yang ditandatangani oleh kedua belah pihak, ataupun secara lisan. Pihak yang meminjamkan disebut kreditur, sedangkan pihak yang meminjam disebut debitur.</w:t>
      </w:r>
    </w:p>
    <w:p w:rsidR="00C06970" w:rsidRPr="00825575" w:rsidRDefault="00C06970" w:rsidP="00C06970">
      <w:pPr>
        <w:spacing w:line="480" w:lineRule="auto"/>
        <w:ind w:firstLine="720"/>
        <w:jc w:val="both"/>
      </w:pPr>
      <w:r w:rsidRPr="00825575">
        <w:rPr>
          <w:rStyle w:val="markedcontent"/>
        </w:rPr>
        <w:t>Objek perjanjian pinjam-meminjam dalam Pasal 1754 KUHPerdata tersebut dapat berupa barang-barang yang habis karena pemakaian, seperti uang. Uang yang fungsinya sebagai alat tukar dapat dikategorikan sebagai objek perjanjian pinjam-meminjam karena termasuk barang yang habis karena pemakaian.</w:t>
      </w:r>
      <w:r w:rsidRPr="00825575">
        <w:rPr>
          <w:rStyle w:val="FootnoteReference"/>
        </w:rPr>
        <w:footnoteReference w:id="17"/>
      </w:r>
    </w:p>
    <w:p w:rsidR="00C06970" w:rsidRPr="00825575" w:rsidRDefault="00C06970" w:rsidP="00C06970">
      <w:pPr>
        <w:spacing w:line="480" w:lineRule="auto"/>
        <w:ind w:firstLine="720"/>
        <w:jc w:val="both"/>
      </w:pPr>
      <w:r w:rsidRPr="00825575">
        <w:t xml:space="preserve">Berdasarkan uraian-uraian pendapat sarjana tersebut di atas maka dapat diketahui bahwa : </w:t>
      </w:r>
    </w:p>
    <w:p w:rsidR="00C06970" w:rsidRPr="00825575" w:rsidRDefault="00C06970" w:rsidP="00B7086C">
      <w:pPr>
        <w:numPr>
          <w:ilvl w:val="0"/>
          <w:numId w:val="19"/>
        </w:numPr>
        <w:tabs>
          <w:tab w:val="clear" w:pos="720"/>
        </w:tabs>
        <w:jc w:val="both"/>
      </w:pPr>
      <w:r w:rsidRPr="00825575">
        <w:t>Perjanjian hutang piutang antara berhutang (debitur) dengan berpiutang (kreditur) mempunyai ikatan yang diperjanjikan yaitu berupa uang maupun barang dan ditentukan jumlah nilainya baik secara tertulis maupun secara lisan,</w:t>
      </w:r>
    </w:p>
    <w:p w:rsidR="00C06970" w:rsidRPr="00825575" w:rsidRDefault="00C06970" w:rsidP="00B7086C">
      <w:pPr>
        <w:numPr>
          <w:ilvl w:val="0"/>
          <w:numId w:val="19"/>
        </w:numPr>
        <w:tabs>
          <w:tab w:val="clear" w:pos="720"/>
        </w:tabs>
        <w:jc w:val="both"/>
      </w:pPr>
      <w:r w:rsidRPr="00825575">
        <w:lastRenderedPageBreak/>
        <w:t>Kedua belah pihak mempunyai perhubungan hukum untuk memenuhi hak dan kewajiban pihak-pihak,</w:t>
      </w:r>
    </w:p>
    <w:p w:rsidR="00C06970" w:rsidRPr="00825575" w:rsidRDefault="00C06970" w:rsidP="00B7086C">
      <w:pPr>
        <w:numPr>
          <w:ilvl w:val="0"/>
          <w:numId w:val="19"/>
        </w:numPr>
        <w:tabs>
          <w:tab w:val="clear" w:pos="720"/>
        </w:tabs>
        <w:jc w:val="both"/>
      </w:pPr>
      <w:r w:rsidRPr="00825575">
        <w:t xml:space="preserve">Perjanjian hutang piutang mengenal adanya penjamin </w:t>
      </w:r>
      <w:r w:rsidRPr="00825575">
        <w:rPr>
          <w:i/>
          <w:iCs/>
        </w:rPr>
        <w:t>(borgtocht)</w:t>
      </w:r>
      <w:r w:rsidRPr="00825575">
        <w:t xml:space="preserve"> supaya pihak kreditur jangan menderita kerugian terus menerus. Jika debitur dan penjamin hutang tidak menjalankan kewajibannya sesuai perjanjian yang disepakati bersama maka pihak kreditur dapat meminta bantuan melalui peradilan.</w:t>
      </w:r>
      <w:r w:rsidRPr="00825575">
        <w:rPr>
          <w:rStyle w:val="FootnoteReference"/>
        </w:rPr>
        <w:footnoteReference w:id="18"/>
      </w:r>
    </w:p>
    <w:p w:rsidR="00C06970" w:rsidRPr="00825575" w:rsidRDefault="00C06970" w:rsidP="00C06970">
      <w:pPr>
        <w:pStyle w:val="BodyTextIndent2"/>
        <w:spacing w:line="240" w:lineRule="auto"/>
        <w:ind w:left="0" w:firstLine="731"/>
        <w:rPr>
          <w:color w:val="000000"/>
        </w:rPr>
      </w:pPr>
    </w:p>
    <w:p w:rsidR="00C06970" w:rsidRPr="00825575" w:rsidRDefault="00C06970" w:rsidP="00C06970">
      <w:pPr>
        <w:pStyle w:val="BodyTextIndent2"/>
        <w:ind w:left="0" w:firstLine="731"/>
        <w:rPr>
          <w:rStyle w:val="markedcontent"/>
        </w:rPr>
      </w:pPr>
      <w:r w:rsidRPr="00825575">
        <w:rPr>
          <w:rStyle w:val="markedcontent"/>
        </w:rPr>
        <w:t>Unsur yang terdapat dalam perjanjian hutang piutang atau pinjam meminjam uang diantaranya:</w:t>
      </w:r>
    </w:p>
    <w:p w:rsidR="00C06970" w:rsidRPr="00825575" w:rsidRDefault="00C06970" w:rsidP="00B7086C">
      <w:pPr>
        <w:pStyle w:val="BodyTextIndent2"/>
        <w:numPr>
          <w:ilvl w:val="3"/>
          <w:numId w:val="3"/>
        </w:numPr>
        <w:tabs>
          <w:tab w:val="left" w:pos="709"/>
        </w:tabs>
        <w:spacing w:line="240" w:lineRule="auto"/>
        <w:ind w:left="709" w:hanging="283"/>
        <w:rPr>
          <w:rStyle w:val="markedcontent"/>
          <w:color w:val="000000"/>
        </w:rPr>
      </w:pPr>
      <w:r w:rsidRPr="00825575">
        <w:rPr>
          <w:rStyle w:val="markedcontent"/>
        </w:rPr>
        <w:t>Adanya para pihak</w:t>
      </w:r>
    </w:p>
    <w:p w:rsidR="00C06970" w:rsidRPr="00825575" w:rsidRDefault="00C06970" w:rsidP="00C06970">
      <w:pPr>
        <w:pStyle w:val="BodyTextIndent2"/>
        <w:tabs>
          <w:tab w:val="left" w:pos="709"/>
        </w:tabs>
        <w:spacing w:line="240" w:lineRule="auto"/>
        <w:ind w:left="709"/>
        <w:rPr>
          <w:rStyle w:val="markedcontent"/>
          <w:color w:val="000000"/>
        </w:rPr>
      </w:pPr>
      <w:r w:rsidRPr="00825575">
        <w:rPr>
          <w:rStyle w:val="markedcontent"/>
        </w:rPr>
        <w:t>Pihak pertama atau kreditur memberikan prestasi kepada pihak lain</w:t>
      </w:r>
      <w:r w:rsidRPr="00825575">
        <w:br/>
      </w:r>
      <w:r w:rsidRPr="00825575">
        <w:rPr>
          <w:rStyle w:val="markedcontent"/>
        </w:rPr>
        <w:t>sejumlah uang atau barang dengan syarat bahwa pihak kedua atau debitur ini akan mengembalikan sejumlah yang sama dari macam dan keadaan uang atau barang yang sama pula.</w:t>
      </w:r>
    </w:p>
    <w:p w:rsidR="00C06970" w:rsidRPr="00825575" w:rsidRDefault="00C06970" w:rsidP="00B7086C">
      <w:pPr>
        <w:pStyle w:val="BodyTextIndent2"/>
        <w:numPr>
          <w:ilvl w:val="3"/>
          <w:numId w:val="3"/>
        </w:numPr>
        <w:tabs>
          <w:tab w:val="left" w:pos="709"/>
        </w:tabs>
        <w:spacing w:line="240" w:lineRule="auto"/>
        <w:ind w:left="709" w:hanging="283"/>
        <w:rPr>
          <w:rStyle w:val="markedcontent"/>
          <w:color w:val="000000"/>
        </w:rPr>
      </w:pPr>
      <w:r w:rsidRPr="00825575">
        <w:rPr>
          <w:rStyle w:val="markedcontent"/>
        </w:rPr>
        <w:t>Adanya persetujuan</w:t>
      </w:r>
    </w:p>
    <w:p w:rsidR="00C06970" w:rsidRPr="00825575" w:rsidRDefault="00C06970" w:rsidP="00C06970">
      <w:pPr>
        <w:pStyle w:val="BodyTextIndent2"/>
        <w:tabs>
          <w:tab w:val="left" w:pos="709"/>
        </w:tabs>
        <w:spacing w:line="240" w:lineRule="auto"/>
        <w:ind w:left="709"/>
        <w:rPr>
          <w:rStyle w:val="markedcontent"/>
          <w:color w:val="000000"/>
        </w:rPr>
      </w:pPr>
      <w:r w:rsidRPr="00825575">
        <w:rPr>
          <w:rStyle w:val="markedcontent"/>
        </w:rPr>
        <w:t>Dimana pihak pertama dan kedua membuat perjanjian bersama yang menyangkut dengan waktu peminjaman, kewajiban dan hak masing-masing yang dituangkan ke dalam bentuk perjanjian.</w:t>
      </w:r>
    </w:p>
    <w:p w:rsidR="00C06970" w:rsidRPr="00825575" w:rsidRDefault="00C06970" w:rsidP="00B7086C">
      <w:pPr>
        <w:pStyle w:val="BodyTextIndent2"/>
        <w:numPr>
          <w:ilvl w:val="3"/>
          <w:numId w:val="3"/>
        </w:numPr>
        <w:tabs>
          <w:tab w:val="left" w:pos="709"/>
        </w:tabs>
        <w:spacing w:line="240" w:lineRule="auto"/>
        <w:ind w:left="709" w:hanging="283"/>
        <w:rPr>
          <w:rStyle w:val="markedcontent"/>
          <w:color w:val="000000"/>
        </w:rPr>
      </w:pPr>
      <w:r w:rsidRPr="00825575">
        <w:rPr>
          <w:rStyle w:val="markedcontent"/>
        </w:rPr>
        <w:t>Adanya sejumlah barang tertentu</w:t>
      </w:r>
    </w:p>
    <w:p w:rsidR="00C06970" w:rsidRPr="00825575" w:rsidRDefault="00C06970" w:rsidP="00C06970">
      <w:pPr>
        <w:pStyle w:val="BodyTextIndent2"/>
        <w:tabs>
          <w:tab w:val="left" w:pos="709"/>
        </w:tabs>
        <w:spacing w:line="240" w:lineRule="auto"/>
        <w:ind w:left="709"/>
        <w:rPr>
          <w:rStyle w:val="markedcontent"/>
          <w:color w:val="000000"/>
        </w:rPr>
      </w:pPr>
      <w:r w:rsidRPr="00825575">
        <w:rPr>
          <w:rStyle w:val="markedcontent"/>
        </w:rPr>
        <w:t>Barang atau uang tersebut dipercayakan dari pihak pertama atau kreditur kepada pihak kedua atau debitur.</w:t>
      </w:r>
    </w:p>
    <w:p w:rsidR="00C06970" w:rsidRPr="00825575" w:rsidRDefault="00C06970" w:rsidP="00B7086C">
      <w:pPr>
        <w:pStyle w:val="BodyTextIndent2"/>
        <w:numPr>
          <w:ilvl w:val="3"/>
          <w:numId w:val="3"/>
        </w:numPr>
        <w:tabs>
          <w:tab w:val="left" w:pos="709"/>
        </w:tabs>
        <w:spacing w:line="240" w:lineRule="auto"/>
        <w:ind w:left="709" w:hanging="283"/>
        <w:rPr>
          <w:rStyle w:val="markedcontent"/>
          <w:color w:val="000000"/>
        </w:rPr>
      </w:pPr>
      <w:r w:rsidRPr="00825575">
        <w:rPr>
          <w:rStyle w:val="markedcontent"/>
        </w:rPr>
        <w:t>Adanya pengembalian pinjaman</w:t>
      </w:r>
    </w:p>
    <w:p w:rsidR="00C06970" w:rsidRPr="00825575" w:rsidRDefault="00C06970" w:rsidP="00C06970">
      <w:pPr>
        <w:pStyle w:val="BodyTextIndent2"/>
        <w:tabs>
          <w:tab w:val="left" w:pos="709"/>
        </w:tabs>
        <w:spacing w:line="240" w:lineRule="auto"/>
        <w:ind w:left="709"/>
        <w:rPr>
          <w:rStyle w:val="markedcontent"/>
        </w:rPr>
      </w:pPr>
      <w:r w:rsidRPr="00825575">
        <w:rPr>
          <w:rStyle w:val="markedcontent"/>
        </w:rPr>
        <w:t>Pihak debitur akan menyerahkan sejumlah barang atau uang dengan jumlah tertentu kepada pihak kreditur dengan jumlah dan nilai yang sama sesuai dengan yang diperjanjikan.</w:t>
      </w:r>
    </w:p>
    <w:p w:rsidR="00C06970" w:rsidRPr="00825575" w:rsidRDefault="00C06970" w:rsidP="00C06970">
      <w:pPr>
        <w:pStyle w:val="BodyTextIndent2"/>
        <w:tabs>
          <w:tab w:val="left" w:pos="709"/>
        </w:tabs>
        <w:spacing w:line="240" w:lineRule="auto"/>
        <w:ind w:left="709"/>
        <w:rPr>
          <w:rStyle w:val="markedcontent"/>
        </w:rPr>
      </w:pPr>
    </w:p>
    <w:p w:rsidR="00C06970" w:rsidRPr="00825575" w:rsidRDefault="00C06970" w:rsidP="00C06970">
      <w:pPr>
        <w:pStyle w:val="BodyTextIndent2"/>
        <w:tabs>
          <w:tab w:val="left" w:pos="709"/>
        </w:tabs>
        <w:spacing w:line="240" w:lineRule="auto"/>
        <w:ind w:left="709"/>
        <w:rPr>
          <w:color w:val="000000"/>
        </w:rPr>
      </w:pPr>
    </w:p>
    <w:p w:rsidR="00C06970" w:rsidRPr="00825575" w:rsidRDefault="00C06970" w:rsidP="00B7086C">
      <w:pPr>
        <w:pStyle w:val="BodyTextIndent2"/>
        <w:numPr>
          <w:ilvl w:val="1"/>
          <w:numId w:val="4"/>
        </w:numPr>
        <w:ind w:left="360"/>
        <w:rPr>
          <w:b/>
          <w:bCs/>
          <w:color w:val="000000"/>
        </w:rPr>
      </w:pPr>
      <w:r w:rsidRPr="00825575">
        <w:rPr>
          <w:b/>
          <w:bCs/>
          <w:color w:val="000000"/>
        </w:rPr>
        <w:t>Syarat Sahnya Perjanjian Hutang Piutang</w:t>
      </w:r>
    </w:p>
    <w:p w:rsidR="00C06970" w:rsidRPr="00825575" w:rsidRDefault="00C06970" w:rsidP="00C06970">
      <w:pPr>
        <w:pStyle w:val="Title"/>
        <w:tabs>
          <w:tab w:val="left" w:pos="-540"/>
        </w:tabs>
        <w:spacing w:line="480" w:lineRule="auto"/>
        <w:ind w:firstLine="748"/>
        <w:jc w:val="both"/>
        <w:rPr>
          <w:rFonts w:ascii="Times New Roman" w:hAnsi="Times New Roman"/>
          <w:b/>
          <w:bCs/>
          <w:color w:val="000000"/>
        </w:rPr>
      </w:pPr>
      <w:r w:rsidRPr="00825575">
        <w:rPr>
          <w:rFonts w:ascii="Times New Roman" w:hAnsi="Times New Roman"/>
          <w:b/>
          <w:bCs/>
          <w:color w:val="000000"/>
        </w:rPr>
        <w:t>Pasal 1320 KUHPerdata, menyebutkan bahwa untuk sahnya suatu perjanjian  hutang piutang diperlukan 4 (empat) syarat, yaitu :</w:t>
      </w:r>
    </w:p>
    <w:p w:rsidR="00C06970" w:rsidRPr="00825575" w:rsidRDefault="00C06970" w:rsidP="00B7086C">
      <w:pPr>
        <w:pStyle w:val="BodyTextIndent2"/>
        <w:numPr>
          <w:ilvl w:val="0"/>
          <w:numId w:val="12"/>
        </w:numPr>
        <w:tabs>
          <w:tab w:val="clear" w:pos="1275"/>
          <w:tab w:val="num" w:pos="64"/>
          <w:tab w:val="left" w:pos="374"/>
          <w:tab w:val="num" w:pos="1920"/>
        </w:tabs>
        <w:ind w:left="555"/>
        <w:rPr>
          <w:bCs/>
          <w:color w:val="000000"/>
        </w:rPr>
      </w:pPr>
      <w:r w:rsidRPr="00825575">
        <w:rPr>
          <w:bCs/>
          <w:color w:val="000000"/>
        </w:rPr>
        <w:t>Sepakat mereka yang mengikatkan dirinya.</w:t>
      </w:r>
    </w:p>
    <w:p w:rsidR="00C06970" w:rsidRPr="00A30622" w:rsidRDefault="00C06970" w:rsidP="00C06970">
      <w:pPr>
        <w:pStyle w:val="BodyTextIndent2"/>
        <w:spacing w:line="504" w:lineRule="auto"/>
        <w:ind w:left="0" w:firstLine="720"/>
        <w:rPr>
          <w:color w:val="000000"/>
        </w:rPr>
      </w:pPr>
      <w:r w:rsidRPr="00825575">
        <w:rPr>
          <w:color w:val="000000"/>
        </w:rPr>
        <w:t>Sepakat di sini dimaksudkan adalah adanya persesuaian kehendak antara si pemegang hak dengan si pemegang kewajiban, mengenai objek perjanjian. Berarti bahwa kedua pihak haruslah mempunyai kebebasan kehendak tersebut</w:t>
      </w:r>
      <w:r>
        <w:rPr>
          <w:color w:val="000000"/>
        </w:rPr>
        <w:t xml:space="preserve">. </w:t>
      </w:r>
      <w:r w:rsidRPr="00FF3D25">
        <w:rPr>
          <w:rFonts w:eastAsia="MS Mincho"/>
        </w:rPr>
        <w:lastRenderedPageBreak/>
        <w:t>Kesepakaan adalah persesuaian pernyataan kehendak antara satu orang atau lebih dengan pihak lainnya. Kesepakatan yang sesuai itu adalah pernyataannya, karena kehendak itu dapat dilihat atau diketahui orang lain. Ada lima cara terjadinya persesuaian pernyataan kehendak yaitu dengan:</w:t>
      </w:r>
    </w:p>
    <w:p w:rsidR="00C06970" w:rsidRPr="00FF3D25" w:rsidRDefault="00C06970" w:rsidP="00B7086C">
      <w:pPr>
        <w:pStyle w:val="PlainText"/>
        <w:numPr>
          <w:ilvl w:val="0"/>
          <w:numId w:val="26"/>
        </w:numPr>
        <w:tabs>
          <w:tab w:val="left" w:pos="709"/>
        </w:tabs>
        <w:ind w:left="709"/>
        <w:jc w:val="both"/>
        <w:rPr>
          <w:rFonts w:ascii="Times New Roman" w:hAnsi="Times New Roman" w:cs="Times New Roman"/>
          <w:sz w:val="24"/>
          <w:szCs w:val="24"/>
        </w:rPr>
      </w:pPr>
      <w:r w:rsidRPr="00FF3D25">
        <w:rPr>
          <w:rFonts w:ascii="Times New Roman" w:eastAsia="MS Mincho" w:hAnsi="Times New Roman" w:cs="Times New Roman"/>
          <w:sz w:val="24"/>
          <w:szCs w:val="24"/>
        </w:rPr>
        <w:t>Bahasa yang sempurna dan tertulis;</w:t>
      </w:r>
    </w:p>
    <w:p w:rsidR="00C06970" w:rsidRPr="00FF3D25" w:rsidRDefault="00C06970" w:rsidP="00B7086C">
      <w:pPr>
        <w:pStyle w:val="PlainText"/>
        <w:numPr>
          <w:ilvl w:val="0"/>
          <w:numId w:val="26"/>
        </w:numPr>
        <w:tabs>
          <w:tab w:val="left" w:pos="709"/>
        </w:tabs>
        <w:ind w:left="709"/>
        <w:jc w:val="both"/>
        <w:rPr>
          <w:rFonts w:ascii="Times New Roman" w:hAnsi="Times New Roman" w:cs="Times New Roman"/>
          <w:sz w:val="24"/>
          <w:szCs w:val="24"/>
        </w:rPr>
      </w:pPr>
      <w:r w:rsidRPr="00FF3D25">
        <w:rPr>
          <w:rFonts w:ascii="Times New Roman" w:eastAsia="MS Mincho" w:hAnsi="Times New Roman" w:cs="Times New Roman"/>
          <w:sz w:val="24"/>
          <w:szCs w:val="24"/>
        </w:rPr>
        <w:t>Bahasa yang sempurna secara lisan;</w:t>
      </w:r>
    </w:p>
    <w:p w:rsidR="00C06970" w:rsidRPr="00FF3D25" w:rsidRDefault="00C06970" w:rsidP="00B7086C">
      <w:pPr>
        <w:pStyle w:val="PlainText"/>
        <w:numPr>
          <w:ilvl w:val="0"/>
          <w:numId w:val="26"/>
        </w:numPr>
        <w:tabs>
          <w:tab w:val="left" w:pos="709"/>
        </w:tabs>
        <w:ind w:left="709"/>
        <w:jc w:val="both"/>
        <w:rPr>
          <w:rFonts w:ascii="Times New Roman" w:hAnsi="Times New Roman" w:cs="Times New Roman"/>
          <w:sz w:val="24"/>
          <w:szCs w:val="24"/>
        </w:rPr>
      </w:pPr>
      <w:r w:rsidRPr="00FF3D25">
        <w:rPr>
          <w:rFonts w:ascii="Times New Roman" w:eastAsia="MS Mincho" w:hAnsi="Times New Roman" w:cs="Times New Roman"/>
          <w:sz w:val="24"/>
          <w:szCs w:val="24"/>
        </w:rPr>
        <w:t>Bahasa yang tidak sempurna asal dapat diterima oleh pihak lawannya;</w:t>
      </w:r>
    </w:p>
    <w:p w:rsidR="00C06970" w:rsidRPr="00FF3D25" w:rsidRDefault="00C06970" w:rsidP="00B7086C">
      <w:pPr>
        <w:pStyle w:val="PlainText"/>
        <w:numPr>
          <w:ilvl w:val="0"/>
          <w:numId w:val="26"/>
        </w:numPr>
        <w:tabs>
          <w:tab w:val="left" w:pos="709"/>
        </w:tabs>
        <w:ind w:left="709"/>
        <w:jc w:val="both"/>
        <w:rPr>
          <w:rFonts w:ascii="Times New Roman" w:hAnsi="Times New Roman" w:cs="Times New Roman"/>
          <w:sz w:val="24"/>
          <w:szCs w:val="24"/>
        </w:rPr>
      </w:pPr>
      <w:r w:rsidRPr="00FF3D25">
        <w:rPr>
          <w:rFonts w:ascii="Times New Roman" w:eastAsia="MS Mincho" w:hAnsi="Times New Roman" w:cs="Times New Roman"/>
          <w:sz w:val="24"/>
          <w:szCs w:val="24"/>
        </w:rPr>
        <w:t>Bahasa isyarat asal dapat diterima oeh pihak lawannya;</w:t>
      </w:r>
    </w:p>
    <w:p w:rsidR="00C06970" w:rsidRPr="00FF3D25" w:rsidRDefault="00C06970" w:rsidP="00B7086C">
      <w:pPr>
        <w:pStyle w:val="PlainText"/>
        <w:numPr>
          <w:ilvl w:val="0"/>
          <w:numId w:val="26"/>
        </w:numPr>
        <w:tabs>
          <w:tab w:val="left" w:pos="709"/>
        </w:tabs>
        <w:ind w:left="709"/>
        <w:jc w:val="both"/>
        <w:rPr>
          <w:rFonts w:ascii="Times New Roman" w:hAnsi="Times New Roman" w:cs="Times New Roman"/>
          <w:sz w:val="24"/>
          <w:szCs w:val="24"/>
        </w:rPr>
      </w:pPr>
      <w:r w:rsidRPr="00FF3D25">
        <w:rPr>
          <w:rFonts w:ascii="Times New Roman" w:eastAsia="MS Mincho" w:hAnsi="Times New Roman" w:cs="Times New Roman"/>
          <w:sz w:val="24"/>
          <w:szCs w:val="24"/>
        </w:rPr>
        <w:t>Diam atau membisu tetapi asal dipahami atau diterima pihak lawan.</w:t>
      </w:r>
      <w:r w:rsidRPr="00FF3D25">
        <w:rPr>
          <w:rStyle w:val="FootnoteReference"/>
          <w:rFonts w:ascii="Times New Roman" w:eastAsia="MS Mincho" w:hAnsi="Times New Roman" w:cs="Times New Roman"/>
          <w:sz w:val="24"/>
          <w:szCs w:val="24"/>
        </w:rPr>
        <w:footnoteReference w:id="19"/>
      </w:r>
    </w:p>
    <w:p w:rsidR="00C06970" w:rsidRPr="00825575" w:rsidRDefault="00C06970" w:rsidP="00C06970">
      <w:pPr>
        <w:pStyle w:val="BodyTextIndent2"/>
        <w:spacing w:line="240" w:lineRule="auto"/>
        <w:ind w:left="0" w:firstLine="720"/>
        <w:rPr>
          <w:color w:val="000000"/>
        </w:rPr>
      </w:pPr>
    </w:p>
    <w:p w:rsidR="00C06970" w:rsidRPr="00825575" w:rsidRDefault="00C06970" w:rsidP="00C06970">
      <w:pPr>
        <w:pStyle w:val="BodyTextIndent2"/>
        <w:spacing w:line="504" w:lineRule="auto"/>
        <w:ind w:left="0" w:firstLine="720"/>
        <w:rPr>
          <w:color w:val="000000"/>
        </w:rPr>
      </w:pPr>
      <w:r w:rsidRPr="00825575">
        <w:rPr>
          <w:color w:val="000000"/>
        </w:rPr>
        <w:t>Tidak dianggap sah suatu kesepakatan jika diberikan karena :</w:t>
      </w:r>
    </w:p>
    <w:p w:rsidR="00C06970" w:rsidRPr="00825575" w:rsidRDefault="00C06970" w:rsidP="00B7086C">
      <w:pPr>
        <w:pStyle w:val="BodyTextIndent2"/>
        <w:numPr>
          <w:ilvl w:val="0"/>
          <w:numId w:val="13"/>
        </w:numPr>
        <w:tabs>
          <w:tab w:val="clear" w:pos="1155"/>
          <w:tab w:val="left" w:pos="374"/>
          <w:tab w:val="num" w:pos="435"/>
          <w:tab w:val="num" w:pos="1920"/>
        </w:tabs>
        <w:spacing w:line="504" w:lineRule="auto"/>
        <w:ind w:left="435"/>
        <w:rPr>
          <w:color w:val="000000"/>
        </w:rPr>
      </w:pPr>
      <w:r w:rsidRPr="00825575">
        <w:rPr>
          <w:color w:val="000000"/>
        </w:rPr>
        <w:t xml:space="preserve">Salah pengertian </w:t>
      </w:r>
      <w:r w:rsidRPr="00825575">
        <w:rPr>
          <w:i/>
          <w:color w:val="000000"/>
        </w:rPr>
        <w:t>(dwaling)</w:t>
      </w:r>
      <w:r w:rsidRPr="00825575">
        <w:rPr>
          <w:color w:val="000000"/>
        </w:rPr>
        <w:t xml:space="preserve"> atau kekeliruan.</w:t>
      </w:r>
    </w:p>
    <w:p w:rsidR="00C06970" w:rsidRPr="00825575" w:rsidRDefault="00C06970" w:rsidP="00B7086C">
      <w:pPr>
        <w:pStyle w:val="BodyTextIndent2"/>
        <w:numPr>
          <w:ilvl w:val="0"/>
          <w:numId w:val="13"/>
        </w:numPr>
        <w:tabs>
          <w:tab w:val="clear" w:pos="1155"/>
          <w:tab w:val="left" w:pos="374"/>
          <w:tab w:val="num" w:pos="664"/>
          <w:tab w:val="num" w:pos="1920"/>
        </w:tabs>
        <w:spacing w:line="504" w:lineRule="auto"/>
        <w:ind w:left="435"/>
        <w:rPr>
          <w:color w:val="000000"/>
        </w:rPr>
      </w:pPr>
      <w:r w:rsidRPr="00825575">
        <w:rPr>
          <w:color w:val="000000"/>
        </w:rPr>
        <w:t>Pemerasan atau dipaksakan</w:t>
      </w:r>
    </w:p>
    <w:p w:rsidR="00C06970" w:rsidRPr="00825575" w:rsidRDefault="00C06970" w:rsidP="00B7086C">
      <w:pPr>
        <w:pStyle w:val="BodyTextIndent2"/>
        <w:numPr>
          <w:ilvl w:val="0"/>
          <w:numId w:val="13"/>
        </w:numPr>
        <w:tabs>
          <w:tab w:val="clear" w:pos="1155"/>
          <w:tab w:val="left" w:pos="374"/>
          <w:tab w:val="num" w:pos="664"/>
          <w:tab w:val="num" w:pos="1920"/>
        </w:tabs>
        <w:spacing w:line="504" w:lineRule="auto"/>
        <w:ind w:left="435"/>
        <w:rPr>
          <w:color w:val="000000"/>
        </w:rPr>
      </w:pPr>
      <w:r w:rsidRPr="00825575">
        <w:rPr>
          <w:color w:val="000000"/>
        </w:rPr>
        <w:t>Adanya penipuan”.</w:t>
      </w:r>
      <w:r w:rsidRPr="00825575">
        <w:rPr>
          <w:rStyle w:val="FootnoteReference"/>
          <w:color w:val="000000"/>
        </w:rPr>
        <w:footnoteReference w:id="20"/>
      </w:r>
    </w:p>
    <w:p w:rsidR="00C06970" w:rsidRDefault="00C06970" w:rsidP="00C06970">
      <w:pPr>
        <w:pStyle w:val="PlainText"/>
        <w:spacing w:line="497" w:lineRule="auto"/>
        <w:ind w:firstLine="720"/>
        <w:jc w:val="both"/>
        <w:rPr>
          <w:rFonts w:ascii="Times New Roman" w:hAnsi="Times New Roman" w:cs="Times New Roman"/>
          <w:sz w:val="24"/>
          <w:szCs w:val="24"/>
        </w:rPr>
      </w:pPr>
      <w:r w:rsidRPr="00FF3D25">
        <w:rPr>
          <w:rFonts w:ascii="Times New Roman" w:hAnsi="Times New Roman" w:cs="Times New Roman"/>
          <w:sz w:val="24"/>
          <w:szCs w:val="24"/>
        </w:rPr>
        <w:t>Pernyataan  kehendak tidak selalu harus dinyatakan secara tegas namun dapat dengan tingkah laku atau hal-hal lain yang mengungkapkan pernyataan kehendak para pihak.</w:t>
      </w:r>
      <w:r w:rsidRPr="00FF3D25">
        <w:rPr>
          <w:rStyle w:val="FootnoteReference"/>
          <w:rFonts w:ascii="Times New Roman" w:hAnsi="Times New Roman" w:cs="Times New Roman"/>
          <w:sz w:val="24"/>
          <w:szCs w:val="24"/>
        </w:rPr>
        <w:footnoteReference w:id="21"/>
      </w:r>
      <w:r w:rsidRPr="00FF3D25">
        <w:rPr>
          <w:rFonts w:ascii="Times New Roman" w:hAnsi="Times New Roman" w:cs="Times New Roman"/>
          <w:sz w:val="24"/>
          <w:szCs w:val="24"/>
        </w:rPr>
        <w:t xml:space="preserve"> Pada dasarnya cara yang paling banyak dilakukan oleh para pihak yaitu dengan bahasa yang sempurna secara lisan dan secara tertulis. “Tujuan pembuaan perjanjian secara tertulis adalah agar memberikan kepastian hukum bagi para pihak dan sebagai alat bukti yang sempurna apabila timbul sengketa di kemudian hari”.</w:t>
      </w:r>
      <w:r w:rsidRPr="00FF3D25">
        <w:rPr>
          <w:rStyle w:val="FootnoteReference"/>
          <w:rFonts w:ascii="Times New Roman" w:hAnsi="Times New Roman" w:cs="Times New Roman"/>
          <w:sz w:val="24"/>
          <w:szCs w:val="24"/>
        </w:rPr>
        <w:footnoteReference w:id="22"/>
      </w:r>
    </w:p>
    <w:p w:rsidR="00C06970" w:rsidRDefault="00C06970" w:rsidP="00C06970">
      <w:pPr>
        <w:pStyle w:val="PlainText"/>
        <w:spacing w:line="497" w:lineRule="auto"/>
        <w:ind w:firstLine="720"/>
        <w:jc w:val="both"/>
        <w:rPr>
          <w:rFonts w:ascii="Times New Roman" w:hAnsi="Times New Roman" w:cs="Times New Roman"/>
          <w:sz w:val="24"/>
          <w:szCs w:val="24"/>
        </w:rPr>
      </w:pPr>
      <w:r w:rsidRPr="00FF3D25">
        <w:rPr>
          <w:rFonts w:ascii="Times New Roman" w:hAnsi="Times New Roman" w:cs="Times New Roman"/>
          <w:sz w:val="24"/>
          <w:szCs w:val="24"/>
        </w:rPr>
        <w:t xml:space="preserve">Kesepakatan yang merupakan pernyataan kehendak para pihak dibentuk oleh dua unsur yaitu unsur penawaran dan penerimaan. Penawaran </w:t>
      </w:r>
      <w:r w:rsidRPr="00FF3D25">
        <w:rPr>
          <w:rFonts w:ascii="Times New Roman" w:hAnsi="Times New Roman" w:cs="Times New Roman"/>
          <w:i/>
          <w:sz w:val="24"/>
          <w:szCs w:val="24"/>
        </w:rPr>
        <w:t xml:space="preserve">aanbod, </w:t>
      </w:r>
      <w:r w:rsidRPr="00FF3D25">
        <w:rPr>
          <w:rFonts w:ascii="Times New Roman" w:hAnsi="Times New Roman" w:cs="Times New Roman"/>
          <w:i/>
          <w:sz w:val="24"/>
          <w:szCs w:val="24"/>
        </w:rPr>
        <w:lastRenderedPageBreak/>
        <w:t>offerte, offer)</w:t>
      </w:r>
      <w:r w:rsidRPr="00FF3D25">
        <w:rPr>
          <w:rFonts w:ascii="Times New Roman" w:hAnsi="Times New Roman" w:cs="Times New Roman"/>
          <w:sz w:val="24"/>
          <w:szCs w:val="24"/>
        </w:rPr>
        <w:t xml:space="preserve"> diartikan sebagai pernyataan kehendak yang mengandung usul untk mengadakan perjanjian. Usul ini mencakup </w:t>
      </w:r>
      <w:r w:rsidRPr="00FF3D25">
        <w:rPr>
          <w:rFonts w:ascii="Times New Roman" w:hAnsi="Times New Roman" w:cs="Times New Roman"/>
          <w:i/>
          <w:sz w:val="24"/>
          <w:szCs w:val="24"/>
        </w:rPr>
        <w:t xml:space="preserve"> esensiala</w:t>
      </w:r>
      <w:r w:rsidRPr="00FF3D25">
        <w:rPr>
          <w:rFonts w:ascii="Times New Roman" w:hAnsi="Times New Roman" w:cs="Times New Roman"/>
          <w:sz w:val="24"/>
          <w:szCs w:val="24"/>
        </w:rPr>
        <w:t xml:space="preserve"> perjanjian yang akan ditutup, sedangkan penerimaan </w:t>
      </w:r>
      <w:r w:rsidRPr="00FF3D25">
        <w:rPr>
          <w:rFonts w:ascii="Times New Roman" w:hAnsi="Times New Roman" w:cs="Times New Roman"/>
          <w:i/>
          <w:sz w:val="24"/>
          <w:szCs w:val="24"/>
        </w:rPr>
        <w:t>aanvarding, acceptatie, acceptance)</w:t>
      </w:r>
      <w:r w:rsidRPr="00FF3D25">
        <w:rPr>
          <w:rFonts w:ascii="Times New Roman" w:hAnsi="Times New Roman" w:cs="Times New Roman"/>
          <w:sz w:val="24"/>
          <w:szCs w:val="24"/>
        </w:rPr>
        <w:t xml:space="preserve"> merupakan pernyataan setuju dari pihak lain yang ditawari.</w:t>
      </w:r>
      <w:r w:rsidRPr="00FF3D25">
        <w:rPr>
          <w:rStyle w:val="FootnoteReference"/>
          <w:rFonts w:ascii="Times New Roman" w:hAnsi="Times New Roman" w:cs="Times New Roman"/>
          <w:sz w:val="24"/>
          <w:szCs w:val="24"/>
        </w:rPr>
        <w:footnoteReference w:id="23"/>
      </w:r>
    </w:p>
    <w:p w:rsidR="00C06970" w:rsidRPr="00825575" w:rsidRDefault="00C06970" w:rsidP="00C06970">
      <w:pPr>
        <w:pStyle w:val="BodyTextIndent2"/>
        <w:spacing w:line="456" w:lineRule="auto"/>
        <w:ind w:left="0" w:firstLine="720"/>
        <w:rPr>
          <w:color w:val="000000"/>
        </w:rPr>
      </w:pPr>
      <w:r w:rsidRPr="00825575">
        <w:rPr>
          <w:color w:val="000000"/>
        </w:rPr>
        <w:t xml:space="preserve">Persetujuan harus diberikan secara bebas dan persetujuan yang diberikan karena salah pengertian </w:t>
      </w:r>
      <w:r w:rsidRPr="00825575">
        <w:rPr>
          <w:i/>
          <w:color w:val="000000"/>
        </w:rPr>
        <w:t>(dwaling),</w:t>
      </w:r>
      <w:r w:rsidRPr="00825575">
        <w:rPr>
          <w:color w:val="000000"/>
        </w:rPr>
        <w:t xml:space="preserve"> Paksaan </w:t>
      </w:r>
      <w:r w:rsidRPr="00825575">
        <w:rPr>
          <w:i/>
          <w:color w:val="000000"/>
        </w:rPr>
        <w:t>(dwang)</w:t>
      </w:r>
      <w:r w:rsidRPr="00825575">
        <w:rPr>
          <w:color w:val="000000"/>
        </w:rPr>
        <w:t xml:space="preserve"> dan penipuan </w:t>
      </w:r>
      <w:r w:rsidRPr="00825575">
        <w:rPr>
          <w:i/>
          <w:color w:val="000000"/>
        </w:rPr>
        <w:t>(bedrog)</w:t>
      </w:r>
      <w:r w:rsidRPr="00825575">
        <w:rPr>
          <w:color w:val="000000"/>
        </w:rPr>
        <w:t xml:space="preserve"> berarti dalam persetujuan yang diberikan jelas merupakan persetujuan kehendak yang cacat. Terhadap persetujuan yang demikian dapat dilakukan pembatalan, tapi bukan batal dengan sendirinya.</w:t>
      </w:r>
    </w:p>
    <w:p w:rsidR="00C06970" w:rsidRPr="00825575" w:rsidRDefault="00C06970" w:rsidP="00C06970">
      <w:pPr>
        <w:pStyle w:val="BodyTextIndent2"/>
        <w:ind w:left="0" w:firstLine="720"/>
        <w:rPr>
          <w:color w:val="000000"/>
        </w:rPr>
      </w:pPr>
      <w:r w:rsidRPr="00825575">
        <w:rPr>
          <w:color w:val="000000"/>
        </w:rPr>
        <w:t xml:space="preserve">Mengenai salah duga atau salah pengertian yang dapat dibatalkan harus mengenai inti sari pokok persetujuan. Jadi harus mengenai objek atau prestasi yang dikehendaki. Salah pegertian </w:t>
      </w:r>
      <w:r w:rsidRPr="00825575">
        <w:rPr>
          <w:i/>
          <w:color w:val="000000"/>
        </w:rPr>
        <w:t>(dwaling)</w:t>
      </w:r>
      <w:r w:rsidRPr="00825575">
        <w:rPr>
          <w:color w:val="000000"/>
        </w:rPr>
        <w:t xml:space="preserve"> mengenai orangnya tidak menyebabkan persetujuan dapat batal. Hanya salah pengertian terhadap objek yang menyebabkan persetujuan dapat batal. Dengan demikian salah duga atau salah pengertian yang menyebabkan lenyapnya persetujuan harus mengenai :</w:t>
      </w:r>
    </w:p>
    <w:p w:rsidR="00C06970" w:rsidRPr="00825575" w:rsidRDefault="00C06970" w:rsidP="00B7086C">
      <w:pPr>
        <w:pStyle w:val="BodyTextIndent2"/>
        <w:numPr>
          <w:ilvl w:val="0"/>
          <w:numId w:val="14"/>
        </w:numPr>
        <w:tabs>
          <w:tab w:val="clear" w:pos="1155"/>
          <w:tab w:val="num" w:pos="-547"/>
          <w:tab w:val="left" w:pos="374"/>
        </w:tabs>
        <w:ind w:left="435"/>
        <w:rPr>
          <w:color w:val="000000"/>
        </w:rPr>
      </w:pPr>
      <w:r w:rsidRPr="00825575">
        <w:rPr>
          <w:color w:val="000000"/>
        </w:rPr>
        <w:t>Pokok atau maksud objek persetujuan</w:t>
      </w:r>
    </w:p>
    <w:p w:rsidR="00C06970" w:rsidRPr="00825575" w:rsidRDefault="00C06970" w:rsidP="00B7086C">
      <w:pPr>
        <w:pStyle w:val="BodyTextIndent2"/>
        <w:numPr>
          <w:ilvl w:val="0"/>
          <w:numId w:val="14"/>
        </w:numPr>
        <w:tabs>
          <w:tab w:val="clear" w:pos="1155"/>
          <w:tab w:val="left" w:pos="374"/>
        </w:tabs>
        <w:ind w:left="374" w:hanging="374"/>
        <w:rPr>
          <w:color w:val="000000"/>
        </w:rPr>
      </w:pPr>
      <w:r w:rsidRPr="00825575">
        <w:rPr>
          <w:color w:val="000000"/>
        </w:rPr>
        <w:t>Kedudukan hukum subjek yang membuat persetujuan</w:t>
      </w:r>
    </w:p>
    <w:p w:rsidR="00C06970" w:rsidRPr="00825575" w:rsidRDefault="00C06970" w:rsidP="00B7086C">
      <w:pPr>
        <w:pStyle w:val="BodyTextIndent2"/>
        <w:numPr>
          <w:ilvl w:val="0"/>
          <w:numId w:val="14"/>
        </w:numPr>
        <w:tabs>
          <w:tab w:val="clear" w:pos="1155"/>
          <w:tab w:val="left" w:pos="374"/>
        </w:tabs>
        <w:ind w:left="374" w:hanging="374"/>
        <w:rPr>
          <w:color w:val="000000"/>
        </w:rPr>
      </w:pPr>
      <w:r w:rsidRPr="00825575">
        <w:rPr>
          <w:color w:val="000000"/>
        </w:rPr>
        <w:t>Hak subjek hukum yang bersangkutan.</w:t>
      </w:r>
      <w:r w:rsidRPr="00825575">
        <w:rPr>
          <w:rStyle w:val="FootnoteReference"/>
          <w:color w:val="000000"/>
        </w:rPr>
        <w:footnoteReference w:id="24"/>
      </w:r>
    </w:p>
    <w:p w:rsidR="00C06970" w:rsidRPr="00825575" w:rsidRDefault="00C06970" w:rsidP="00C06970">
      <w:pPr>
        <w:pStyle w:val="BodyTextIndent2"/>
        <w:ind w:left="0" w:firstLine="720"/>
        <w:rPr>
          <w:color w:val="000000"/>
        </w:rPr>
      </w:pPr>
      <w:r w:rsidRPr="00825575">
        <w:rPr>
          <w:color w:val="000000"/>
        </w:rPr>
        <w:t xml:space="preserve">Paksaan yang dapat melenyapkan masalah perizinan dalam persetujuan ialah paksaan bersifat tidak adanya pilihan. Sedemikian rupa paksaan kekerasan yang diancamkan, sehingga orang yang bersangkutan tidak mempunyai pilihan lain selain melakukan perbuatan yang dipaksakan. Paksaan itu sifatnya mutlak </w:t>
      </w:r>
      <w:r w:rsidRPr="00825575">
        <w:rPr>
          <w:color w:val="000000"/>
        </w:rPr>
        <w:lastRenderedPageBreak/>
        <w:t>atau absolut yang menyebabkan seorang terpaksa mengikuti kehendak orang yang memaksanya sehingga tidak dapat menghindar dari paksaan tersebut.</w:t>
      </w:r>
    </w:p>
    <w:p w:rsidR="00C06970" w:rsidRPr="00825575" w:rsidRDefault="00C06970" w:rsidP="00C06970">
      <w:pPr>
        <w:pStyle w:val="BodyTextIndent2"/>
        <w:spacing w:line="504" w:lineRule="auto"/>
        <w:ind w:left="0" w:firstLine="720"/>
        <w:rPr>
          <w:color w:val="000000"/>
        </w:rPr>
      </w:pPr>
      <w:r w:rsidRPr="00825575">
        <w:rPr>
          <w:color w:val="000000"/>
        </w:rPr>
        <w:t>Berbeda halnya dengan paksaan psikis, di sini sifat paksaan relatif yang memberi kemungkinan kepada pihak yang dipaksa melakukan pilihan kehendak. Seseorang itu masih dapat mengelak dari paksaan dimaksud. Selanjutnya perizinan yang diberikan dalam persetujuan diperoleh dengan jalan penipuan, hal ini juga mengakibatkan peizinan dalam persetujuan dianggap tidak ada. Persetujuan yang diperoleh dengan jalan tipu muslihat berarti persetujuan tersebut tidak ada. Penipuan itu harus berupa tipu muslihat hingga sesuatu yang tidak benar terkesan merupakan gambaran keadaan dan kejadian yang sungguh-sungguh benar tentang sesuatu hal.</w:t>
      </w:r>
    </w:p>
    <w:p w:rsidR="00C06970" w:rsidRPr="00825575" w:rsidRDefault="00C06970" w:rsidP="00C06970">
      <w:pPr>
        <w:pStyle w:val="BodyTextIndent2"/>
        <w:spacing w:line="240" w:lineRule="auto"/>
        <w:ind w:left="426"/>
        <w:rPr>
          <w:color w:val="000000"/>
        </w:rPr>
      </w:pPr>
      <w:r w:rsidRPr="00825575">
        <w:rPr>
          <w:color w:val="000000"/>
        </w:rPr>
        <w:t>Sesuatu baru disebut tipu muslihat apabila :</w:t>
      </w:r>
    </w:p>
    <w:p w:rsidR="00C06970" w:rsidRPr="00825575" w:rsidRDefault="00C06970" w:rsidP="00B7086C">
      <w:pPr>
        <w:pStyle w:val="BodyTextIndent2"/>
        <w:numPr>
          <w:ilvl w:val="0"/>
          <w:numId w:val="15"/>
        </w:numPr>
        <w:tabs>
          <w:tab w:val="clear" w:pos="1155"/>
          <w:tab w:val="left" w:pos="709"/>
          <w:tab w:val="num" w:pos="861"/>
        </w:tabs>
        <w:spacing w:line="240" w:lineRule="auto"/>
        <w:ind w:left="861"/>
        <w:rPr>
          <w:color w:val="000000"/>
        </w:rPr>
      </w:pPr>
      <w:r w:rsidRPr="00825575">
        <w:rPr>
          <w:color w:val="000000"/>
        </w:rPr>
        <w:t>Hal itu merupakan kebohongan yang diatur rapi</w:t>
      </w:r>
    </w:p>
    <w:p w:rsidR="00C06970" w:rsidRDefault="00C06970" w:rsidP="00B7086C">
      <w:pPr>
        <w:pStyle w:val="BodyTextIndent2"/>
        <w:numPr>
          <w:ilvl w:val="0"/>
          <w:numId w:val="15"/>
        </w:numPr>
        <w:tabs>
          <w:tab w:val="clear" w:pos="1155"/>
          <w:tab w:val="left" w:pos="709"/>
        </w:tabs>
        <w:spacing w:line="240" w:lineRule="auto"/>
        <w:ind w:left="709" w:hanging="283"/>
        <w:rPr>
          <w:color w:val="000000"/>
        </w:rPr>
      </w:pPr>
      <w:r w:rsidRPr="00825575">
        <w:rPr>
          <w:color w:val="000000"/>
        </w:rPr>
        <w:t>Sesuai pula dengan taraf pendidikan kecakapan orang yang ditipu. Kalau yang ditipu tadi seorang terpelajar dan hanya dengan tipuan yang sangat rendah dia sudah percaya, tentu dianggap tidak ada penipuan.</w:t>
      </w:r>
      <w:r w:rsidRPr="00825575">
        <w:rPr>
          <w:rStyle w:val="FootnoteReference"/>
          <w:color w:val="000000"/>
        </w:rPr>
        <w:footnoteReference w:id="25"/>
      </w:r>
    </w:p>
    <w:p w:rsidR="00C06970" w:rsidRPr="00FF3D25" w:rsidRDefault="00C06970" w:rsidP="00C06970">
      <w:pPr>
        <w:pStyle w:val="PlainText"/>
        <w:ind w:firstLine="720"/>
        <w:jc w:val="both"/>
        <w:rPr>
          <w:rFonts w:ascii="Times New Roman" w:hAnsi="Times New Roman" w:cs="Times New Roman"/>
          <w:sz w:val="24"/>
          <w:szCs w:val="24"/>
        </w:rPr>
      </w:pPr>
    </w:p>
    <w:p w:rsidR="00C06970" w:rsidRPr="00FF3D25" w:rsidRDefault="00C06970" w:rsidP="00B7086C">
      <w:pPr>
        <w:pStyle w:val="PlainText"/>
        <w:numPr>
          <w:ilvl w:val="0"/>
          <w:numId w:val="12"/>
        </w:numPr>
        <w:tabs>
          <w:tab w:val="clear" w:pos="1275"/>
          <w:tab w:val="left" w:pos="426"/>
        </w:tabs>
        <w:spacing w:line="480" w:lineRule="auto"/>
        <w:ind w:left="426" w:hanging="426"/>
        <w:jc w:val="both"/>
        <w:rPr>
          <w:rFonts w:ascii="Times New Roman" w:eastAsia="MS Mincho" w:hAnsi="Times New Roman" w:cs="Times New Roman"/>
          <w:sz w:val="24"/>
          <w:szCs w:val="24"/>
        </w:rPr>
      </w:pPr>
      <w:r w:rsidRPr="00FF3D25">
        <w:rPr>
          <w:rFonts w:ascii="Times New Roman" w:eastAsia="MS Mincho" w:hAnsi="Times New Roman" w:cs="Times New Roman"/>
          <w:sz w:val="24"/>
          <w:szCs w:val="24"/>
        </w:rPr>
        <w:t>Kecakapan untuk membuat suatu perjanjian.</w:t>
      </w:r>
    </w:p>
    <w:p w:rsidR="00C06970" w:rsidRDefault="00C06970" w:rsidP="00C06970">
      <w:pPr>
        <w:pStyle w:val="PlainText"/>
        <w:spacing w:line="480" w:lineRule="auto"/>
        <w:ind w:firstLine="720"/>
        <w:jc w:val="both"/>
        <w:rPr>
          <w:rFonts w:ascii="Times New Roman" w:hAnsi="Times New Roman" w:cs="Times New Roman"/>
          <w:sz w:val="24"/>
          <w:szCs w:val="24"/>
        </w:rPr>
      </w:pPr>
      <w:r w:rsidRPr="00FF3D25">
        <w:rPr>
          <w:rFonts w:ascii="Times New Roman" w:hAnsi="Times New Roman" w:cs="Times New Roman"/>
          <w:sz w:val="24"/>
          <w:szCs w:val="24"/>
        </w:rPr>
        <w:t>Kecakapan bertindak adalah kecakapan atau kemampuan untuk melakukan suatu perbuatan hukum. Perbuatan hukum adalah perbuatan yang akan menimbulkan akibat hukum. Orang-orang yang akan mengadakan perjanjian haruslah rang-orang yang cakap dan mempunyai wewenang untuk melakukan perbuatan hukum sebagaimana yang ditentukan dalam undang-undang. Orang yang cakap atau mempuyai wewenang untuk melakukan perbuatan hukum adalah orang yang sudah dewasa.</w:t>
      </w:r>
      <w:r w:rsidRPr="00FF3D25">
        <w:rPr>
          <w:rStyle w:val="FootnoteReference"/>
          <w:rFonts w:ascii="Times New Roman" w:hAnsi="Times New Roman" w:cs="Times New Roman"/>
          <w:sz w:val="24"/>
          <w:szCs w:val="24"/>
        </w:rPr>
        <w:t xml:space="preserve"> </w:t>
      </w:r>
    </w:p>
    <w:p w:rsidR="00C06970" w:rsidRPr="00FF3D25" w:rsidRDefault="00C06970" w:rsidP="00C06970">
      <w:pPr>
        <w:pStyle w:val="PlainText"/>
        <w:spacing w:line="480" w:lineRule="auto"/>
        <w:ind w:firstLine="720"/>
        <w:jc w:val="both"/>
        <w:rPr>
          <w:rFonts w:ascii="Times New Roman" w:hAnsi="Times New Roman" w:cs="Times New Roman"/>
          <w:sz w:val="24"/>
          <w:szCs w:val="24"/>
        </w:rPr>
      </w:pPr>
      <w:r w:rsidRPr="00FF3D25">
        <w:rPr>
          <w:rFonts w:ascii="Times New Roman" w:hAnsi="Times New Roman" w:cs="Times New Roman"/>
          <w:sz w:val="24"/>
          <w:szCs w:val="24"/>
        </w:rPr>
        <w:lastRenderedPageBreak/>
        <w:t xml:space="preserve">Orang yang tidak berwenang untuk melakukan perbuatan hukum adalah  sebagaimana diatur dala Pasal 1330 KUH Perdata yaitu: </w:t>
      </w:r>
    </w:p>
    <w:p w:rsidR="00C06970" w:rsidRPr="00FF3D25" w:rsidRDefault="00C06970" w:rsidP="00B7086C">
      <w:pPr>
        <w:pStyle w:val="PlainText"/>
        <w:numPr>
          <w:ilvl w:val="4"/>
          <w:numId w:val="24"/>
        </w:numPr>
        <w:ind w:left="709" w:hanging="283"/>
        <w:jc w:val="both"/>
        <w:rPr>
          <w:rFonts w:ascii="Times New Roman" w:eastAsia="MS Mincho" w:hAnsi="Times New Roman" w:cs="Times New Roman"/>
          <w:sz w:val="24"/>
          <w:szCs w:val="24"/>
        </w:rPr>
      </w:pPr>
      <w:r w:rsidRPr="00FF3D25">
        <w:rPr>
          <w:rFonts w:ascii="Times New Roman" w:hAnsi="Times New Roman" w:cs="Times New Roman"/>
          <w:sz w:val="24"/>
          <w:szCs w:val="24"/>
        </w:rPr>
        <w:t xml:space="preserve">Anak dibawah umur </w:t>
      </w:r>
      <w:r w:rsidRPr="00FF3D25">
        <w:rPr>
          <w:rFonts w:ascii="Times New Roman" w:hAnsi="Times New Roman" w:cs="Times New Roman"/>
          <w:i/>
          <w:sz w:val="24"/>
          <w:szCs w:val="24"/>
        </w:rPr>
        <w:t>(minderjarigheid)</w:t>
      </w:r>
      <w:r w:rsidRPr="00FF3D25">
        <w:rPr>
          <w:rFonts w:ascii="Times New Roman" w:hAnsi="Times New Roman" w:cs="Times New Roman"/>
          <w:sz w:val="24"/>
          <w:szCs w:val="24"/>
        </w:rPr>
        <w:t xml:space="preserve">; </w:t>
      </w:r>
    </w:p>
    <w:p w:rsidR="00C06970" w:rsidRPr="00FF3D25" w:rsidRDefault="00C06970" w:rsidP="00B7086C">
      <w:pPr>
        <w:pStyle w:val="PlainText"/>
        <w:numPr>
          <w:ilvl w:val="4"/>
          <w:numId w:val="24"/>
        </w:numPr>
        <w:ind w:left="709" w:hanging="283"/>
        <w:jc w:val="both"/>
        <w:rPr>
          <w:rFonts w:ascii="Times New Roman" w:eastAsia="MS Mincho" w:hAnsi="Times New Roman" w:cs="Times New Roman"/>
          <w:sz w:val="24"/>
          <w:szCs w:val="24"/>
        </w:rPr>
      </w:pPr>
      <w:r w:rsidRPr="00FF3D25">
        <w:rPr>
          <w:rFonts w:ascii="Times New Roman" w:hAnsi="Times New Roman" w:cs="Times New Roman"/>
          <w:sz w:val="24"/>
          <w:szCs w:val="24"/>
        </w:rPr>
        <w:t xml:space="preserve">Orang yang ditaruh di bawah pengampuan; </w:t>
      </w:r>
    </w:p>
    <w:p w:rsidR="00C06970" w:rsidRPr="00FF3D25" w:rsidRDefault="00C06970" w:rsidP="00B7086C">
      <w:pPr>
        <w:pStyle w:val="PlainText"/>
        <w:numPr>
          <w:ilvl w:val="4"/>
          <w:numId w:val="24"/>
        </w:numPr>
        <w:ind w:left="709" w:hanging="283"/>
        <w:jc w:val="both"/>
        <w:rPr>
          <w:rFonts w:ascii="Times New Roman" w:eastAsia="MS Mincho" w:hAnsi="Times New Roman" w:cs="Times New Roman"/>
          <w:sz w:val="24"/>
          <w:szCs w:val="24"/>
        </w:rPr>
      </w:pPr>
      <w:r w:rsidRPr="00FF3D25">
        <w:rPr>
          <w:rFonts w:ascii="Times New Roman" w:hAnsi="Times New Roman" w:cs="Times New Roman"/>
          <w:sz w:val="24"/>
          <w:szCs w:val="24"/>
        </w:rPr>
        <w:t>Isteri. Kedudukan isteri dalam perkembangannya dapat melakukan perbuatan hkum sebagaimana diatur dalam Pasal 31 Undang-Undang Nomor  1 Tahun 1974 dan dikeluarkannya Surat Edaran Mahkamah Agung Nomor 3 Tahun 1963.</w:t>
      </w:r>
      <w:r w:rsidRPr="00FF3D25">
        <w:rPr>
          <w:rStyle w:val="FootnoteReference"/>
          <w:rFonts w:ascii="Times New Roman" w:hAnsi="Times New Roman" w:cs="Times New Roman"/>
          <w:sz w:val="24"/>
          <w:szCs w:val="24"/>
        </w:rPr>
        <w:footnoteReference w:id="26"/>
      </w:r>
    </w:p>
    <w:p w:rsidR="00C06970" w:rsidRPr="00FF3D25" w:rsidRDefault="00C06970" w:rsidP="00C06970">
      <w:pPr>
        <w:pStyle w:val="PlainText"/>
        <w:ind w:left="709"/>
        <w:jc w:val="both"/>
        <w:rPr>
          <w:rFonts w:ascii="Times New Roman" w:eastAsia="MS Mincho" w:hAnsi="Times New Roman" w:cs="Times New Roman"/>
          <w:sz w:val="24"/>
          <w:szCs w:val="24"/>
        </w:rPr>
      </w:pPr>
    </w:p>
    <w:p w:rsidR="00C06970" w:rsidRPr="00FF3D25" w:rsidRDefault="00C06970" w:rsidP="00B7086C">
      <w:pPr>
        <w:pStyle w:val="PlainText"/>
        <w:numPr>
          <w:ilvl w:val="0"/>
          <w:numId w:val="12"/>
        </w:numPr>
        <w:tabs>
          <w:tab w:val="clear" w:pos="1275"/>
          <w:tab w:val="num" w:pos="426"/>
        </w:tabs>
        <w:spacing w:line="480" w:lineRule="auto"/>
        <w:ind w:left="426" w:hanging="426"/>
        <w:jc w:val="both"/>
        <w:rPr>
          <w:rFonts w:ascii="Times New Roman" w:eastAsia="MS Mincho" w:hAnsi="Times New Roman" w:cs="Times New Roman"/>
          <w:sz w:val="24"/>
          <w:szCs w:val="24"/>
        </w:rPr>
      </w:pPr>
      <w:r w:rsidRPr="00FF3D25">
        <w:rPr>
          <w:rFonts w:ascii="Times New Roman" w:eastAsia="MS Mincho" w:hAnsi="Times New Roman" w:cs="Times New Roman"/>
          <w:sz w:val="24"/>
          <w:szCs w:val="24"/>
        </w:rPr>
        <w:t>Suatu hal tertentu.</w:t>
      </w:r>
    </w:p>
    <w:p w:rsidR="00C06970" w:rsidRPr="00FF3D25" w:rsidRDefault="00C06970" w:rsidP="00C06970">
      <w:pPr>
        <w:pStyle w:val="PlainText"/>
        <w:spacing w:line="480" w:lineRule="auto"/>
        <w:ind w:firstLine="720"/>
        <w:jc w:val="both"/>
        <w:rPr>
          <w:rFonts w:ascii="Times New Roman" w:hAnsi="Times New Roman" w:cs="Times New Roman"/>
          <w:sz w:val="24"/>
          <w:szCs w:val="24"/>
        </w:rPr>
      </w:pPr>
      <w:r w:rsidRPr="00FF3D25">
        <w:rPr>
          <w:rFonts w:ascii="Times New Roman" w:hAnsi="Times New Roman" w:cs="Times New Roman"/>
          <w:sz w:val="24"/>
          <w:szCs w:val="24"/>
        </w:rPr>
        <w:t>Suatu hal tertentu adalah perihal yang merupakan objek dari suatu kontrak sehingga suatu kontrak haruslah mempunyai objek tertentu.</w:t>
      </w:r>
      <w:r w:rsidRPr="00FF3D25">
        <w:rPr>
          <w:rStyle w:val="FootnoteReference"/>
          <w:rFonts w:ascii="Times New Roman" w:hAnsi="Times New Roman" w:cs="Times New Roman"/>
          <w:sz w:val="24"/>
          <w:szCs w:val="24"/>
        </w:rPr>
        <w:footnoteReference w:id="27"/>
      </w:r>
      <w:r w:rsidRPr="00FF3D25">
        <w:rPr>
          <w:rFonts w:ascii="Times New Roman" w:hAnsi="Times New Roman" w:cs="Times New Roman"/>
          <w:sz w:val="24"/>
          <w:szCs w:val="24"/>
        </w:rPr>
        <w:t xml:space="preserve">  Suatu hal tertentu adalah prestasi yang menjadi pokok perjanjian yang bersangkutan. Hal ini untuk memastikan sifat dan luasnya pernyataan-pernyataan yang menjadi kewajiban para pihak. Pernyataan-pernyataan yang tidak dapat ditentukan sifat dan luas kewajiban para pihak adalah tidak mengikat (batal demi hukum).</w:t>
      </w:r>
    </w:p>
    <w:p w:rsidR="00C06970" w:rsidRPr="00FF3D25" w:rsidRDefault="00C06970" w:rsidP="00C06970">
      <w:pPr>
        <w:pStyle w:val="PlainText"/>
        <w:spacing w:line="456" w:lineRule="auto"/>
        <w:ind w:firstLine="720"/>
        <w:jc w:val="both"/>
        <w:rPr>
          <w:rFonts w:ascii="Times New Roman" w:hAnsi="Times New Roman" w:cs="Times New Roman"/>
          <w:sz w:val="24"/>
          <w:szCs w:val="24"/>
        </w:rPr>
      </w:pPr>
      <w:r w:rsidRPr="00FF3D25">
        <w:rPr>
          <w:rFonts w:ascii="Times New Roman" w:hAnsi="Times New Roman" w:cs="Times New Roman"/>
          <w:sz w:val="24"/>
          <w:szCs w:val="24"/>
        </w:rPr>
        <w:t>Ketentuan tentang objek tertentu dalam perjanjian adalah:</w:t>
      </w:r>
    </w:p>
    <w:p w:rsidR="00C06970" w:rsidRPr="00FF3D25" w:rsidRDefault="00C06970" w:rsidP="00B7086C">
      <w:pPr>
        <w:pStyle w:val="PlainText"/>
        <w:numPr>
          <w:ilvl w:val="0"/>
          <w:numId w:val="25"/>
        </w:numPr>
        <w:ind w:left="709"/>
        <w:jc w:val="both"/>
        <w:rPr>
          <w:rFonts w:ascii="Times New Roman" w:hAnsi="Times New Roman" w:cs="Times New Roman"/>
          <w:sz w:val="24"/>
          <w:szCs w:val="24"/>
        </w:rPr>
      </w:pPr>
      <w:r w:rsidRPr="00FF3D25">
        <w:rPr>
          <w:rFonts w:ascii="Times New Roman" w:hAnsi="Times New Roman" w:cs="Times New Roman"/>
          <w:sz w:val="24"/>
          <w:szCs w:val="24"/>
        </w:rPr>
        <w:t>Barang yang merupakan objek perjanjian tersebut haruslah barang yang dapat diperdagangkan.</w:t>
      </w:r>
    </w:p>
    <w:p w:rsidR="00C06970" w:rsidRPr="00FF3D25" w:rsidRDefault="00C06970" w:rsidP="00C06970">
      <w:pPr>
        <w:pStyle w:val="PlainText"/>
        <w:ind w:left="709"/>
        <w:jc w:val="both"/>
        <w:rPr>
          <w:rFonts w:ascii="Times New Roman" w:hAnsi="Times New Roman" w:cs="Times New Roman"/>
          <w:sz w:val="24"/>
          <w:szCs w:val="24"/>
        </w:rPr>
      </w:pPr>
      <w:r w:rsidRPr="00FF3D25">
        <w:rPr>
          <w:rFonts w:ascii="Times New Roman" w:hAnsi="Times New Roman" w:cs="Times New Roman"/>
          <w:sz w:val="24"/>
          <w:szCs w:val="24"/>
        </w:rPr>
        <w:t>Pasal 1332 KUH Perdata ditentukan bahwa: Hanya barang-barang yang dapat diperdagangkan saja dapat menjadi pokok suatu perjanjian. Barang-barang yang dapat dijadikan obyek perjanjian hanyalah barang-barang yang dapat diperdagangkan karena lazimnya barang-barang yang dipergunakan untuk kepentingan umum dianggap sebagai barang-barang di luar perdagangan, sehingga tidak bisa dijadikan obyek perjanjian.</w:t>
      </w:r>
    </w:p>
    <w:p w:rsidR="00C06970" w:rsidRPr="00FF3D25" w:rsidRDefault="00C06970" w:rsidP="00B7086C">
      <w:pPr>
        <w:pStyle w:val="PlainText"/>
        <w:numPr>
          <w:ilvl w:val="0"/>
          <w:numId w:val="25"/>
        </w:numPr>
        <w:ind w:left="709"/>
        <w:jc w:val="both"/>
        <w:rPr>
          <w:rFonts w:ascii="Times New Roman" w:hAnsi="Times New Roman" w:cs="Times New Roman"/>
          <w:sz w:val="24"/>
          <w:szCs w:val="24"/>
        </w:rPr>
      </w:pPr>
      <w:r w:rsidRPr="00FF3D25">
        <w:rPr>
          <w:rFonts w:ascii="Times New Roman" w:hAnsi="Times New Roman" w:cs="Times New Roman"/>
          <w:sz w:val="24"/>
          <w:szCs w:val="24"/>
        </w:rPr>
        <w:t>Pada saat perjanjian dibuat, minimal barang tersebut sudah dapat ditentukan jenisnya.</w:t>
      </w:r>
    </w:p>
    <w:p w:rsidR="00C06970" w:rsidRPr="00FF3D25" w:rsidRDefault="00C06970" w:rsidP="00C06970">
      <w:pPr>
        <w:pStyle w:val="PlainText"/>
        <w:ind w:left="709"/>
        <w:jc w:val="both"/>
        <w:rPr>
          <w:rFonts w:ascii="Times New Roman" w:hAnsi="Times New Roman" w:cs="Times New Roman"/>
          <w:sz w:val="24"/>
          <w:szCs w:val="24"/>
        </w:rPr>
      </w:pPr>
      <w:r w:rsidRPr="00FF3D25">
        <w:rPr>
          <w:rFonts w:ascii="Times New Roman" w:hAnsi="Times New Roman" w:cs="Times New Roman"/>
          <w:sz w:val="24"/>
          <w:szCs w:val="24"/>
        </w:rPr>
        <w:t>Pasal 1333 ayat (1) KUHPerdata dinyatakan bahwa: “Suatu perjanjian harus mempunyai sebagai pokok suatu barang yang paling sedikit ditentukan jenisnya.</w:t>
      </w:r>
    </w:p>
    <w:p w:rsidR="00C06970" w:rsidRPr="00FF3D25" w:rsidRDefault="00C06970" w:rsidP="00B7086C">
      <w:pPr>
        <w:pStyle w:val="PlainText"/>
        <w:numPr>
          <w:ilvl w:val="0"/>
          <w:numId w:val="25"/>
        </w:numPr>
        <w:ind w:left="709"/>
        <w:jc w:val="both"/>
        <w:rPr>
          <w:rFonts w:ascii="Times New Roman" w:hAnsi="Times New Roman" w:cs="Times New Roman"/>
          <w:sz w:val="24"/>
          <w:szCs w:val="24"/>
        </w:rPr>
      </w:pPr>
      <w:r w:rsidRPr="00FF3D25">
        <w:rPr>
          <w:rFonts w:ascii="Times New Roman" w:hAnsi="Times New Roman" w:cs="Times New Roman"/>
          <w:sz w:val="24"/>
          <w:szCs w:val="24"/>
        </w:rPr>
        <w:t>Jumlah barang tersebut boleh tidak tertentu, asal saja jumlah tersebut kemudian dapat ditentukan atau dihitung</w:t>
      </w:r>
    </w:p>
    <w:p w:rsidR="00C06970" w:rsidRPr="00FF3D25" w:rsidRDefault="00C06970" w:rsidP="00C06970">
      <w:pPr>
        <w:pStyle w:val="PlainText"/>
        <w:ind w:left="709"/>
        <w:jc w:val="both"/>
        <w:rPr>
          <w:rFonts w:ascii="Times New Roman" w:hAnsi="Times New Roman" w:cs="Times New Roman"/>
          <w:sz w:val="24"/>
          <w:szCs w:val="24"/>
        </w:rPr>
      </w:pPr>
      <w:r w:rsidRPr="00FF3D25">
        <w:rPr>
          <w:rFonts w:ascii="Times New Roman" w:hAnsi="Times New Roman" w:cs="Times New Roman"/>
          <w:sz w:val="24"/>
          <w:szCs w:val="24"/>
        </w:rPr>
        <w:lastRenderedPageBreak/>
        <w:t>Menurut Pasal 1333 ayat (2) KUHPerdata bahwa: Tidaklah menjadi halangan bahwa jumlah barang tidak tentu, asal saja jumlah itu terkemudian dapat ditentukan atau dihitung.</w:t>
      </w:r>
    </w:p>
    <w:p w:rsidR="00C06970" w:rsidRPr="00FF3D25" w:rsidRDefault="00C06970" w:rsidP="00B7086C">
      <w:pPr>
        <w:pStyle w:val="PlainText"/>
        <w:numPr>
          <w:ilvl w:val="0"/>
          <w:numId w:val="25"/>
        </w:numPr>
        <w:ind w:left="709"/>
        <w:jc w:val="both"/>
        <w:rPr>
          <w:rFonts w:ascii="Times New Roman" w:hAnsi="Times New Roman" w:cs="Times New Roman"/>
          <w:sz w:val="24"/>
          <w:szCs w:val="24"/>
        </w:rPr>
      </w:pPr>
      <w:r w:rsidRPr="00FF3D25">
        <w:rPr>
          <w:rFonts w:ascii="Times New Roman" w:hAnsi="Times New Roman" w:cs="Times New Roman"/>
          <w:sz w:val="24"/>
          <w:szCs w:val="24"/>
        </w:rPr>
        <w:t>Barang tersebut dapat juga barang yang baru akan ada di kemudian hari</w:t>
      </w:r>
    </w:p>
    <w:p w:rsidR="00C06970" w:rsidRPr="00FF3D25" w:rsidRDefault="00C06970" w:rsidP="00C06970">
      <w:pPr>
        <w:pStyle w:val="PlainText"/>
        <w:ind w:left="709"/>
        <w:jc w:val="both"/>
        <w:rPr>
          <w:rFonts w:ascii="Times New Roman" w:hAnsi="Times New Roman" w:cs="Times New Roman"/>
          <w:sz w:val="24"/>
          <w:szCs w:val="24"/>
        </w:rPr>
      </w:pPr>
      <w:r w:rsidRPr="00FF3D25">
        <w:rPr>
          <w:rFonts w:ascii="Times New Roman" w:hAnsi="Times New Roman" w:cs="Times New Roman"/>
          <w:sz w:val="24"/>
          <w:szCs w:val="24"/>
        </w:rPr>
        <w:t>Pasal 1334 ayat (1) KUHPerdata, ditentukan bahwa: Barang-barang yang baru akan ada dikemudian hari dapat menjadi pokok suatu perjanjian.</w:t>
      </w:r>
    </w:p>
    <w:p w:rsidR="00C06970" w:rsidRPr="00FF3D25" w:rsidRDefault="00C06970" w:rsidP="00B7086C">
      <w:pPr>
        <w:pStyle w:val="PlainText"/>
        <w:numPr>
          <w:ilvl w:val="0"/>
          <w:numId w:val="25"/>
        </w:numPr>
        <w:ind w:left="709"/>
        <w:jc w:val="both"/>
        <w:rPr>
          <w:rFonts w:ascii="Times New Roman" w:hAnsi="Times New Roman" w:cs="Times New Roman"/>
          <w:sz w:val="24"/>
          <w:szCs w:val="24"/>
        </w:rPr>
      </w:pPr>
      <w:r w:rsidRPr="00FF3D25">
        <w:rPr>
          <w:rFonts w:ascii="Times New Roman" w:hAnsi="Times New Roman" w:cs="Times New Roman"/>
          <w:sz w:val="24"/>
          <w:szCs w:val="24"/>
        </w:rPr>
        <w:t>Tidak dapat dibuat kontrak terhadap barang yang masih ada dalam warisan yang belum terbuka (Pasal 1334 ayat  (2) KUHPerdata.</w:t>
      </w:r>
      <w:r w:rsidRPr="00FF3D25">
        <w:rPr>
          <w:rStyle w:val="FootnoteReference"/>
          <w:rFonts w:ascii="Times New Roman" w:hAnsi="Times New Roman" w:cs="Times New Roman"/>
          <w:sz w:val="24"/>
          <w:szCs w:val="24"/>
        </w:rPr>
        <w:footnoteReference w:id="28"/>
      </w:r>
    </w:p>
    <w:p w:rsidR="00C06970" w:rsidRPr="00FF3D25" w:rsidRDefault="00C06970" w:rsidP="00C06970">
      <w:pPr>
        <w:pStyle w:val="PlainText"/>
        <w:ind w:left="709"/>
        <w:jc w:val="both"/>
        <w:rPr>
          <w:rFonts w:ascii="Times New Roman" w:hAnsi="Times New Roman" w:cs="Times New Roman"/>
          <w:sz w:val="24"/>
          <w:szCs w:val="24"/>
        </w:rPr>
      </w:pPr>
    </w:p>
    <w:p w:rsidR="00C06970" w:rsidRPr="00FF3D25" w:rsidRDefault="00C06970" w:rsidP="00B7086C">
      <w:pPr>
        <w:pStyle w:val="PlainText"/>
        <w:numPr>
          <w:ilvl w:val="0"/>
          <w:numId w:val="12"/>
        </w:numPr>
        <w:tabs>
          <w:tab w:val="clear" w:pos="1275"/>
          <w:tab w:val="num" w:pos="284"/>
        </w:tabs>
        <w:spacing w:line="480" w:lineRule="auto"/>
        <w:ind w:left="284" w:hanging="284"/>
        <w:jc w:val="both"/>
        <w:rPr>
          <w:rFonts w:ascii="Times New Roman" w:eastAsia="MS Mincho" w:hAnsi="Times New Roman" w:cs="Times New Roman"/>
          <w:sz w:val="24"/>
          <w:szCs w:val="24"/>
        </w:rPr>
      </w:pPr>
      <w:r w:rsidRPr="00FF3D25">
        <w:rPr>
          <w:rFonts w:ascii="Times New Roman" w:eastAsia="MS Mincho" w:hAnsi="Times New Roman" w:cs="Times New Roman"/>
          <w:sz w:val="24"/>
          <w:szCs w:val="24"/>
        </w:rPr>
        <w:t>Suatu sebab yang halal.</w:t>
      </w:r>
    </w:p>
    <w:p w:rsidR="00C06970" w:rsidRPr="00FF3D25" w:rsidRDefault="00C06970" w:rsidP="00C06970">
      <w:pPr>
        <w:pStyle w:val="PlainText"/>
        <w:spacing w:line="480" w:lineRule="auto"/>
        <w:ind w:firstLine="748"/>
        <w:jc w:val="both"/>
        <w:rPr>
          <w:rFonts w:ascii="Times New Roman" w:eastAsia="MS Mincho" w:hAnsi="Times New Roman" w:cs="Times New Roman"/>
          <w:sz w:val="24"/>
          <w:szCs w:val="24"/>
        </w:rPr>
      </w:pPr>
      <w:r w:rsidRPr="00FF3D25">
        <w:rPr>
          <w:rFonts w:ascii="Times New Roman" w:hAnsi="Times New Roman" w:cs="Times New Roman"/>
          <w:sz w:val="24"/>
          <w:szCs w:val="24"/>
        </w:rPr>
        <w:t>“Sebab (</w:t>
      </w:r>
      <w:r w:rsidRPr="00FF3D25">
        <w:rPr>
          <w:rFonts w:ascii="Times New Roman" w:hAnsi="Times New Roman" w:cs="Times New Roman"/>
          <w:i/>
          <w:iCs/>
          <w:sz w:val="24"/>
          <w:szCs w:val="24"/>
        </w:rPr>
        <w:t>causa</w:t>
      </w:r>
      <w:r w:rsidRPr="00FF3D25">
        <w:rPr>
          <w:rFonts w:ascii="Times New Roman" w:hAnsi="Times New Roman" w:cs="Times New Roman"/>
          <w:sz w:val="24"/>
          <w:szCs w:val="24"/>
        </w:rPr>
        <w:t>) adalah isi perjanjian itu seniri, dengan demikian kausa merupakan prestasi dan kontra prestasi yang saling dipertukarkan oleh para pihak”.</w:t>
      </w:r>
      <w:r w:rsidRPr="00FF3D25">
        <w:rPr>
          <w:rStyle w:val="FootnoteReference"/>
          <w:rFonts w:ascii="Times New Roman" w:hAnsi="Times New Roman" w:cs="Times New Roman"/>
          <w:sz w:val="24"/>
          <w:szCs w:val="24"/>
        </w:rPr>
        <w:footnoteReference w:id="29"/>
      </w:r>
      <w:r w:rsidRPr="00FF3D25">
        <w:rPr>
          <w:rFonts w:ascii="Times New Roman" w:hAnsi="Times New Roman" w:cs="Times New Roman"/>
          <w:sz w:val="24"/>
          <w:szCs w:val="24"/>
        </w:rPr>
        <w:t xml:space="preserve"> Pasal 1335 KUHPerdata, dinyatakan bahwa: Suatu perjanjian tanpa sebab, atau yang telah dibuat karena sesuatu sebab yang palsu atau terlarang, tidak mempunyai kekuatan. Sebab yang terlarang dalam Pasal 1337 KUHPerdata adalah: Suatu sebab adalah terlarang, apabila dilarang oleh undang-undang, atau apabila berlawanan dengan kesusilaan baik atau ketertiban umum. Perjanjian yang dibuat dengan sebab yang demikian tidak mempunyai kekuatan</w:t>
      </w:r>
    </w:p>
    <w:p w:rsidR="00C06970" w:rsidRDefault="00C06970" w:rsidP="00C06970">
      <w:pPr>
        <w:pStyle w:val="PlainText"/>
        <w:spacing w:line="480" w:lineRule="auto"/>
        <w:ind w:firstLine="748"/>
        <w:jc w:val="both"/>
        <w:rPr>
          <w:rFonts w:ascii="Times New Roman" w:eastAsia="MS Mincho" w:hAnsi="Times New Roman" w:cs="Times New Roman"/>
          <w:sz w:val="24"/>
          <w:szCs w:val="24"/>
        </w:rPr>
      </w:pPr>
      <w:r w:rsidRPr="00FF3D25">
        <w:rPr>
          <w:rFonts w:ascii="Times New Roman" w:eastAsia="MS Mincho" w:hAnsi="Times New Roman" w:cs="Times New Roman"/>
          <w:sz w:val="24"/>
          <w:szCs w:val="24"/>
        </w:rPr>
        <w:t xml:space="preserve">Berdasarkan  syarat-syarat sahnya perjanjian tersebut  di atas,  kedua  syarat pertama yaitu sepakat  mereka  yang mengikatkan diri dan kecakapan untuk membuat  perjanjian dinamakan syarat subjektif karena kedua syarat  tersebut mengenai subjek perjanjian. </w:t>
      </w:r>
    </w:p>
    <w:p w:rsidR="00C06970" w:rsidRPr="00FF3D25" w:rsidRDefault="00C06970" w:rsidP="00C06970">
      <w:pPr>
        <w:pStyle w:val="PlainText"/>
        <w:spacing w:line="480" w:lineRule="auto"/>
        <w:ind w:firstLine="748"/>
        <w:jc w:val="both"/>
        <w:rPr>
          <w:rFonts w:ascii="Times New Roman" w:eastAsia="MS Mincho" w:hAnsi="Times New Roman" w:cs="Times New Roman"/>
          <w:sz w:val="24"/>
          <w:szCs w:val="24"/>
        </w:rPr>
      </w:pPr>
      <w:r w:rsidRPr="00FF3D25">
        <w:rPr>
          <w:rFonts w:ascii="Times New Roman" w:eastAsia="MS Mincho" w:hAnsi="Times New Roman" w:cs="Times New Roman"/>
          <w:sz w:val="24"/>
          <w:szCs w:val="24"/>
        </w:rPr>
        <w:t xml:space="preserve">Syarat subjektif adalah suatu syarat yang  menyangkut pada   subjek-subjek  perjanjian  itu   atau   dengan perkataan  lain,  syarat-syarat yang  harus  dipenuhi oleh mereka yang membuat perjanjian, hal ini meliputi kesepakatan  mereka  yang  mengikatkan dirinya dan kecakapan pihak yang membuat </w:t>
      </w:r>
      <w:r w:rsidRPr="00FF3D25">
        <w:rPr>
          <w:rFonts w:ascii="Times New Roman" w:eastAsia="MS Mincho" w:hAnsi="Times New Roman" w:cs="Times New Roman"/>
          <w:sz w:val="24"/>
          <w:szCs w:val="24"/>
        </w:rPr>
        <w:lastRenderedPageBreak/>
        <w:t>perjanjian. Apabila syarat pertama dan kedua tidak terpenuhi, maka perjanjian itu dapat dibatalkan. Artinya, salah satu pihak dapat mengajukan kepada pengadilan untuk membatalkan perjanjian yang disepakatinya, akan tetapi apabila para pihak tidak ada yang keberatan, maka perjanjian itu tetap dianggap sah. Syarat ketiga dan keempat tidak terpenuhi, maka perjanjian itu batal demi hukum, artinya bahwa dari semula perjanjian itu dianggap tidak ada.</w:t>
      </w:r>
      <w:r w:rsidRPr="00FF3D25">
        <w:rPr>
          <w:rStyle w:val="FootnoteReference"/>
          <w:rFonts w:ascii="Times New Roman" w:eastAsia="MS Mincho" w:hAnsi="Times New Roman" w:cs="Times New Roman"/>
          <w:sz w:val="24"/>
          <w:szCs w:val="24"/>
        </w:rPr>
        <w:footnoteReference w:id="30"/>
      </w:r>
    </w:p>
    <w:p w:rsidR="00C06970" w:rsidRPr="00825575" w:rsidRDefault="00C06970" w:rsidP="00C06970">
      <w:pPr>
        <w:pStyle w:val="BodyTextIndent2"/>
        <w:spacing w:line="456" w:lineRule="auto"/>
        <w:ind w:left="0" w:firstLine="720"/>
        <w:rPr>
          <w:bCs/>
          <w:color w:val="000000"/>
        </w:rPr>
      </w:pPr>
      <w:r w:rsidRPr="00825575">
        <w:rPr>
          <w:color w:val="000000"/>
        </w:rPr>
        <w:t>Perjanjian yang telah dipenuhi syarat-syarat yang telah ditentukan dalam Undang-Undang dan dilaksanakan dengan itikad baik, maka  perjanjian itu sah dan mengikat bagi kedua belah pihak. Lebih tegasnya Pasal 1338 KUHPerdata menyebutkan bahwa semua persetujuan yang dibuat secara sah berlaku sebagai Undang-Undang bagi mereka yang membuatnya, persetujuan-persetujuan itu tidak dapat ditarik kembali selain dengan sepakat kedua belah pihak atau karena alasan-alasan yang oleh Undang-Undang dinyatakan cukup untuk itu.</w:t>
      </w:r>
      <w:r w:rsidRPr="00825575">
        <w:rPr>
          <w:bCs/>
          <w:color w:val="000000"/>
        </w:rPr>
        <w:t xml:space="preserve"> Apabila terjadi sengketa karena salah satu pihak melanggar isi perjanjian, maka pihak lainnya dapat membawanya ke pengadilan dan apabila terbukti memang demikian kejadiannya, hakim dapat menghukum pihak yang salah berdasarkan perjanjian itu.</w:t>
      </w:r>
    </w:p>
    <w:p w:rsidR="00C06970" w:rsidRPr="00825575" w:rsidRDefault="00C06970" w:rsidP="00C06970">
      <w:pPr>
        <w:pStyle w:val="BodyTextIndent2"/>
        <w:spacing w:line="456" w:lineRule="auto"/>
        <w:ind w:left="0" w:firstLine="720"/>
        <w:rPr>
          <w:bCs/>
          <w:color w:val="000000"/>
        </w:rPr>
      </w:pPr>
      <w:r w:rsidRPr="00825575">
        <w:rPr>
          <w:bCs/>
          <w:color w:val="000000"/>
        </w:rPr>
        <w:t>Melalui suatu perjanjian, maka terciptalah perikatan atau hubungan hukum yang menimbulkan hak dan kewajiban pada masing-masing pihak yang membuat perjanjian. Dengan kata lain, para pihak terikat untuk mematuhi perjanjian yang telah mereka buat tersebut. Dalam hal inilah dikatakan fungsi perjanjian sama dengan perundang-undangan, tetapi hanya berlaku khusus terhadap para pembuatnya saja.</w:t>
      </w:r>
    </w:p>
    <w:p w:rsidR="00C06970" w:rsidRPr="00825575" w:rsidRDefault="00C06970" w:rsidP="00C06970">
      <w:pPr>
        <w:pStyle w:val="BodyTextIndent2"/>
        <w:ind w:left="0" w:firstLine="720"/>
        <w:rPr>
          <w:bCs/>
          <w:color w:val="000000"/>
        </w:rPr>
      </w:pPr>
      <w:r w:rsidRPr="00825575">
        <w:rPr>
          <w:bCs/>
          <w:color w:val="000000"/>
        </w:rPr>
        <w:lastRenderedPageBreak/>
        <w:t xml:space="preserve">Perjanjian dalam hubungan bisnis perlu dibuat secara tertulis karena perjanjian ini sebagai pegangan, pedoman dan alat bukti para pihak itu sendiri. Dengan adanya perjanjian yang baik akan mencegah terjadinya perselisihan karena semuanya sudah diatur dengan jelas sebelumnya. </w:t>
      </w:r>
    </w:p>
    <w:p w:rsidR="00C06970" w:rsidRPr="00825575" w:rsidRDefault="00C06970" w:rsidP="00C06970">
      <w:pPr>
        <w:pStyle w:val="BodyTextIndent2"/>
        <w:ind w:left="0" w:firstLine="720"/>
        <w:rPr>
          <w:bCs/>
          <w:color w:val="000000"/>
        </w:rPr>
      </w:pPr>
      <w:r w:rsidRPr="00825575">
        <w:rPr>
          <w:bCs/>
          <w:color w:val="000000"/>
        </w:rPr>
        <w:t>Undang-Undang telah menentukan bahwa perjanjian yang sah berkekuatan sebagai Undang-Undang bagi mereka yang membuatnya. Persetujuan-persetujuan dalam suatu perjanjian tersebut tidak dapat ditarik kembali selain atas kesepakatan kedua belah pihak atau karena alasan-alasan yang oleh Undang-Undang dinyatakan cukup untuk itu. Persetujuan-persetujuan itu harus dilaksanakan dengan itikad baik.</w:t>
      </w:r>
    </w:p>
    <w:p w:rsidR="00C06970" w:rsidRPr="00825575" w:rsidRDefault="00C06970" w:rsidP="00C06970">
      <w:pPr>
        <w:pStyle w:val="BodyTextIndent2"/>
        <w:ind w:left="0" w:firstLine="720"/>
        <w:rPr>
          <w:bCs/>
          <w:color w:val="000000"/>
        </w:rPr>
      </w:pPr>
      <w:r w:rsidRPr="00825575">
        <w:rPr>
          <w:bCs/>
          <w:color w:val="000000"/>
        </w:rPr>
        <w:t>“Istilah secara sah, pembentuk Undang-Undang hendak menunjukkan bahwa pembuatan perjanjian harus menurut hukum”.</w:t>
      </w:r>
      <w:r w:rsidRPr="00825575">
        <w:rPr>
          <w:rStyle w:val="FootnoteReference"/>
          <w:bCs/>
          <w:color w:val="000000"/>
        </w:rPr>
        <w:footnoteReference w:id="31"/>
      </w:r>
      <w:r w:rsidRPr="00825575">
        <w:rPr>
          <w:bCs/>
          <w:color w:val="000000"/>
        </w:rPr>
        <w:t xml:space="preserve"> Semua perjanjian yang dibuat menurut hukum atau secara sah adalah mengikat. Secara sah di sini adalah bahwa pembuatan perjanjian hutang piutang harus mengikuti apa yang ditentukan oleh Pasal 1320 KUHPerdata.</w:t>
      </w:r>
    </w:p>
    <w:p w:rsidR="00C06970" w:rsidRPr="00825575" w:rsidRDefault="00C06970" w:rsidP="00C06970">
      <w:pPr>
        <w:pStyle w:val="BodyTextIndent2"/>
        <w:ind w:left="0" w:firstLine="720"/>
        <w:rPr>
          <w:bCs/>
          <w:color w:val="000000"/>
        </w:rPr>
      </w:pPr>
      <w:r w:rsidRPr="00825575">
        <w:rPr>
          <w:bCs/>
          <w:color w:val="000000"/>
        </w:rPr>
        <w:t xml:space="preserve">Akibat hukum dari tidak terpenuhinya salah satu atau lebih dari syarat-syarat sahnya </w:t>
      </w:r>
      <w:r w:rsidRPr="00825575">
        <w:rPr>
          <w:color w:val="000000"/>
        </w:rPr>
        <w:t xml:space="preserve">perjanjian hutang piutang </w:t>
      </w:r>
      <w:r w:rsidRPr="00825575">
        <w:rPr>
          <w:bCs/>
          <w:color w:val="000000"/>
        </w:rPr>
        <w:t xml:space="preserve">tersebut bervariasi mengikuti syarat-syarat yang dilanggar sebagaimana disebutkan di atas. Konsekuensi hukum tersebut adalah :       </w:t>
      </w:r>
    </w:p>
    <w:p w:rsidR="00C06970" w:rsidRPr="00825575" w:rsidRDefault="00C06970" w:rsidP="00B7086C">
      <w:pPr>
        <w:pStyle w:val="BodyTextIndent2"/>
        <w:numPr>
          <w:ilvl w:val="0"/>
          <w:numId w:val="16"/>
        </w:numPr>
        <w:tabs>
          <w:tab w:val="clear" w:pos="750"/>
          <w:tab w:val="left" w:pos="709"/>
        </w:tabs>
        <w:spacing w:line="240" w:lineRule="auto"/>
        <w:ind w:left="709" w:hanging="284"/>
        <w:rPr>
          <w:bCs/>
          <w:color w:val="000000"/>
        </w:rPr>
      </w:pPr>
      <w:r w:rsidRPr="00825575">
        <w:rPr>
          <w:bCs/>
          <w:color w:val="000000"/>
        </w:rPr>
        <w:t xml:space="preserve">Batal demi hukum </w:t>
      </w:r>
      <w:r w:rsidRPr="00825575">
        <w:rPr>
          <w:bCs/>
          <w:i/>
          <w:iCs/>
          <w:color w:val="000000"/>
        </w:rPr>
        <w:t>nietig, null and volid)</w:t>
      </w:r>
      <w:r w:rsidRPr="00825575">
        <w:rPr>
          <w:bCs/>
          <w:color w:val="000000"/>
        </w:rPr>
        <w:t>, misalnya dalam hal dilanggarnya syarat objektif dalam Pasal 1320 KUHPerdata, yakni hal tertentu dan sebab yang dibolehkan.</w:t>
      </w:r>
    </w:p>
    <w:p w:rsidR="00C06970" w:rsidRPr="00825575" w:rsidRDefault="00C06970" w:rsidP="00B7086C">
      <w:pPr>
        <w:pStyle w:val="BodyTextIndent2"/>
        <w:numPr>
          <w:ilvl w:val="0"/>
          <w:numId w:val="16"/>
        </w:numPr>
        <w:tabs>
          <w:tab w:val="clear" w:pos="750"/>
          <w:tab w:val="left" w:pos="709"/>
        </w:tabs>
        <w:spacing w:line="240" w:lineRule="auto"/>
        <w:ind w:left="709" w:hanging="284"/>
        <w:rPr>
          <w:bCs/>
          <w:color w:val="000000"/>
        </w:rPr>
      </w:pPr>
      <w:r w:rsidRPr="00825575">
        <w:rPr>
          <w:bCs/>
          <w:color w:val="000000"/>
        </w:rPr>
        <w:t xml:space="preserve">Dapat dibatalkan </w:t>
      </w:r>
      <w:r w:rsidRPr="00825575">
        <w:rPr>
          <w:bCs/>
          <w:i/>
          <w:iCs/>
          <w:color w:val="000000"/>
        </w:rPr>
        <w:t>(vernietigbaar, voidable)¸</w:t>
      </w:r>
      <w:r w:rsidRPr="00825575">
        <w:rPr>
          <w:bCs/>
          <w:color w:val="000000"/>
        </w:rPr>
        <w:t>misalnya dalam hal tidak terpenuhinya syarat subjektif dalam Pasal 1320 KUHPerdata yakni kesepakatan dan kecakapan berbuat.</w:t>
      </w:r>
    </w:p>
    <w:p w:rsidR="00C06970" w:rsidRPr="00825575" w:rsidRDefault="00C06970" w:rsidP="00B7086C">
      <w:pPr>
        <w:pStyle w:val="BodyTextIndent2"/>
        <w:numPr>
          <w:ilvl w:val="0"/>
          <w:numId w:val="16"/>
        </w:numPr>
        <w:tabs>
          <w:tab w:val="clear" w:pos="750"/>
          <w:tab w:val="left" w:pos="709"/>
        </w:tabs>
        <w:spacing w:line="240" w:lineRule="auto"/>
        <w:ind w:left="709" w:hanging="284"/>
        <w:rPr>
          <w:bCs/>
          <w:color w:val="000000"/>
        </w:rPr>
      </w:pPr>
      <w:r w:rsidRPr="00825575">
        <w:rPr>
          <w:bCs/>
          <w:color w:val="000000"/>
        </w:rPr>
        <w:lastRenderedPageBreak/>
        <w:t xml:space="preserve">Perjanjian tidak dapat dilaksanakan </w:t>
      </w:r>
      <w:r w:rsidRPr="00825575">
        <w:rPr>
          <w:bCs/>
          <w:i/>
          <w:iCs/>
          <w:color w:val="000000"/>
        </w:rPr>
        <w:t>(unenforceable)</w:t>
      </w:r>
      <w:r w:rsidRPr="00825575">
        <w:rPr>
          <w:bCs/>
          <w:color w:val="000000"/>
        </w:rPr>
        <w:t>. Perjanjian yang tidak dapat dilaksanakan adalah perjanjian tidakbegitu saja batal tetapi tidak dapat dilaksanakan, melainkan masih mempunyai status hukum tertentu. Bedanya dengan perjanjian yang batal (demi hukum) adalah perjanjian yang tidak dapat dilaksanakan masihmungkin dikonversi menjadi perjanjian yang sah. Sedangkan bedanya dengan perjanjian yang dapat dibatalkan, perjanjian tersebut sudah sah, mengikat dan dapat dilaksanakan sampai dengan dibatalkan perjanjian tersebut, sementara perjanjian yang tidak dapat dilaksanakan belum mempunyai kekuatan hukum sebelum dikonversi menjadi perjanjian yang sah.</w:t>
      </w:r>
    </w:p>
    <w:p w:rsidR="00C06970" w:rsidRPr="00825575" w:rsidRDefault="00C06970" w:rsidP="00B7086C">
      <w:pPr>
        <w:pStyle w:val="BodyTextIndent2"/>
        <w:numPr>
          <w:ilvl w:val="0"/>
          <w:numId w:val="16"/>
        </w:numPr>
        <w:tabs>
          <w:tab w:val="clear" w:pos="750"/>
          <w:tab w:val="left" w:pos="709"/>
        </w:tabs>
        <w:spacing w:line="240" w:lineRule="auto"/>
        <w:ind w:left="709" w:hanging="284"/>
        <w:rPr>
          <w:bCs/>
          <w:color w:val="000000"/>
        </w:rPr>
      </w:pPr>
      <w:r w:rsidRPr="00825575">
        <w:rPr>
          <w:bCs/>
          <w:color w:val="000000"/>
        </w:rPr>
        <w:t>Ada juga syarat perjanjian yang apabila tidak terpenuhi hanya mengakibatkan dikenakan sanksi administratif saja terhadap salah satu atau kedua belah pihak dalam perjanjian tersebut. Misalnya apabila terhadap suatu perjanjian memerlukan izin atau pelaporan terhadap instansi tertentu.</w:t>
      </w:r>
      <w:r w:rsidRPr="00825575">
        <w:rPr>
          <w:rStyle w:val="FootnoteReference"/>
          <w:bCs/>
          <w:color w:val="000000"/>
        </w:rPr>
        <w:footnoteReference w:id="32"/>
      </w:r>
    </w:p>
    <w:p w:rsidR="00C06970" w:rsidRPr="00825575" w:rsidRDefault="00C06970" w:rsidP="00C06970">
      <w:pPr>
        <w:pStyle w:val="BodyTextIndent2"/>
        <w:spacing w:line="240" w:lineRule="auto"/>
        <w:ind w:left="748"/>
        <w:rPr>
          <w:bCs/>
          <w:color w:val="000000"/>
        </w:rPr>
      </w:pPr>
    </w:p>
    <w:p w:rsidR="00C06970" w:rsidRPr="00825575" w:rsidRDefault="00C06970" w:rsidP="00C06970">
      <w:pPr>
        <w:autoSpaceDE w:val="0"/>
        <w:autoSpaceDN w:val="0"/>
        <w:adjustRightInd w:val="0"/>
        <w:spacing w:line="480" w:lineRule="auto"/>
        <w:ind w:firstLine="709"/>
        <w:jc w:val="both"/>
        <w:rPr>
          <w:rStyle w:val="markedcontent"/>
        </w:rPr>
      </w:pPr>
      <w:r w:rsidRPr="00825575">
        <w:rPr>
          <w:rStyle w:val="markedcontent"/>
        </w:rPr>
        <w:t>Sesuai dengan asas kebebasan berkontrak dan asas konsensualisme, para pihak dalam perjanjian hutang piutang memiliki kebebasan dalam membuat perjanjian. Perjanjian hutang piutang dapat dibuat secara lisan atau secara tertulis tergantung kesepakatan para pihak yang membuatnya.</w:t>
      </w:r>
    </w:p>
    <w:p w:rsidR="00C06970" w:rsidRPr="00825575" w:rsidRDefault="00C06970" w:rsidP="00C06970">
      <w:pPr>
        <w:autoSpaceDE w:val="0"/>
        <w:autoSpaceDN w:val="0"/>
        <w:adjustRightInd w:val="0"/>
        <w:spacing w:line="480" w:lineRule="auto"/>
        <w:ind w:firstLine="709"/>
        <w:jc w:val="both"/>
        <w:rPr>
          <w:rStyle w:val="markedcontent"/>
        </w:rPr>
      </w:pPr>
      <w:r w:rsidRPr="00825575">
        <w:rPr>
          <w:rStyle w:val="markedcontent"/>
        </w:rPr>
        <w:t xml:space="preserve">Perjanjian yang dibuat secara lisan adalah sah dan mempunyai kekuatan yang mengikat para pihak yang membuatnya sama dengan perjanjian yang dibuat tertulis, asalkan disepakati oleh para pihak dalam perjanjian dan dilaksanakan dengan itikad baik. Biasanya perjanjian secara lisan dibuat apabila isi perjanjiannya tergolong sederhana dengan nominal yang tidak terlalu besar. </w:t>
      </w:r>
    </w:p>
    <w:p w:rsidR="00C06970" w:rsidRPr="00825575" w:rsidRDefault="00C06970" w:rsidP="00C06970">
      <w:pPr>
        <w:autoSpaceDE w:val="0"/>
        <w:autoSpaceDN w:val="0"/>
        <w:adjustRightInd w:val="0"/>
        <w:spacing w:line="480" w:lineRule="auto"/>
        <w:ind w:firstLine="709"/>
        <w:jc w:val="both"/>
        <w:rPr>
          <w:rStyle w:val="markedcontent"/>
        </w:rPr>
      </w:pPr>
      <w:r w:rsidRPr="00825575">
        <w:rPr>
          <w:rStyle w:val="markedcontent"/>
        </w:rPr>
        <w:t xml:space="preserve">Praktiknya, ada juga perjanjian hutang piutang dengan nilai nominal yang cukup besar dilakukan secara lisan karena para pihak merasa saling percaya. Kelemahannya, apabila debitur ingkar janji atau bahkan menyangkal tidak pernah membuat perjanjian, hal ini akan menimbulkan kesulitan dalam pembuktian ada </w:t>
      </w:r>
      <w:r w:rsidRPr="00825575">
        <w:rPr>
          <w:rStyle w:val="markedcontent"/>
        </w:rPr>
        <w:lastRenderedPageBreak/>
        <w:t>tidaknya perjanjian hutang piutang yang kemudian memunculkan berbagai resiko yang dapat merugikan</w:t>
      </w:r>
      <w:r>
        <w:rPr>
          <w:rStyle w:val="markedcontent"/>
        </w:rPr>
        <w:t xml:space="preserve"> </w:t>
      </w:r>
      <w:r w:rsidRPr="00825575">
        <w:rPr>
          <w:rStyle w:val="markedcontent"/>
        </w:rPr>
        <w:t>kreditur maupun debitur.</w:t>
      </w:r>
    </w:p>
    <w:p w:rsidR="00C06970" w:rsidRPr="00825575" w:rsidRDefault="00C06970" w:rsidP="00C06970">
      <w:pPr>
        <w:autoSpaceDE w:val="0"/>
        <w:autoSpaceDN w:val="0"/>
        <w:adjustRightInd w:val="0"/>
        <w:spacing w:line="480" w:lineRule="auto"/>
        <w:ind w:firstLine="709"/>
        <w:jc w:val="both"/>
        <w:rPr>
          <w:rStyle w:val="markedcontent"/>
        </w:rPr>
      </w:pPr>
      <w:r w:rsidRPr="00825575">
        <w:rPr>
          <w:rStyle w:val="markedcontent"/>
        </w:rPr>
        <w:t>Perjanjian hutang piutang dapat juga dibuat dihadapan notaris dalam bentuk akta otentik yang kekuatan pembuktiannya sempurna dan akan sulit untuk terbantahkan apabila di kemudian hari ada pihak yang menyangkal, baik isi maupun tanda tangan pada perjanjian hutang piutang tersebut. Notaris adalah pejabat umum yang tugasnya membuat akta otentik. Notaris mengeluarkan salinan akta kepada para pihak, sedangkan akta otentik yang asli disimpan oleh notaris. Jika salinan akta yang diberikan kepada para pihak itu hilang, rusak</w:t>
      </w:r>
      <w:r w:rsidRPr="00825575">
        <w:rPr>
          <w:rStyle w:val="BodyTextIndent"/>
        </w:rPr>
        <w:t xml:space="preserve"> </w:t>
      </w:r>
      <w:r w:rsidRPr="00825575">
        <w:rPr>
          <w:rStyle w:val="markedcontent"/>
        </w:rPr>
        <w:t>atau musnah, yang bersangkutan masih dapat meminta salinan akta otentik tersebut kepada notaris.</w:t>
      </w:r>
    </w:p>
    <w:p w:rsidR="00C06970" w:rsidRPr="00825575" w:rsidRDefault="00C06970" w:rsidP="00C06970">
      <w:pPr>
        <w:autoSpaceDE w:val="0"/>
        <w:autoSpaceDN w:val="0"/>
        <w:adjustRightInd w:val="0"/>
        <w:spacing w:line="480" w:lineRule="auto"/>
        <w:ind w:firstLine="709"/>
        <w:jc w:val="both"/>
        <w:rPr>
          <w:rStyle w:val="markedcontent"/>
        </w:rPr>
      </w:pPr>
      <w:r w:rsidRPr="00825575">
        <w:rPr>
          <w:rStyle w:val="markedcontent"/>
        </w:rPr>
        <w:t xml:space="preserve">Akta yang dibuat secara di bawah tangan dibandingkan dengan akta yang dibuat dihadapan notaris, mempunyai kekuatan pembuktian yang berbeda. Akta otentik memiliki kekuatan pembuktian yang sempurna, artinya dapat dipercaya kebenarannya dan tidak lagi memerlukan alat bukti lain. Kebenaran yang dimaksud adalah kebenaran formal dan kebenaran materil. </w:t>
      </w:r>
    </w:p>
    <w:p w:rsidR="00C06970" w:rsidRPr="00825575" w:rsidRDefault="00C06970" w:rsidP="00C06970">
      <w:pPr>
        <w:autoSpaceDE w:val="0"/>
        <w:autoSpaceDN w:val="0"/>
        <w:adjustRightInd w:val="0"/>
        <w:ind w:left="709"/>
        <w:jc w:val="both"/>
        <w:rPr>
          <w:rStyle w:val="markedcontent"/>
        </w:rPr>
      </w:pPr>
      <w:r w:rsidRPr="00825575">
        <w:rPr>
          <w:rStyle w:val="markedcontent"/>
        </w:rPr>
        <w:t>Kebenaran formal yaitu, bahwa para pihak yang membuat perjanjian memang benar datang menghadap pejabat umum yang berwenang untuk membuat akta perjanjian hutang piutang otentik. Adapun kebenaran materil yang dimaksud yaitu, bahwa isi perjanjian yang dituangkan dalam akta perjanjian tersebut sesuai dengan apa yang para pihak sepakati dan dengan disaksikan oleh notaris dan para saksi.</w:t>
      </w:r>
      <w:r w:rsidRPr="00825575">
        <w:rPr>
          <w:rStyle w:val="FootnoteReference"/>
        </w:rPr>
        <w:footnoteReference w:id="33"/>
      </w:r>
    </w:p>
    <w:p w:rsidR="00C06970" w:rsidRPr="00825575" w:rsidRDefault="00C06970" w:rsidP="00C06970">
      <w:pPr>
        <w:autoSpaceDE w:val="0"/>
        <w:autoSpaceDN w:val="0"/>
        <w:adjustRightInd w:val="0"/>
        <w:ind w:left="426"/>
        <w:jc w:val="both"/>
        <w:rPr>
          <w:rStyle w:val="markedcontent"/>
        </w:rPr>
      </w:pPr>
    </w:p>
    <w:p w:rsidR="00C06970" w:rsidRPr="00825575" w:rsidRDefault="00C06970" w:rsidP="00C06970">
      <w:pPr>
        <w:autoSpaceDE w:val="0"/>
        <w:autoSpaceDN w:val="0"/>
        <w:adjustRightInd w:val="0"/>
        <w:spacing w:line="480" w:lineRule="auto"/>
        <w:ind w:firstLine="709"/>
        <w:jc w:val="both"/>
        <w:rPr>
          <w:rStyle w:val="markedcontent"/>
        </w:rPr>
      </w:pPr>
      <w:r w:rsidRPr="00825575">
        <w:rPr>
          <w:rStyle w:val="markedcontent"/>
        </w:rPr>
        <w:t>Akta di bawah tangan baru mempunyai kekuatan pembuktian</w:t>
      </w:r>
      <w:r w:rsidRPr="00825575">
        <w:br/>
      </w:r>
      <w:r w:rsidRPr="00825575">
        <w:rPr>
          <w:rStyle w:val="markedcontent"/>
        </w:rPr>
        <w:t xml:space="preserve">yang sempurna, apabila para pihak membenarkan isi dan tanda tangan pada perjanjian tersebut. Jika isi dan tanda tangan dalam perjanjian tersebut disangkal </w:t>
      </w:r>
      <w:r w:rsidRPr="00825575">
        <w:rPr>
          <w:rStyle w:val="markedcontent"/>
        </w:rPr>
        <w:lastRenderedPageBreak/>
        <w:t>oleh salah satu pihak, maka akta di bawah tangan tersebut belum mempunyai kekuatan pembuktian sempurna dan masih memerlukan penambahan alat bukti lain yang dapat mendukung isi perjanjian.</w:t>
      </w:r>
    </w:p>
    <w:p w:rsidR="00C06970" w:rsidRPr="00825575" w:rsidRDefault="00C06970" w:rsidP="00C06970">
      <w:pPr>
        <w:autoSpaceDE w:val="0"/>
        <w:autoSpaceDN w:val="0"/>
        <w:adjustRightInd w:val="0"/>
        <w:ind w:firstLine="709"/>
        <w:jc w:val="both"/>
        <w:rPr>
          <w:b/>
          <w:color w:val="000000"/>
          <w:lang w:val="id-ID"/>
        </w:rPr>
      </w:pPr>
    </w:p>
    <w:p w:rsidR="00C06970" w:rsidRPr="00825575" w:rsidRDefault="00C06970" w:rsidP="00B7086C">
      <w:pPr>
        <w:numPr>
          <w:ilvl w:val="0"/>
          <w:numId w:val="4"/>
        </w:numPr>
        <w:spacing w:line="480" w:lineRule="auto"/>
        <w:ind w:left="360"/>
        <w:jc w:val="both"/>
        <w:rPr>
          <w:b/>
          <w:color w:val="000000"/>
          <w:lang w:val="id-ID"/>
        </w:rPr>
      </w:pPr>
      <w:r>
        <w:rPr>
          <w:b/>
          <w:color w:val="000000"/>
        </w:rPr>
        <w:t xml:space="preserve">Tinjauan Tentang </w:t>
      </w:r>
      <w:r w:rsidRPr="00825575">
        <w:rPr>
          <w:b/>
          <w:color w:val="000000"/>
          <w:lang w:val="id-ID"/>
        </w:rPr>
        <w:t>Wanprestasi</w:t>
      </w:r>
    </w:p>
    <w:p w:rsidR="00C06970" w:rsidRPr="00825575" w:rsidRDefault="00C06970" w:rsidP="00B7086C">
      <w:pPr>
        <w:pStyle w:val="BodyTextIndent2"/>
        <w:numPr>
          <w:ilvl w:val="0"/>
          <w:numId w:val="18"/>
        </w:numPr>
        <w:tabs>
          <w:tab w:val="left" w:pos="709"/>
        </w:tabs>
        <w:rPr>
          <w:b/>
          <w:color w:val="000000"/>
        </w:rPr>
      </w:pPr>
      <w:r w:rsidRPr="00825575">
        <w:rPr>
          <w:b/>
          <w:color w:val="000000"/>
        </w:rPr>
        <w:t>Pengertian Wanprestasi</w:t>
      </w:r>
    </w:p>
    <w:p w:rsidR="00C06970" w:rsidRPr="00825575" w:rsidRDefault="00C06970" w:rsidP="00C06970">
      <w:pPr>
        <w:spacing w:line="480" w:lineRule="auto"/>
        <w:ind w:firstLine="748"/>
        <w:jc w:val="both"/>
        <w:rPr>
          <w:color w:val="000000"/>
        </w:rPr>
      </w:pPr>
      <w:r w:rsidRPr="00825575">
        <w:rPr>
          <w:color w:val="000000"/>
        </w:rPr>
        <w:t>Menurut pendapat M. Yahya Harahap dalam bukunya segi-segi Hukum Perjanjian, yang dimaksud dengan wanprestsi adalah  “pelaksanaan kewajiban yang tidak tepat pada waktunya atau dilakukan tidak menurut selayaknya”.</w:t>
      </w:r>
      <w:r w:rsidRPr="00825575">
        <w:rPr>
          <w:rStyle w:val="FootnoteReference"/>
          <w:color w:val="000000"/>
        </w:rPr>
        <w:footnoteReference w:id="34"/>
      </w:r>
    </w:p>
    <w:p w:rsidR="00C06970" w:rsidRPr="00825575" w:rsidRDefault="00C06970" w:rsidP="00C06970">
      <w:pPr>
        <w:spacing w:line="480" w:lineRule="auto"/>
        <w:jc w:val="both"/>
        <w:rPr>
          <w:color w:val="000000"/>
        </w:rPr>
      </w:pPr>
      <w:r w:rsidRPr="00825575">
        <w:rPr>
          <w:color w:val="000000"/>
        </w:rPr>
        <w:tab/>
        <w:t xml:space="preserve">Wanprestasi seorang debitur dapat berupa empat macam yaitu :       </w:t>
      </w:r>
    </w:p>
    <w:p w:rsidR="00C06970" w:rsidRPr="00825575" w:rsidRDefault="00C06970" w:rsidP="00B7086C">
      <w:pPr>
        <w:numPr>
          <w:ilvl w:val="0"/>
          <w:numId w:val="20"/>
        </w:numPr>
        <w:ind w:left="775"/>
        <w:jc w:val="both"/>
        <w:rPr>
          <w:color w:val="000000"/>
        </w:rPr>
      </w:pPr>
      <w:r w:rsidRPr="00825575">
        <w:rPr>
          <w:color w:val="000000"/>
        </w:rPr>
        <w:t>Tidak melakukan apa yang disanggupi akan dilakukannya.</w:t>
      </w:r>
    </w:p>
    <w:p w:rsidR="00C06970" w:rsidRPr="00825575" w:rsidRDefault="00C06970" w:rsidP="00B7086C">
      <w:pPr>
        <w:numPr>
          <w:ilvl w:val="0"/>
          <w:numId w:val="6"/>
        </w:numPr>
        <w:tabs>
          <w:tab w:val="clear" w:pos="720"/>
          <w:tab w:val="left" w:pos="709"/>
        </w:tabs>
        <w:ind w:left="709" w:hanging="294"/>
        <w:jc w:val="both"/>
        <w:rPr>
          <w:color w:val="000000"/>
        </w:rPr>
      </w:pPr>
      <w:r w:rsidRPr="00825575">
        <w:rPr>
          <w:color w:val="000000"/>
        </w:rPr>
        <w:t>Melaksanakan apa yang diperjanjikannya, tetapi tidak sebagaimana yang diperjanjikan.</w:t>
      </w:r>
    </w:p>
    <w:p w:rsidR="00C06970" w:rsidRPr="00825575" w:rsidRDefault="00C06970" w:rsidP="00B7086C">
      <w:pPr>
        <w:numPr>
          <w:ilvl w:val="0"/>
          <w:numId w:val="6"/>
        </w:numPr>
        <w:tabs>
          <w:tab w:val="clear" w:pos="720"/>
          <w:tab w:val="left" w:pos="709"/>
        </w:tabs>
        <w:ind w:left="709" w:hanging="294"/>
        <w:jc w:val="both"/>
        <w:rPr>
          <w:color w:val="000000"/>
        </w:rPr>
      </w:pPr>
      <w:r w:rsidRPr="00825575">
        <w:rPr>
          <w:color w:val="000000"/>
        </w:rPr>
        <w:t>Melakukan apa yang diperjanjikan akan tetapi terlambat.</w:t>
      </w:r>
    </w:p>
    <w:p w:rsidR="00C06970" w:rsidRPr="00825575" w:rsidRDefault="00C06970" w:rsidP="00B7086C">
      <w:pPr>
        <w:numPr>
          <w:ilvl w:val="0"/>
          <w:numId w:val="6"/>
        </w:numPr>
        <w:tabs>
          <w:tab w:val="clear" w:pos="720"/>
          <w:tab w:val="left" w:pos="709"/>
        </w:tabs>
        <w:ind w:left="709" w:hanging="294"/>
        <w:jc w:val="both"/>
        <w:rPr>
          <w:color w:val="000000"/>
        </w:rPr>
      </w:pPr>
      <w:r w:rsidRPr="00825575">
        <w:rPr>
          <w:color w:val="000000"/>
        </w:rPr>
        <w:t>Melakukan sesuatu yang menurut perjanjian tidak boleh untuk dilakukan.</w:t>
      </w:r>
      <w:r w:rsidRPr="00825575">
        <w:rPr>
          <w:rStyle w:val="FootnoteReference"/>
          <w:color w:val="000000"/>
        </w:rPr>
        <w:footnoteReference w:id="35"/>
      </w:r>
    </w:p>
    <w:p w:rsidR="00C06970" w:rsidRPr="00825575" w:rsidRDefault="00C06970" w:rsidP="00C06970">
      <w:pPr>
        <w:ind w:left="388"/>
        <w:jc w:val="both"/>
        <w:rPr>
          <w:color w:val="000000"/>
        </w:rPr>
      </w:pPr>
    </w:p>
    <w:p w:rsidR="00C06970" w:rsidRPr="00825575" w:rsidRDefault="00C06970" w:rsidP="00C06970">
      <w:pPr>
        <w:spacing w:line="480" w:lineRule="auto"/>
        <w:ind w:firstLine="709"/>
        <w:jc w:val="both"/>
        <w:rPr>
          <w:color w:val="000000"/>
        </w:rPr>
      </w:pPr>
      <w:r w:rsidRPr="00825575">
        <w:rPr>
          <w:color w:val="000000"/>
        </w:rPr>
        <w:t xml:space="preserve">Perjanjian dalam keadaan normal dapat dilaksanakan sebagaimana mestinya tanpa ganguan ataupun halangan. Tetapi pada waktu yang tertentu, yang tidak dapat diduga oleh para pihak, muncul halangan, sehingga pelaksanaan perjanjian tidak dapat dilaksanakan dengan baik, faktor penyebab terjadinya wanprestasi oleh Abdulkadir Muhammad diklasifikasikan menjadi dua faktor yaitu :        </w:t>
      </w:r>
    </w:p>
    <w:p w:rsidR="00C06970" w:rsidRPr="00825575" w:rsidRDefault="00C06970" w:rsidP="00B7086C">
      <w:pPr>
        <w:numPr>
          <w:ilvl w:val="0"/>
          <w:numId w:val="10"/>
        </w:numPr>
        <w:tabs>
          <w:tab w:val="clear" w:pos="720"/>
        </w:tabs>
        <w:ind w:left="709" w:hanging="283"/>
        <w:jc w:val="both"/>
        <w:rPr>
          <w:color w:val="000000"/>
        </w:rPr>
      </w:pPr>
      <w:r w:rsidRPr="00825575">
        <w:rPr>
          <w:color w:val="000000"/>
        </w:rPr>
        <w:t xml:space="preserve">Faktor dari luar dan </w:t>
      </w:r>
    </w:p>
    <w:p w:rsidR="00C06970" w:rsidRPr="00825575" w:rsidRDefault="00C06970" w:rsidP="00B7086C">
      <w:pPr>
        <w:numPr>
          <w:ilvl w:val="0"/>
          <w:numId w:val="10"/>
        </w:numPr>
        <w:tabs>
          <w:tab w:val="clear" w:pos="720"/>
        </w:tabs>
        <w:spacing w:line="216" w:lineRule="auto"/>
        <w:ind w:left="709" w:hanging="283"/>
        <w:jc w:val="both"/>
        <w:rPr>
          <w:color w:val="000000"/>
        </w:rPr>
      </w:pPr>
      <w:r w:rsidRPr="00825575">
        <w:rPr>
          <w:color w:val="000000"/>
        </w:rPr>
        <w:t>Faktor dari dalam diri para pihak.</w:t>
      </w:r>
    </w:p>
    <w:p w:rsidR="00C06970" w:rsidRPr="00825575" w:rsidRDefault="00C06970" w:rsidP="00C06970">
      <w:pPr>
        <w:spacing w:line="216" w:lineRule="auto"/>
        <w:ind w:left="426"/>
        <w:jc w:val="both"/>
        <w:rPr>
          <w:color w:val="000000"/>
        </w:rPr>
      </w:pPr>
      <w:r w:rsidRPr="00825575">
        <w:rPr>
          <w:color w:val="000000"/>
        </w:rPr>
        <w:t xml:space="preserve">Faktor dari luar adalah peristiwa yang tidak diharapkan terjadi dan tidak dapat diduga akan terjadi ketika perjanjian dibuat. Faktor dari dalam diri manusia/para pihak merupakan kesalahan yang timbul dari diri para pihak, baik kesalahan tersebut yang dilakukan dengan sengaja atau pun karena kelalaian pihak itu sendiri, dan para pihak itu sendiri, dan pera pihak </w:t>
      </w:r>
      <w:r w:rsidRPr="00825575">
        <w:rPr>
          <w:color w:val="000000"/>
        </w:rPr>
        <w:lastRenderedPageBreak/>
        <w:t>sebelumnya telah mengetahui akibat yang timbul dari perbuatannya tersebut.</w:t>
      </w:r>
      <w:r w:rsidRPr="00825575">
        <w:rPr>
          <w:rStyle w:val="FootnoteReference"/>
          <w:color w:val="000000"/>
        </w:rPr>
        <w:footnoteReference w:id="36"/>
      </w:r>
    </w:p>
    <w:p w:rsidR="00C06970" w:rsidRPr="00825575" w:rsidRDefault="00C06970" w:rsidP="00C06970">
      <w:pPr>
        <w:tabs>
          <w:tab w:val="left" w:pos="709"/>
        </w:tabs>
        <w:ind w:left="426"/>
        <w:jc w:val="both"/>
        <w:rPr>
          <w:color w:val="000000"/>
        </w:rPr>
      </w:pPr>
    </w:p>
    <w:p w:rsidR="00C06970" w:rsidRPr="00825575" w:rsidRDefault="00C06970" w:rsidP="00C06970">
      <w:pPr>
        <w:spacing w:line="480" w:lineRule="auto"/>
        <w:jc w:val="both"/>
        <w:rPr>
          <w:color w:val="000000"/>
        </w:rPr>
      </w:pPr>
      <w:r w:rsidRPr="00825575">
        <w:rPr>
          <w:color w:val="000000"/>
        </w:rPr>
        <w:tab/>
        <w:t xml:space="preserve">Hal kelalaian atau wanprestasi pada pihak dalam perjanjian ini harus dinyatakan terlebih dahulu secara resmi yaitu dengan memperingatkan kepada pihak yang lalai, bahwa pihak kreditur menghendaki pemenuhan prestasi oleh pihak debitur. Menurut undang-undang peringatan tersebut harus dinyatakan tertulis, namun sekarang sudah dilazimkan bahwa peringatan itu pula dapat dilakukan secara lisan asalkan cukup tegas menyatakan desakan agar segera memenuhi prestasinya terhadap perjanjian mereka perbuat. </w:t>
      </w:r>
    </w:p>
    <w:p w:rsidR="00C06970" w:rsidRPr="00825575" w:rsidRDefault="00C06970" w:rsidP="00C06970">
      <w:pPr>
        <w:pStyle w:val="BodyText"/>
        <w:rPr>
          <w:color w:val="000000"/>
        </w:rPr>
      </w:pPr>
      <w:r w:rsidRPr="00825575">
        <w:rPr>
          <w:color w:val="000000"/>
        </w:rPr>
        <w:tab/>
        <w:t xml:space="preserve">Peringatan tersebut dapat dinyatakan pernyataan lalai yang diberikan oleh pihak kreditur kepada pihak debitur.  Pernyataan lalai oleh J. Satrio, memperinci pernyataan lalai tersebut dalam beberapa bentuk pernyataan lalai tersebut dalam beberapa bentuk pernyataan lalai yaitu :        </w:t>
      </w:r>
    </w:p>
    <w:p w:rsidR="00C06970" w:rsidRPr="00825575" w:rsidRDefault="00C06970" w:rsidP="00B7086C">
      <w:pPr>
        <w:numPr>
          <w:ilvl w:val="0"/>
          <w:numId w:val="11"/>
        </w:numPr>
        <w:tabs>
          <w:tab w:val="clear" w:pos="1080"/>
          <w:tab w:val="left" w:pos="709"/>
        </w:tabs>
        <w:ind w:left="709" w:hanging="295"/>
        <w:jc w:val="both"/>
        <w:rPr>
          <w:color w:val="000000"/>
        </w:rPr>
      </w:pPr>
      <w:r w:rsidRPr="00825575">
        <w:rPr>
          <w:color w:val="000000"/>
        </w:rPr>
        <w:t xml:space="preserve">Berbentuk surat perintah atau akta lain yang sejenis. </w:t>
      </w:r>
    </w:p>
    <w:p w:rsidR="00C06970" w:rsidRPr="00825575" w:rsidRDefault="00C06970" w:rsidP="00B7086C">
      <w:pPr>
        <w:numPr>
          <w:ilvl w:val="0"/>
          <w:numId w:val="11"/>
        </w:numPr>
        <w:tabs>
          <w:tab w:val="clear" w:pos="1080"/>
          <w:tab w:val="num" w:pos="0"/>
          <w:tab w:val="left" w:pos="709"/>
        </w:tabs>
        <w:ind w:left="709" w:hanging="295"/>
        <w:jc w:val="both"/>
        <w:rPr>
          <w:color w:val="000000"/>
        </w:rPr>
      </w:pPr>
      <w:r w:rsidRPr="00825575">
        <w:rPr>
          <w:color w:val="000000"/>
        </w:rPr>
        <w:t>Berdasarkan kekuatan perjanjian itu sendiri. Apabila dalam surat perjanjian telah ditetapkan ketentuan : debitur dianggap bersalah jika satu kali saja dia melewati batas waktu yang diperjanjikan. Hal ini dimaksudkan untuk mendorong debitur untuk tepat waktu dalam melaksanakan kewajiban dan sekaligus juga menghindari proses dan prosedur atas adanya wanprestasi dalam jangka waktu yang panjang. Dengan adanya penegasan seperti ini dalam perjanjian, tanpa tegoran kelalaian dengan sendirinya pihak debitur sudah dapat dinyatakan lalai, bila ia tidak menempati waktu dan pelaksanaan prestasi sebagaimana mestinya.</w:t>
      </w:r>
    </w:p>
    <w:p w:rsidR="00C06970" w:rsidRPr="00825575" w:rsidRDefault="00C06970" w:rsidP="00B7086C">
      <w:pPr>
        <w:numPr>
          <w:ilvl w:val="0"/>
          <w:numId w:val="11"/>
        </w:numPr>
        <w:tabs>
          <w:tab w:val="clear" w:pos="1080"/>
          <w:tab w:val="num" w:pos="0"/>
          <w:tab w:val="left" w:pos="709"/>
        </w:tabs>
        <w:ind w:left="709" w:hanging="294"/>
        <w:jc w:val="both"/>
        <w:rPr>
          <w:color w:val="000000"/>
        </w:rPr>
      </w:pPr>
      <w:r w:rsidRPr="00825575">
        <w:rPr>
          <w:color w:val="000000"/>
        </w:rPr>
        <w:t xml:space="preserve">Jika teguran kelalaian sudah dilakukan barulah menyusul peringatan </w:t>
      </w:r>
      <w:r w:rsidRPr="00825575">
        <w:rPr>
          <w:i/>
          <w:iCs/>
          <w:color w:val="000000"/>
        </w:rPr>
        <w:t>(aanmaning)</w:t>
      </w:r>
      <w:r w:rsidRPr="00825575">
        <w:rPr>
          <w:color w:val="000000"/>
        </w:rPr>
        <w:t xml:space="preserve"> dan biasa juga disebut dengan </w:t>
      </w:r>
      <w:r w:rsidRPr="00825575">
        <w:rPr>
          <w:i/>
          <w:color w:val="000000"/>
        </w:rPr>
        <w:t>Sommasi</w:t>
      </w:r>
      <w:r w:rsidRPr="00825575">
        <w:rPr>
          <w:color w:val="000000"/>
        </w:rPr>
        <w:t xml:space="preserve">. Dalam </w:t>
      </w:r>
      <w:r w:rsidRPr="00825575">
        <w:rPr>
          <w:i/>
          <w:iCs/>
          <w:color w:val="000000"/>
        </w:rPr>
        <w:t>sommasi</w:t>
      </w:r>
      <w:r w:rsidRPr="00825575">
        <w:rPr>
          <w:color w:val="000000"/>
        </w:rPr>
        <w:t xml:space="preserve"> inilah pihak kreditur menyatakan segala haknya atas penuntutan prestasi kepada pihak debitur.</w:t>
      </w:r>
      <w:r w:rsidRPr="00825575">
        <w:rPr>
          <w:rStyle w:val="FootnoteReference"/>
          <w:color w:val="000000"/>
        </w:rPr>
        <w:footnoteReference w:id="37"/>
      </w:r>
    </w:p>
    <w:p w:rsidR="00C06970" w:rsidRPr="00825575" w:rsidRDefault="00C06970" w:rsidP="00C06970">
      <w:pPr>
        <w:tabs>
          <w:tab w:val="num" w:pos="1080"/>
        </w:tabs>
        <w:ind w:left="388"/>
        <w:jc w:val="both"/>
        <w:rPr>
          <w:color w:val="000000"/>
        </w:rPr>
      </w:pPr>
    </w:p>
    <w:p w:rsidR="00C06970" w:rsidRPr="00825575" w:rsidRDefault="00C06970" w:rsidP="00C06970">
      <w:pPr>
        <w:spacing w:line="456" w:lineRule="auto"/>
        <w:jc w:val="both"/>
        <w:rPr>
          <w:color w:val="000000"/>
        </w:rPr>
      </w:pPr>
      <w:r w:rsidRPr="00825575">
        <w:rPr>
          <w:color w:val="000000"/>
        </w:rPr>
        <w:lastRenderedPageBreak/>
        <w:tab/>
        <w:t xml:space="preserve">Adanya pernyataan lalai yang diberikan oleh pihak kreditur kepada pihak debitur, maka menyebabkan pihak debitur dalam keadaan wanprestasi, bila tidak mengindahkan pernyataan lalai tersebut. Pernyatan lalai sangat diperlukan karena akibat wanprestasi tersebut adalah sangat besar baik bagi kepentingan pihak kreditur maupun pihak debitur. Perjanjian biasanya telah menentukan di dalam isi perjanjian itu sendiri, hak dan kewajiban para pihak serta sanksi yang ditetapkan apabila pihak debitur  tidak menepati waktu atau pelaksanaan perjanjian. </w:t>
      </w:r>
    </w:p>
    <w:p w:rsidR="00C06970" w:rsidRPr="00825575" w:rsidRDefault="00C06970" w:rsidP="00C06970">
      <w:pPr>
        <w:spacing w:line="456" w:lineRule="auto"/>
        <w:jc w:val="both"/>
        <w:rPr>
          <w:color w:val="000000"/>
        </w:rPr>
      </w:pPr>
      <w:r w:rsidRPr="00825575">
        <w:rPr>
          <w:color w:val="000000"/>
        </w:rPr>
        <w:tab/>
        <w:t>Debitur yang oleh pihak kreditur dituduh lalai, dapat mengajukan pembelaan diri atas tuduhan tersebut. Adapun pembelaan debitur</w:t>
      </w:r>
      <w:r w:rsidRPr="00825575">
        <w:rPr>
          <w:i/>
          <w:iCs/>
          <w:color w:val="000000"/>
        </w:rPr>
        <w:t xml:space="preserve"> </w:t>
      </w:r>
      <w:r w:rsidRPr="00825575">
        <w:rPr>
          <w:color w:val="000000"/>
        </w:rPr>
        <w:t xml:space="preserve">yang dituduh dapat didasarkan atas tiga alasan yaitu : </w:t>
      </w:r>
    </w:p>
    <w:p w:rsidR="00C06970" w:rsidRPr="00825575" w:rsidRDefault="00C06970" w:rsidP="00B7086C">
      <w:pPr>
        <w:numPr>
          <w:ilvl w:val="0"/>
          <w:numId w:val="17"/>
        </w:numPr>
        <w:tabs>
          <w:tab w:val="clear" w:pos="1080"/>
          <w:tab w:val="left" w:pos="426"/>
        </w:tabs>
        <w:spacing w:line="456" w:lineRule="auto"/>
        <w:ind w:left="426" w:hanging="426"/>
        <w:jc w:val="both"/>
        <w:rPr>
          <w:color w:val="000000"/>
        </w:rPr>
      </w:pPr>
      <w:r w:rsidRPr="00825575">
        <w:rPr>
          <w:color w:val="000000"/>
        </w:rPr>
        <w:t>“Mengajukan tuntutan adanya keadaan yang memaksa.</w:t>
      </w:r>
    </w:p>
    <w:p w:rsidR="00C06970" w:rsidRPr="00825575" w:rsidRDefault="00C06970" w:rsidP="00B7086C">
      <w:pPr>
        <w:numPr>
          <w:ilvl w:val="0"/>
          <w:numId w:val="17"/>
        </w:numPr>
        <w:tabs>
          <w:tab w:val="clear" w:pos="1080"/>
          <w:tab w:val="left" w:pos="426"/>
        </w:tabs>
        <w:spacing w:line="456" w:lineRule="auto"/>
        <w:ind w:left="426" w:hanging="426"/>
        <w:jc w:val="both"/>
        <w:rPr>
          <w:color w:val="000000"/>
        </w:rPr>
      </w:pPr>
      <w:r w:rsidRPr="00825575">
        <w:rPr>
          <w:color w:val="000000"/>
        </w:rPr>
        <w:t>Mengajukan bahwa si kreditur sendiri juga wanprestasi.</w:t>
      </w:r>
    </w:p>
    <w:p w:rsidR="00C06970" w:rsidRPr="00825575" w:rsidRDefault="00C06970" w:rsidP="00B7086C">
      <w:pPr>
        <w:numPr>
          <w:ilvl w:val="0"/>
          <w:numId w:val="17"/>
        </w:numPr>
        <w:tabs>
          <w:tab w:val="clear" w:pos="1080"/>
          <w:tab w:val="left" w:pos="426"/>
        </w:tabs>
        <w:spacing w:line="456" w:lineRule="auto"/>
        <w:ind w:left="426" w:hanging="426"/>
        <w:jc w:val="both"/>
        <w:rPr>
          <w:color w:val="000000"/>
        </w:rPr>
      </w:pPr>
      <w:r w:rsidRPr="00825575">
        <w:rPr>
          <w:color w:val="000000"/>
        </w:rPr>
        <w:t>Mengajukan bahwa kreditur telah melepaskan haknya untuk menuntut ganti rugi”.</w:t>
      </w:r>
      <w:r w:rsidRPr="00825575">
        <w:rPr>
          <w:rStyle w:val="FootnoteReference"/>
          <w:color w:val="000000"/>
        </w:rPr>
        <w:footnoteReference w:customMarkFollows="1" w:id="38"/>
        <w:t>23</w:t>
      </w:r>
    </w:p>
    <w:p w:rsidR="00C06970" w:rsidRPr="00825575" w:rsidRDefault="00C06970" w:rsidP="00C06970">
      <w:pPr>
        <w:spacing w:line="480" w:lineRule="auto"/>
        <w:jc w:val="both"/>
        <w:rPr>
          <w:color w:val="000000"/>
        </w:rPr>
      </w:pPr>
      <w:r w:rsidRPr="00825575">
        <w:rPr>
          <w:color w:val="000000"/>
        </w:rPr>
        <w:tab/>
        <w:t>Kreditur melepaskan haknya atas tuntutannya kepada pihak debitur adalah bahwa pihak kreditur telah mengetahui bahwa ketika pihak debitur mengembalikan barang yang diperjanjikan, pihak kreditur telah mengetahui bahwa waktu pengembalian barang sudah terlambat selama seminggu. Akan tetapi atas keterlambatan tersebut pihak kreditur tidak mengajukan keberatan ataupun sanksi maka terhadap debitur yang terlambat mengembalikan barang, dapat diartikan bahwa pihak kreditur</w:t>
      </w:r>
      <w:r w:rsidRPr="00825575">
        <w:rPr>
          <w:i/>
          <w:iCs/>
          <w:color w:val="000000"/>
        </w:rPr>
        <w:t xml:space="preserve"> </w:t>
      </w:r>
      <w:r w:rsidRPr="00825575">
        <w:rPr>
          <w:color w:val="000000"/>
        </w:rPr>
        <w:t xml:space="preserve">telah melepaskan haknya untuk pihak debitur yang telah nyata wanprestasi. </w:t>
      </w:r>
    </w:p>
    <w:p w:rsidR="00C06970" w:rsidRPr="00825575" w:rsidRDefault="00C06970" w:rsidP="00C06970">
      <w:pPr>
        <w:jc w:val="both"/>
        <w:rPr>
          <w:color w:val="000000"/>
        </w:rPr>
      </w:pPr>
    </w:p>
    <w:p w:rsidR="00C06970" w:rsidRPr="00825575" w:rsidRDefault="00C06970" w:rsidP="00B7086C">
      <w:pPr>
        <w:numPr>
          <w:ilvl w:val="0"/>
          <w:numId w:val="18"/>
        </w:numPr>
        <w:spacing w:line="480" w:lineRule="auto"/>
        <w:ind w:left="360"/>
        <w:jc w:val="both"/>
        <w:rPr>
          <w:b/>
          <w:color w:val="000000"/>
        </w:rPr>
      </w:pPr>
      <w:r w:rsidRPr="00825575">
        <w:rPr>
          <w:b/>
          <w:color w:val="000000"/>
        </w:rPr>
        <w:lastRenderedPageBreak/>
        <w:t>Akibat Hukum Wanprestasi</w:t>
      </w:r>
    </w:p>
    <w:p w:rsidR="00C06970" w:rsidRPr="00825575" w:rsidRDefault="00C06970" w:rsidP="00C06970">
      <w:pPr>
        <w:spacing w:line="480" w:lineRule="auto"/>
        <w:jc w:val="both"/>
        <w:rPr>
          <w:color w:val="000000"/>
        </w:rPr>
      </w:pPr>
      <w:r w:rsidRPr="00825575">
        <w:rPr>
          <w:color w:val="000000"/>
        </w:rPr>
        <w:tab/>
        <w:t xml:space="preserve">Pasal 1338 KUHPerdata dinyatakan bahwa : “Semua perjanjian yang dibuat secara sah berlaku sebagai Undang-Undang bagi mereka yang membuatnya”.  Pasal 1338 KUHPerdata di atas dapat ditarik suatu gambaran bahwa, pada prinsipnya suatu perjanjian tidak dapat dibatalkan oleh sepihak, karena dengan adanya pembatalan tersebut, tentunya akan menimbulkan kerugian bagi pihak lainnya. </w:t>
      </w:r>
    </w:p>
    <w:p w:rsidR="00C06970" w:rsidRPr="00825575" w:rsidRDefault="00C06970" w:rsidP="00C06970">
      <w:pPr>
        <w:spacing w:line="480" w:lineRule="auto"/>
        <w:jc w:val="both"/>
        <w:rPr>
          <w:color w:val="000000"/>
        </w:rPr>
      </w:pPr>
      <w:r w:rsidRPr="00825575">
        <w:rPr>
          <w:color w:val="000000"/>
        </w:rPr>
        <w:tab/>
        <w:t>Pembatalan perjanjian hanya dapat dilakukan apabila diketahui adanya kekhilafan ataupun paksaan dari salah satu pihak ketika membuat perjanjian. Kekhilafan dan paksaan merupakan alasan yang dapat membatalkan perjanjian. Selain itu juga penipuan yang dilakukan oleh satu pihak terhadap pihak yang lainnya dalam membuat perjanjian, dapat dijadikan sebagai alasan untuk dapat dibatalkannya suatu perjanjian secara sepihak oleh salah satu pihak. Karena menurut Pasal 1320 KUHPerdata suatu perjanjian yang tidak didasarkan kepada syarat subjektif perjanjian, maka perjanjian tersebut dapat dibatalkan.</w:t>
      </w:r>
    </w:p>
    <w:p w:rsidR="00C06970" w:rsidRPr="00825575" w:rsidRDefault="00C06970" w:rsidP="00C06970">
      <w:pPr>
        <w:spacing w:line="456" w:lineRule="auto"/>
        <w:jc w:val="both"/>
        <w:rPr>
          <w:color w:val="000000"/>
        </w:rPr>
      </w:pPr>
      <w:r w:rsidRPr="00825575">
        <w:rPr>
          <w:color w:val="000000"/>
        </w:rPr>
        <w:tab/>
        <w:t xml:space="preserve">Meminta pembatalan perjanjian yang tidak memenuhi syarat subjektifnya dapat dilakukan dengan cara : </w:t>
      </w:r>
    </w:p>
    <w:p w:rsidR="00C06970" w:rsidRPr="00825575" w:rsidRDefault="00C06970" w:rsidP="00B7086C">
      <w:pPr>
        <w:numPr>
          <w:ilvl w:val="0"/>
          <w:numId w:val="8"/>
        </w:numPr>
        <w:ind w:left="709" w:hanging="284"/>
        <w:jc w:val="both"/>
        <w:rPr>
          <w:color w:val="000000"/>
        </w:rPr>
      </w:pPr>
      <w:r w:rsidRPr="00825575">
        <w:rPr>
          <w:color w:val="000000"/>
        </w:rPr>
        <w:t>Melakukan penuntutan secara aktif di muka Hakim atau Pengadilan</w:t>
      </w:r>
    </w:p>
    <w:p w:rsidR="00C06970" w:rsidRPr="00825575" w:rsidRDefault="00C06970" w:rsidP="00B7086C">
      <w:pPr>
        <w:numPr>
          <w:ilvl w:val="0"/>
          <w:numId w:val="8"/>
        </w:numPr>
        <w:ind w:left="709" w:hanging="284"/>
        <w:jc w:val="both"/>
        <w:rPr>
          <w:color w:val="000000"/>
        </w:rPr>
      </w:pPr>
      <w:r w:rsidRPr="00825575">
        <w:rPr>
          <w:color w:val="000000"/>
        </w:rPr>
        <w:t>Dengan cara pembatalan yaitu menunggu pihak yang mengajukan pembatalan di muka Hakim. Sehingga dengan ada gugatan yang diajukan oleh pihak lawan karena ia tidak memenuhi prestasi perjanjian, maka ia dapat mengajukan pembelaan bahwa perjanjian tersebut tidak memenuhi syarat subjektif yang memungkinkan untuk dibatalkannya perjanjian tersebut.</w:t>
      </w:r>
      <w:r w:rsidRPr="00825575">
        <w:rPr>
          <w:rStyle w:val="FootnoteReference"/>
          <w:color w:val="000000"/>
        </w:rPr>
        <w:footnoteReference w:customMarkFollows="1" w:id="39"/>
        <w:t>24</w:t>
      </w:r>
      <w:r w:rsidRPr="00825575">
        <w:rPr>
          <w:color w:val="000000"/>
        </w:rPr>
        <w:t xml:space="preserve"> </w:t>
      </w:r>
    </w:p>
    <w:p w:rsidR="00C06970" w:rsidRPr="00825575" w:rsidRDefault="00C06970" w:rsidP="00C06970">
      <w:pPr>
        <w:tabs>
          <w:tab w:val="left" w:pos="709"/>
          <w:tab w:val="num" w:pos="1860"/>
        </w:tabs>
        <w:ind w:left="709"/>
        <w:jc w:val="both"/>
        <w:rPr>
          <w:color w:val="000000"/>
        </w:rPr>
      </w:pPr>
    </w:p>
    <w:p w:rsidR="00C06970" w:rsidRPr="00825575" w:rsidRDefault="00C06970" w:rsidP="00C06970">
      <w:pPr>
        <w:pStyle w:val="BodyText"/>
        <w:spacing w:line="456" w:lineRule="auto"/>
        <w:rPr>
          <w:color w:val="000000"/>
        </w:rPr>
      </w:pPr>
      <w:r w:rsidRPr="00825575">
        <w:rPr>
          <w:color w:val="000000"/>
        </w:rPr>
        <w:tab/>
        <w:t xml:space="preserve">Penuntutan secara aktif sebagaimana yang disebutkan oleh undang-undang, maka Undang-Undang mengatur pembatasan </w:t>
      </w:r>
      <w:r w:rsidRPr="00825575">
        <w:rPr>
          <w:color w:val="000000"/>
        </w:rPr>
        <w:lastRenderedPageBreak/>
        <w:t xml:space="preserve">waktu penuntutan yaitu 5 tahun di dalam perjanjian yang diadakan. Sebaliknya terhadap pembatalan perjanjian sebagai pembelaan tidak ditetapkan batas waktunya. Hal ini sesuai dengan ketentuan yang ditetapkan oleh Pasal 1454 KUHPerdata. </w:t>
      </w:r>
    </w:p>
    <w:p w:rsidR="00C06970" w:rsidRPr="00825575" w:rsidRDefault="00C06970" w:rsidP="00C06970">
      <w:pPr>
        <w:pStyle w:val="BodyText"/>
        <w:spacing w:line="456" w:lineRule="auto"/>
        <w:rPr>
          <w:color w:val="000000"/>
        </w:rPr>
      </w:pPr>
      <w:r w:rsidRPr="00825575">
        <w:rPr>
          <w:color w:val="000000"/>
        </w:rPr>
        <w:tab/>
        <w:t xml:space="preserve">Penuntutan pembatalan akan diterima baik oleh hakim jika ternyata sudah ada penerimaan baik dari pihak yang dirugikan, karena seorang yang sudah menerima baik suatu kekurangan atau suatu perbuatan yang merugikan baginya, dapat dianggap telah melepaskan haknya untuk meminta pembatalan. </w:t>
      </w:r>
    </w:p>
    <w:p w:rsidR="00C06970" w:rsidRPr="00825575" w:rsidRDefault="00C06970" w:rsidP="00C06970">
      <w:pPr>
        <w:spacing w:line="456" w:lineRule="auto"/>
        <w:jc w:val="both"/>
        <w:rPr>
          <w:color w:val="000000"/>
        </w:rPr>
      </w:pPr>
      <w:r w:rsidRPr="00825575">
        <w:rPr>
          <w:color w:val="000000"/>
        </w:rPr>
        <w:tab/>
        <w:t xml:space="preserve">Pembatalan terhadap perjanjian yang dilakukan secara sepihak tanpa disertai alasan yang sah menurut hukum, maka pihak yang oleh pihak lain dibatalkannya perjanjiannya dapat menuntut kerugian kepada pihak yang membatalkan perjanjian tersebut secara sepihak, karena dengan adanya pembatalan yang dilakukan sepihak oleh salah satu pihak akan menimbulkan kerugian bagi pihak lain. </w:t>
      </w:r>
    </w:p>
    <w:p w:rsidR="00C06970" w:rsidRPr="00825575" w:rsidRDefault="00C06970" w:rsidP="00C06970">
      <w:pPr>
        <w:spacing w:line="480" w:lineRule="auto"/>
        <w:jc w:val="both"/>
        <w:rPr>
          <w:color w:val="000000"/>
        </w:rPr>
      </w:pPr>
      <w:r w:rsidRPr="00825575">
        <w:rPr>
          <w:color w:val="000000"/>
        </w:rPr>
        <w:tab/>
        <w:t xml:space="preserve">Syarat batal adalah suatu syarat yang apabila terjadi, akan menimbulkan akibat yaitu penghentian perjanjian dan membawa segala sesuatu kembali seperti keadaan semula, seolah-olah tidak pernah terjadi suatu perjanjian di antara kedua belah pihak. Berarti dengan adanya pembatalan perjanjian akan menghapuskan segala kewajiban ataupun hak yang timbul dari perjanjian yang telah mereka buat sebelumnya. </w:t>
      </w:r>
    </w:p>
    <w:p w:rsidR="00C06970" w:rsidRPr="00825575" w:rsidRDefault="00C06970" w:rsidP="00C06970">
      <w:pPr>
        <w:spacing w:line="480" w:lineRule="auto"/>
        <w:jc w:val="both"/>
        <w:rPr>
          <w:color w:val="000000"/>
        </w:rPr>
      </w:pPr>
      <w:r w:rsidRPr="00825575">
        <w:rPr>
          <w:color w:val="000000"/>
        </w:rPr>
        <w:tab/>
        <w:t xml:space="preserve">Perjanjian yang dibatalkan secara sepihak oleh salah satu pihak tanpa disertai alasan yang sah, maka apabila perjanjian tersebut telah berlangsung lama, pihak yang dirugikan atas pembatalan tersebut dapat mengajukan tuntutan ganti </w:t>
      </w:r>
      <w:r w:rsidRPr="00825575">
        <w:rPr>
          <w:color w:val="000000"/>
        </w:rPr>
        <w:lastRenderedPageBreak/>
        <w:t xml:space="preserve">rugi kepada pihak yang membatalkan perjanjian tersebut secara sepihak. Ganti rugi yang diajukan oleh pihak yang dirugikan atas pembatalan yang sepihak tersebut adalah dapat berupa biaya, rugi, maupun bunga atas kerugian yang dideritanya. </w:t>
      </w:r>
    </w:p>
    <w:p w:rsidR="00C06970" w:rsidRPr="00825575" w:rsidRDefault="00C06970" w:rsidP="00C06970">
      <w:pPr>
        <w:spacing w:line="480" w:lineRule="auto"/>
        <w:jc w:val="both"/>
        <w:rPr>
          <w:color w:val="000000"/>
        </w:rPr>
      </w:pPr>
      <w:r w:rsidRPr="00825575">
        <w:rPr>
          <w:color w:val="000000"/>
        </w:rPr>
        <w:tab/>
        <w:t>Pembatalan yang dilakukan secara sepihak terhadap perjanjian yang mereka perbuat, sedangkan segala isi maupun ketentuan yang tercantum di dalam perjanjian tersebut belum dilaksanakan sama sekali oleh kedua belah pihak, maka dengan adanya pembatalan perjanjian tersebut oleh salah satu pihak secara sepihak tidak menimbulkan akibat hukum apa-apa. Pembatalan perjanjian tersebut hanya membawa para pihak pada keadaan semula yaitu keadaan sebelumnya para pihak dianggap tidak pernah melakukan atau mengadakan perjanjian diantara mereka.</w:t>
      </w:r>
    </w:p>
    <w:p w:rsidR="00C06970" w:rsidRPr="00825575" w:rsidRDefault="00C06970" w:rsidP="00C06970">
      <w:pPr>
        <w:spacing w:line="456" w:lineRule="auto"/>
        <w:jc w:val="both"/>
        <w:rPr>
          <w:color w:val="000000"/>
        </w:rPr>
      </w:pPr>
      <w:r w:rsidRPr="00825575">
        <w:rPr>
          <w:color w:val="000000"/>
        </w:rPr>
        <w:tab/>
        <w:t xml:space="preserve">Perjanjian hanya dapat dibatalkan secara sepihak oleh salah satu pihak apabila tidak memenuhi syarat sah subjektif dari suatu perjanjian. Pembatalan tersebut hanya dapat dilakukan dengan mengajukannya kepada pengadilan ataupun dengan pembelaan atau gugatan pihak yang akan membatalkan perjanjian. </w:t>
      </w:r>
    </w:p>
    <w:p w:rsidR="00C06970" w:rsidRPr="00825575" w:rsidRDefault="00C06970" w:rsidP="00C06970">
      <w:pPr>
        <w:pStyle w:val="BodyText"/>
        <w:spacing w:line="456" w:lineRule="auto"/>
        <w:rPr>
          <w:color w:val="000000"/>
        </w:rPr>
      </w:pPr>
      <w:r w:rsidRPr="00825575">
        <w:rPr>
          <w:color w:val="000000"/>
        </w:rPr>
        <w:tab/>
        <w:t xml:space="preserve">Perjanjian yang dibatalkan secara sepihak tanpa alasan yang sah, dapat diajukan tuntutan kepada pihak yang membatalkannya selama perjanjian tersebut telah berlangsung, sebaliknya apabila pembatalan secara sepihak tersebut terjadi sebelum adanya pelaksanaan perjanjian maka pembatalan itu hanya membawa pada keadaan semula yaitu keadaan yang dianggap tidak pernah terjadi perjanjian. </w:t>
      </w:r>
    </w:p>
    <w:p w:rsidR="00C06970" w:rsidRPr="00825575" w:rsidRDefault="00C06970" w:rsidP="00C06970">
      <w:pPr>
        <w:pStyle w:val="Title"/>
        <w:ind w:left="709"/>
        <w:jc w:val="both"/>
        <w:rPr>
          <w:rFonts w:ascii="Times New Roman" w:hAnsi="Times New Roman"/>
          <w:b/>
          <w:color w:val="000000"/>
        </w:rPr>
      </w:pPr>
      <w:r w:rsidRPr="00825575">
        <w:rPr>
          <w:rFonts w:ascii="Times New Roman" w:hAnsi="Times New Roman"/>
          <w:b/>
          <w:color w:val="000000"/>
        </w:rPr>
        <w:lastRenderedPageBreak/>
        <w:t xml:space="preserve">Pernyataan keadaan wanprestasi ini tidaklah dapat terjadi dengan sendirinya, akan tetapi harus terlebih dahulu diperlukan adanya suatu pernyataan lalai atau </w:t>
      </w:r>
      <w:r w:rsidRPr="00825575">
        <w:rPr>
          <w:rFonts w:ascii="Times New Roman" w:hAnsi="Times New Roman"/>
          <w:b/>
          <w:i/>
          <w:color w:val="000000"/>
        </w:rPr>
        <w:t>sommatie</w:t>
      </w:r>
      <w:r w:rsidRPr="00825575">
        <w:rPr>
          <w:rFonts w:ascii="Times New Roman" w:hAnsi="Times New Roman"/>
          <w:b/>
          <w:color w:val="000000"/>
        </w:rPr>
        <w:t xml:space="preserve"> yaitu suatu pesan dari pihak pertama (kreditur) saat kapan selambatnya ia mengharapkan pemenuhan prestasi.</w:t>
      </w:r>
      <w:r w:rsidRPr="00825575">
        <w:rPr>
          <w:rStyle w:val="FootnoteReference"/>
          <w:rFonts w:ascii="Times New Roman" w:hAnsi="Times New Roman"/>
          <w:b/>
          <w:color w:val="000000"/>
        </w:rPr>
        <w:footnoteReference w:id="40"/>
      </w:r>
      <w:r w:rsidRPr="00825575">
        <w:rPr>
          <w:rFonts w:ascii="Times New Roman" w:hAnsi="Times New Roman"/>
          <w:b/>
          <w:color w:val="000000"/>
        </w:rPr>
        <w:t xml:space="preserve"> </w:t>
      </w:r>
    </w:p>
    <w:p w:rsidR="00C06970" w:rsidRPr="00825575" w:rsidRDefault="00C06970" w:rsidP="00C06970">
      <w:pPr>
        <w:pStyle w:val="Title"/>
        <w:ind w:left="426"/>
        <w:jc w:val="both"/>
        <w:rPr>
          <w:rFonts w:ascii="Times New Roman" w:hAnsi="Times New Roman"/>
          <w:b/>
          <w:color w:val="000000"/>
        </w:rPr>
      </w:pPr>
    </w:p>
    <w:p w:rsidR="00C06970" w:rsidRPr="00825575" w:rsidRDefault="00C06970" w:rsidP="00C06970">
      <w:pPr>
        <w:pStyle w:val="Title"/>
        <w:spacing w:line="504" w:lineRule="auto"/>
        <w:ind w:firstLine="720"/>
        <w:jc w:val="both"/>
        <w:rPr>
          <w:rFonts w:ascii="Times New Roman" w:hAnsi="Times New Roman"/>
          <w:b/>
          <w:color w:val="000000"/>
        </w:rPr>
      </w:pPr>
      <w:r w:rsidRPr="00825575">
        <w:rPr>
          <w:rFonts w:ascii="Times New Roman" w:hAnsi="Times New Roman"/>
          <w:b/>
          <w:color w:val="000000"/>
        </w:rPr>
        <w:t>Berdasarkan dari pesan ini pula selanjutnya akan ditentukan dengan pasti saat mana seseorang berada dalam keadaan wanprestasi atau ingkar janji tersebut, sehingga pihak yang wanprestasi harus pula menanggung segala akibat yang telah merugikan pihak yang lainnya.</w:t>
      </w:r>
    </w:p>
    <w:p w:rsidR="00C06970" w:rsidRPr="00825575" w:rsidRDefault="00C06970" w:rsidP="00C06970">
      <w:pPr>
        <w:pStyle w:val="Title"/>
        <w:spacing w:line="456" w:lineRule="auto"/>
        <w:ind w:firstLine="720"/>
        <w:jc w:val="both"/>
        <w:rPr>
          <w:rFonts w:ascii="Times New Roman" w:hAnsi="Times New Roman"/>
          <w:b/>
          <w:color w:val="000000"/>
        </w:rPr>
      </w:pPr>
      <w:r w:rsidRPr="00825575">
        <w:rPr>
          <w:rFonts w:ascii="Times New Roman" w:hAnsi="Times New Roman"/>
          <w:b/>
          <w:color w:val="000000"/>
        </w:rPr>
        <w:t>Akibat timbulnya kerugian dari salah satu pihak tersebut, maka undang-undang memberikan sesuatu hak baginya untuk menuntut diantara beberapa hal yaitu :</w:t>
      </w:r>
    </w:p>
    <w:p w:rsidR="00C06970" w:rsidRPr="00825575" w:rsidRDefault="00C06970" w:rsidP="00B7086C">
      <w:pPr>
        <w:pStyle w:val="Title"/>
        <w:numPr>
          <w:ilvl w:val="0"/>
          <w:numId w:val="9"/>
        </w:numPr>
        <w:tabs>
          <w:tab w:val="clear" w:pos="360"/>
        </w:tabs>
        <w:spacing w:line="456" w:lineRule="auto"/>
        <w:jc w:val="both"/>
        <w:rPr>
          <w:rFonts w:ascii="Times New Roman" w:hAnsi="Times New Roman"/>
          <w:b/>
          <w:color w:val="000000"/>
        </w:rPr>
      </w:pPr>
      <w:r w:rsidRPr="00825575">
        <w:rPr>
          <w:rFonts w:ascii="Times New Roman" w:hAnsi="Times New Roman"/>
          <w:b/>
          <w:color w:val="000000"/>
        </w:rPr>
        <w:t>Pemenuhan prestasi</w:t>
      </w:r>
    </w:p>
    <w:p w:rsidR="00C06970" w:rsidRPr="00825575" w:rsidRDefault="00C06970" w:rsidP="00B7086C">
      <w:pPr>
        <w:pStyle w:val="Title"/>
        <w:numPr>
          <w:ilvl w:val="0"/>
          <w:numId w:val="9"/>
        </w:numPr>
        <w:tabs>
          <w:tab w:val="clear" w:pos="360"/>
        </w:tabs>
        <w:spacing w:line="456" w:lineRule="auto"/>
        <w:jc w:val="both"/>
        <w:rPr>
          <w:rFonts w:ascii="Times New Roman" w:hAnsi="Times New Roman"/>
          <w:b/>
          <w:color w:val="000000"/>
        </w:rPr>
      </w:pPr>
      <w:r w:rsidRPr="00825575">
        <w:rPr>
          <w:rFonts w:ascii="Times New Roman" w:hAnsi="Times New Roman"/>
          <w:b/>
          <w:color w:val="000000"/>
        </w:rPr>
        <w:t>Pemenuhan perjanjian disertai ganti rugi</w:t>
      </w:r>
    </w:p>
    <w:p w:rsidR="00C06970" w:rsidRPr="00825575" w:rsidRDefault="00C06970" w:rsidP="00B7086C">
      <w:pPr>
        <w:pStyle w:val="Title"/>
        <w:numPr>
          <w:ilvl w:val="0"/>
          <w:numId w:val="9"/>
        </w:numPr>
        <w:tabs>
          <w:tab w:val="clear" w:pos="360"/>
        </w:tabs>
        <w:spacing w:line="456" w:lineRule="auto"/>
        <w:jc w:val="both"/>
        <w:rPr>
          <w:rFonts w:ascii="Times New Roman" w:hAnsi="Times New Roman"/>
          <w:b/>
          <w:color w:val="000000"/>
        </w:rPr>
      </w:pPr>
      <w:r w:rsidRPr="00825575">
        <w:rPr>
          <w:rFonts w:ascii="Times New Roman" w:hAnsi="Times New Roman"/>
          <w:b/>
          <w:color w:val="000000"/>
        </w:rPr>
        <w:t>Ganti rugi</w:t>
      </w:r>
    </w:p>
    <w:p w:rsidR="00C06970" w:rsidRPr="00825575" w:rsidRDefault="00C06970" w:rsidP="00B7086C">
      <w:pPr>
        <w:pStyle w:val="Title"/>
        <w:numPr>
          <w:ilvl w:val="0"/>
          <w:numId w:val="9"/>
        </w:numPr>
        <w:tabs>
          <w:tab w:val="clear" w:pos="360"/>
        </w:tabs>
        <w:spacing w:line="456" w:lineRule="auto"/>
        <w:jc w:val="both"/>
        <w:rPr>
          <w:rFonts w:ascii="Times New Roman" w:hAnsi="Times New Roman"/>
          <w:b/>
          <w:color w:val="000000"/>
        </w:rPr>
      </w:pPr>
      <w:r w:rsidRPr="00825575">
        <w:rPr>
          <w:rFonts w:ascii="Times New Roman" w:hAnsi="Times New Roman"/>
          <w:b/>
          <w:color w:val="000000"/>
        </w:rPr>
        <w:t>Pembatalan perjanjian.</w:t>
      </w:r>
    </w:p>
    <w:p w:rsidR="00C06970" w:rsidRPr="00825575" w:rsidRDefault="00C06970" w:rsidP="00B7086C">
      <w:pPr>
        <w:pStyle w:val="Title"/>
        <w:numPr>
          <w:ilvl w:val="0"/>
          <w:numId w:val="9"/>
        </w:numPr>
        <w:tabs>
          <w:tab w:val="clear" w:pos="360"/>
        </w:tabs>
        <w:spacing w:line="504" w:lineRule="auto"/>
        <w:jc w:val="both"/>
        <w:rPr>
          <w:rFonts w:ascii="Times New Roman" w:hAnsi="Times New Roman"/>
          <w:b/>
          <w:color w:val="000000"/>
        </w:rPr>
      </w:pPr>
      <w:r w:rsidRPr="00825575">
        <w:rPr>
          <w:rFonts w:ascii="Times New Roman" w:hAnsi="Times New Roman"/>
          <w:b/>
          <w:color w:val="000000"/>
        </w:rPr>
        <w:t>Pembatalan disertai ganti rugi.</w:t>
      </w:r>
    </w:p>
    <w:p w:rsidR="00C06970" w:rsidRPr="00825575" w:rsidRDefault="00C06970" w:rsidP="00C06970">
      <w:pPr>
        <w:pStyle w:val="Title"/>
        <w:tabs>
          <w:tab w:val="left" w:pos="900"/>
        </w:tabs>
        <w:spacing w:line="504" w:lineRule="auto"/>
        <w:jc w:val="both"/>
        <w:rPr>
          <w:rFonts w:ascii="Times New Roman" w:hAnsi="Times New Roman"/>
          <w:b/>
          <w:color w:val="000000"/>
        </w:rPr>
      </w:pPr>
      <w:r w:rsidRPr="00825575">
        <w:rPr>
          <w:rFonts w:ascii="Times New Roman" w:hAnsi="Times New Roman"/>
          <w:b/>
          <w:color w:val="000000"/>
        </w:rPr>
        <w:tab/>
        <w:t>Bentuk ganti rugi tersebut di atas pada pelaksanaannya dapat diperinci dalam tiga bentuk yaitu biaya, rugi dan bunga.</w:t>
      </w:r>
    </w:p>
    <w:p w:rsidR="00C06970" w:rsidRDefault="00C06970" w:rsidP="00C06970">
      <w:pPr>
        <w:pStyle w:val="Title"/>
        <w:tabs>
          <w:tab w:val="left" w:pos="900"/>
        </w:tabs>
        <w:spacing w:line="480" w:lineRule="auto"/>
        <w:jc w:val="both"/>
        <w:rPr>
          <w:rFonts w:ascii="Times New Roman" w:hAnsi="Times New Roman"/>
          <w:b/>
          <w:color w:val="000000"/>
        </w:rPr>
      </w:pPr>
      <w:r w:rsidRPr="00825575">
        <w:rPr>
          <w:rFonts w:ascii="Times New Roman" w:hAnsi="Times New Roman"/>
          <w:b/>
          <w:color w:val="000000"/>
        </w:rPr>
        <w:tab/>
        <w:t xml:space="preserve">Menurut R. Setiawan disebutkan bahwa </w:t>
      </w:r>
      <w:r>
        <w:rPr>
          <w:rFonts w:ascii="Times New Roman" w:hAnsi="Times New Roman"/>
          <w:b/>
          <w:color w:val="000000"/>
        </w:rPr>
        <w:t>g</w:t>
      </w:r>
      <w:r w:rsidRPr="00825575">
        <w:rPr>
          <w:rFonts w:ascii="Times New Roman" w:hAnsi="Times New Roman"/>
          <w:b/>
          <w:color w:val="000000"/>
        </w:rPr>
        <w:t xml:space="preserve">anti rugi terdiri dari dua faktor </w:t>
      </w:r>
      <w:r>
        <w:rPr>
          <w:rFonts w:ascii="Times New Roman" w:hAnsi="Times New Roman"/>
          <w:b/>
          <w:color w:val="000000"/>
        </w:rPr>
        <w:t>yaitu :</w:t>
      </w:r>
    </w:p>
    <w:p w:rsidR="00C06970" w:rsidRDefault="00C06970" w:rsidP="00B7086C">
      <w:pPr>
        <w:pStyle w:val="Title"/>
        <w:numPr>
          <w:ilvl w:val="0"/>
          <w:numId w:val="5"/>
        </w:numPr>
        <w:tabs>
          <w:tab w:val="clear" w:pos="900"/>
        </w:tabs>
        <w:spacing w:line="480" w:lineRule="auto"/>
        <w:ind w:left="283" w:hanging="283"/>
        <w:jc w:val="both"/>
        <w:rPr>
          <w:rFonts w:ascii="Times New Roman" w:hAnsi="Times New Roman"/>
          <w:b/>
          <w:color w:val="000000"/>
        </w:rPr>
      </w:pPr>
      <w:r w:rsidRPr="00825575">
        <w:rPr>
          <w:rFonts w:ascii="Times New Roman" w:hAnsi="Times New Roman"/>
          <w:b/>
          <w:color w:val="000000"/>
        </w:rPr>
        <w:t>Kerugian yang nyata-nyata diderita</w:t>
      </w:r>
    </w:p>
    <w:p w:rsidR="00C06970" w:rsidRPr="00014612" w:rsidRDefault="00C06970" w:rsidP="00B7086C">
      <w:pPr>
        <w:pStyle w:val="Title"/>
        <w:numPr>
          <w:ilvl w:val="0"/>
          <w:numId w:val="5"/>
        </w:numPr>
        <w:tabs>
          <w:tab w:val="clear" w:pos="900"/>
        </w:tabs>
        <w:spacing w:line="480" w:lineRule="auto"/>
        <w:ind w:left="283" w:hanging="283"/>
        <w:jc w:val="both"/>
        <w:rPr>
          <w:rFonts w:ascii="Times New Roman" w:hAnsi="Times New Roman"/>
          <w:b/>
          <w:color w:val="000000"/>
        </w:rPr>
      </w:pPr>
      <w:r w:rsidRPr="00014612">
        <w:rPr>
          <w:rFonts w:ascii="Times New Roman" w:hAnsi="Times New Roman"/>
          <w:b/>
          <w:color w:val="000000"/>
        </w:rPr>
        <w:t>Keuntungan yang seharusnya diperoleh</w:t>
      </w:r>
    </w:p>
    <w:p w:rsidR="00C06970" w:rsidRPr="00825575" w:rsidRDefault="00C06970" w:rsidP="00C06970">
      <w:pPr>
        <w:pStyle w:val="Title"/>
        <w:spacing w:line="444" w:lineRule="auto"/>
        <w:ind w:firstLine="709"/>
        <w:jc w:val="both"/>
        <w:rPr>
          <w:rFonts w:ascii="Times New Roman" w:hAnsi="Times New Roman"/>
          <w:b/>
          <w:color w:val="000000"/>
        </w:rPr>
      </w:pPr>
      <w:r w:rsidRPr="00825575">
        <w:rPr>
          <w:rFonts w:ascii="Times New Roman" w:hAnsi="Times New Roman"/>
          <w:b/>
          <w:color w:val="000000"/>
        </w:rPr>
        <w:lastRenderedPageBreak/>
        <w:t>Kedua faktor tersebut dicakup dalam pengertian, biaya, kerugian dan bunga. Biaya adalah pengeluaran-pengeluaran nyata, misalnya biaya Notaris, biaya perjalanan dan seterusnya. Kerugian adalah berkurangnya kekayaan kreditur sebagai akibat dari pada ingkar janji dan bunga adalah keuntungan yang seharusnya diperoleh kreditur jika tidak terjadi ingkar janji.</w:t>
      </w:r>
      <w:r w:rsidRPr="00825575">
        <w:rPr>
          <w:rStyle w:val="FootnoteReference"/>
          <w:rFonts w:ascii="Times New Roman" w:hAnsi="Times New Roman"/>
          <w:b/>
          <w:color w:val="000000"/>
        </w:rPr>
        <w:footnoteReference w:customMarkFollows="1" w:id="41"/>
        <w:t>25</w:t>
      </w:r>
    </w:p>
    <w:p w:rsidR="00C06970" w:rsidRPr="00825575" w:rsidRDefault="00C06970" w:rsidP="00C06970">
      <w:pPr>
        <w:pStyle w:val="Title"/>
        <w:spacing w:line="444" w:lineRule="auto"/>
        <w:jc w:val="both"/>
        <w:rPr>
          <w:rFonts w:ascii="Times New Roman" w:hAnsi="Times New Roman"/>
          <w:b/>
          <w:color w:val="000000"/>
        </w:rPr>
      </w:pPr>
      <w:r w:rsidRPr="00825575">
        <w:rPr>
          <w:rFonts w:ascii="Times New Roman" w:hAnsi="Times New Roman"/>
          <w:b/>
          <w:color w:val="000000"/>
        </w:rPr>
        <w:tab/>
        <w:t>Perjanjian menentukan bahwa dalam hal terlambatnya salah satu pihak untuk melaksanakan kewajiban sesuai dengan ketentuan dan dalam jadwal waktu yang telah ditentukan adalah merupakan salah satu bentuk dari wanprestasi. Penentuan wanprestasi ini sendiri erat kaitannya dengan suatu pernyataan lalai yaitu suatu pesan dari salah satu pihak untuk memberitahukan pada saat kapan selambatnya ia mengharapkan pemenuhan prestasi.</w:t>
      </w:r>
    </w:p>
    <w:p w:rsidR="00C06970" w:rsidRPr="00825575" w:rsidRDefault="00C06970" w:rsidP="00C06970">
      <w:pPr>
        <w:pStyle w:val="Title"/>
        <w:spacing w:line="444" w:lineRule="auto"/>
        <w:ind w:firstLine="709"/>
        <w:jc w:val="both"/>
        <w:rPr>
          <w:rFonts w:ascii="Times New Roman" w:hAnsi="Times New Roman"/>
          <w:b/>
          <w:color w:val="000000"/>
        </w:rPr>
      </w:pPr>
      <w:r w:rsidRPr="00825575">
        <w:rPr>
          <w:rFonts w:ascii="Times New Roman" w:hAnsi="Times New Roman"/>
          <w:b/>
          <w:color w:val="000000"/>
        </w:rPr>
        <w:tab/>
        <w:t>Keterlambatan melakukan kewajiban ini dapat juga terjadi dari bentuk wanprestasi lainnya, seperti halnya melaksanakan kewajiban yang tidak sesuai dengan apa yang telah diperjanjikan. Sementara bentuk wanprestasi ini juga harus dapat dibedakan terhadap lalainya pihak kedua untuk tidak melakukan kewajiban sama sekali, karena dalam hal demikian pihak kedua tidak dapat dianggap terlambat memenuhi pelaksanaan prestasi. Sementara sanksi dalam hal pihak kedua tidak melaksanakan kewajiban sama sekali yang  selanjutnya dapat dikategorikan menolak untuk melaksanakan kewajiban, maka sebagai sanksinya pihak pertama berhak atas uang jaminan yang diberikan oleh salah satu pihak.</w:t>
      </w:r>
    </w:p>
    <w:p w:rsidR="00C06970" w:rsidRPr="00825575" w:rsidRDefault="00C06970" w:rsidP="00B7086C">
      <w:pPr>
        <w:numPr>
          <w:ilvl w:val="0"/>
          <w:numId w:val="4"/>
        </w:numPr>
        <w:autoSpaceDE w:val="0"/>
        <w:autoSpaceDN w:val="0"/>
        <w:adjustRightInd w:val="0"/>
        <w:spacing w:line="480" w:lineRule="auto"/>
        <w:ind w:left="360"/>
        <w:jc w:val="both"/>
        <w:rPr>
          <w:b/>
          <w:bCs/>
          <w:color w:val="000000"/>
        </w:rPr>
      </w:pPr>
      <w:r>
        <w:rPr>
          <w:rFonts w:eastAsia="Arial"/>
          <w:b/>
          <w:color w:val="000000"/>
        </w:rPr>
        <w:t xml:space="preserve">Tinjauan Tentang </w:t>
      </w:r>
      <w:r w:rsidRPr="00825575">
        <w:rPr>
          <w:rFonts w:eastAsia="Arial"/>
          <w:b/>
          <w:color w:val="000000"/>
        </w:rPr>
        <w:t>Tanggung Renteng</w:t>
      </w:r>
    </w:p>
    <w:p w:rsidR="00C06970" w:rsidRPr="00825575" w:rsidRDefault="00C06970" w:rsidP="00B7086C">
      <w:pPr>
        <w:pStyle w:val="ListParagraph"/>
        <w:numPr>
          <w:ilvl w:val="1"/>
          <w:numId w:val="4"/>
        </w:numPr>
        <w:spacing w:after="0" w:line="480" w:lineRule="auto"/>
        <w:ind w:left="720"/>
        <w:jc w:val="both"/>
        <w:rPr>
          <w:rFonts w:ascii="Times New Roman" w:hAnsi="Times New Roman"/>
          <w:b/>
          <w:bCs/>
          <w:color w:val="000000"/>
          <w:sz w:val="24"/>
          <w:szCs w:val="24"/>
        </w:rPr>
      </w:pPr>
      <w:r w:rsidRPr="00825575">
        <w:rPr>
          <w:rFonts w:ascii="Times New Roman" w:eastAsia="Arial" w:hAnsi="Times New Roman"/>
          <w:b/>
          <w:color w:val="000000"/>
          <w:sz w:val="24"/>
          <w:szCs w:val="24"/>
        </w:rPr>
        <w:lastRenderedPageBreak/>
        <w:t>Pengertian Tanggung Renteng dalam Perjanjian</w:t>
      </w:r>
    </w:p>
    <w:p w:rsidR="00C06970" w:rsidRPr="00E807F9" w:rsidRDefault="00C06970" w:rsidP="00C06970">
      <w:pPr>
        <w:autoSpaceDE w:val="0"/>
        <w:autoSpaceDN w:val="0"/>
        <w:adjustRightInd w:val="0"/>
        <w:spacing w:line="480" w:lineRule="auto"/>
        <w:ind w:firstLine="709"/>
        <w:jc w:val="both"/>
      </w:pPr>
      <w:r w:rsidRPr="00E807F9">
        <w:t xml:space="preserve">Tanggung renteng berasal dari kata </w:t>
      </w:r>
      <w:r w:rsidRPr="00E807F9">
        <w:rPr>
          <w:iCs/>
        </w:rPr>
        <w:t xml:space="preserve">tanggung </w:t>
      </w:r>
      <w:r w:rsidRPr="00E807F9">
        <w:t xml:space="preserve">berarti memikul, menjamin, menyatakan kesediaan untuk membayar utang orang lain bila orang tersebut tidak menepati janjinya. Sedangkan kata </w:t>
      </w:r>
      <w:r w:rsidRPr="00E807F9">
        <w:rPr>
          <w:iCs/>
        </w:rPr>
        <w:t xml:space="preserve">renteng </w:t>
      </w:r>
      <w:r w:rsidRPr="00E807F9">
        <w:t>berarti rangkaian, untaian. Dalam dunia perkreditan tanggung renteng dapat diartikan sebagai tanggung jawab bersama antara peminjam dan penjaminnya atas hutang yang dibuatnya.</w:t>
      </w:r>
    </w:p>
    <w:p w:rsidR="00C06970" w:rsidRPr="00E807F9" w:rsidRDefault="00C06970" w:rsidP="00C06970">
      <w:pPr>
        <w:autoSpaceDE w:val="0"/>
        <w:autoSpaceDN w:val="0"/>
        <w:adjustRightInd w:val="0"/>
        <w:spacing w:line="480" w:lineRule="auto"/>
        <w:ind w:firstLine="709"/>
        <w:jc w:val="both"/>
        <w:rPr>
          <w:color w:val="000000"/>
        </w:rPr>
      </w:pPr>
      <w:r w:rsidRPr="00E807F9">
        <w:t>Tanggung renteng juga berarti hukum menanggung secara bersama-sama tentang biaya yang harus dibayar dan sebagainya. Sistem tanggung renteng merupakan tanggung jawab bersama setiap orang anggota kelompok, untuk memenuhi kewajiban secara bersama-sama jika terdapat suatu masalah.</w:t>
      </w:r>
    </w:p>
    <w:p w:rsidR="00C06970" w:rsidRPr="00825575" w:rsidRDefault="00C06970" w:rsidP="00C06970">
      <w:pPr>
        <w:autoSpaceDE w:val="0"/>
        <w:autoSpaceDN w:val="0"/>
        <w:adjustRightInd w:val="0"/>
        <w:spacing w:line="480" w:lineRule="auto"/>
        <w:ind w:firstLine="709"/>
        <w:jc w:val="both"/>
        <w:rPr>
          <w:color w:val="000000"/>
        </w:rPr>
      </w:pPr>
      <w:r w:rsidRPr="00825575">
        <w:rPr>
          <w:color w:val="000000"/>
        </w:rPr>
        <w:t xml:space="preserve">Menurut J. Satrio bahwa  yang dimaksud tanggung renteng adalah </w:t>
      </w:r>
      <w:r>
        <w:rPr>
          <w:color w:val="000000"/>
        </w:rPr>
        <w:t>s</w:t>
      </w:r>
      <w:r w:rsidRPr="00825575">
        <w:rPr>
          <w:color w:val="000000"/>
        </w:rPr>
        <w:t>uatu perikatan yang terjadi antara beberapa orang yang berpiutang. Di dalamnya terdapat perjanjian secara tegas. Orang yang berpiutang diberikan hak untuk menuntut pemenuhan seluruh hutang, sedangkan pembayarannya dilakukan pada salah satu untuk membebaskan orang yang berpiutang.</w:t>
      </w:r>
      <w:r w:rsidRPr="00825575">
        <w:rPr>
          <w:rStyle w:val="FootnoteReference"/>
          <w:color w:val="000000"/>
        </w:rPr>
        <w:footnoteReference w:id="42"/>
      </w:r>
    </w:p>
    <w:p w:rsidR="00C06970" w:rsidRPr="00825575" w:rsidRDefault="00C06970" w:rsidP="00C06970">
      <w:pPr>
        <w:autoSpaceDE w:val="0"/>
        <w:autoSpaceDN w:val="0"/>
        <w:adjustRightInd w:val="0"/>
        <w:spacing w:line="480" w:lineRule="auto"/>
        <w:ind w:firstLine="709"/>
        <w:jc w:val="both"/>
        <w:rPr>
          <w:color w:val="000000"/>
        </w:rPr>
      </w:pPr>
      <w:r w:rsidRPr="00825575">
        <w:rPr>
          <w:color w:val="000000"/>
        </w:rPr>
        <w:t>Munir Fuady menyebutkan tanggung renteng adalah “tanggung jawab bersama pada suatu kelompok orang yang mengerjakan suatu pekerjaan tertentu yang bersifat utang piutang dan melakukan bagi hasil”.</w:t>
      </w:r>
      <w:r w:rsidRPr="00825575">
        <w:rPr>
          <w:rStyle w:val="FootnoteReference"/>
          <w:color w:val="000000"/>
        </w:rPr>
        <w:footnoteReference w:id="43"/>
      </w:r>
      <w:r w:rsidRPr="00825575">
        <w:rPr>
          <w:color w:val="000000"/>
        </w:rPr>
        <w:t xml:space="preserve">  Sistem </w:t>
      </w:r>
      <w:r w:rsidRPr="00825575">
        <w:rPr>
          <w:i/>
          <w:iCs/>
          <w:color w:val="000000"/>
        </w:rPr>
        <w:t xml:space="preserve">tanggung renteng </w:t>
      </w:r>
      <w:r w:rsidRPr="00825575">
        <w:rPr>
          <w:color w:val="000000"/>
        </w:rPr>
        <w:t>merupakan perwujudan paling tinggi dan kepercayaan serta merupakan rasa setia kawan antar anggota dalam kelompok. Nilai yang terkandung dalam sistem tanggung renteng adalah :</w:t>
      </w:r>
    </w:p>
    <w:p w:rsidR="00C06970" w:rsidRPr="00825575" w:rsidRDefault="00C06970" w:rsidP="00B7086C">
      <w:pPr>
        <w:numPr>
          <w:ilvl w:val="1"/>
          <w:numId w:val="6"/>
        </w:numPr>
        <w:tabs>
          <w:tab w:val="clear" w:pos="1440"/>
          <w:tab w:val="num" w:pos="709"/>
        </w:tabs>
        <w:autoSpaceDE w:val="0"/>
        <w:autoSpaceDN w:val="0"/>
        <w:adjustRightInd w:val="0"/>
        <w:ind w:left="709"/>
        <w:jc w:val="both"/>
        <w:rPr>
          <w:color w:val="000000"/>
        </w:rPr>
      </w:pPr>
      <w:r w:rsidRPr="00825575">
        <w:rPr>
          <w:color w:val="000000"/>
        </w:rPr>
        <w:t>Kekeluargaan dan kegotong royongan.</w:t>
      </w:r>
    </w:p>
    <w:p w:rsidR="00C06970" w:rsidRPr="00825575" w:rsidRDefault="00C06970" w:rsidP="00B7086C">
      <w:pPr>
        <w:numPr>
          <w:ilvl w:val="1"/>
          <w:numId w:val="6"/>
        </w:numPr>
        <w:tabs>
          <w:tab w:val="clear" w:pos="1440"/>
          <w:tab w:val="num" w:pos="709"/>
        </w:tabs>
        <w:autoSpaceDE w:val="0"/>
        <w:autoSpaceDN w:val="0"/>
        <w:adjustRightInd w:val="0"/>
        <w:ind w:left="709"/>
        <w:jc w:val="both"/>
        <w:rPr>
          <w:color w:val="000000"/>
        </w:rPr>
      </w:pPr>
      <w:r w:rsidRPr="00825575">
        <w:rPr>
          <w:color w:val="000000"/>
        </w:rPr>
        <w:lastRenderedPageBreak/>
        <w:t>Keterbukaan dan keberanian mengemukakan pendapat.</w:t>
      </w:r>
    </w:p>
    <w:p w:rsidR="00C06970" w:rsidRPr="00825575" w:rsidRDefault="00C06970" w:rsidP="00B7086C">
      <w:pPr>
        <w:numPr>
          <w:ilvl w:val="1"/>
          <w:numId w:val="6"/>
        </w:numPr>
        <w:tabs>
          <w:tab w:val="clear" w:pos="1440"/>
          <w:tab w:val="num" w:pos="709"/>
        </w:tabs>
        <w:autoSpaceDE w:val="0"/>
        <w:autoSpaceDN w:val="0"/>
        <w:adjustRightInd w:val="0"/>
        <w:ind w:left="709"/>
        <w:jc w:val="both"/>
        <w:rPr>
          <w:color w:val="000000"/>
        </w:rPr>
      </w:pPr>
      <w:r w:rsidRPr="00825575">
        <w:rPr>
          <w:color w:val="000000"/>
        </w:rPr>
        <w:t>Menanamkan disiplin, tanggung jawab dan harga diri serta rasa percaya diri kepada anggota.</w:t>
      </w:r>
    </w:p>
    <w:p w:rsidR="00C06970" w:rsidRPr="00825575" w:rsidRDefault="00C06970" w:rsidP="00B7086C">
      <w:pPr>
        <w:numPr>
          <w:ilvl w:val="1"/>
          <w:numId w:val="6"/>
        </w:numPr>
        <w:tabs>
          <w:tab w:val="clear" w:pos="1440"/>
          <w:tab w:val="num" w:pos="709"/>
        </w:tabs>
        <w:autoSpaceDE w:val="0"/>
        <w:autoSpaceDN w:val="0"/>
        <w:adjustRightInd w:val="0"/>
        <w:ind w:left="709"/>
        <w:jc w:val="both"/>
        <w:rPr>
          <w:color w:val="000000"/>
        </w:rPr>
      </w:pPr>
      <w:r w:rsidRPr="00825575">
        <w:rPr>
          <w:color w:val="000000"/>
        </w:rPr>
        <w:t>Secara tidak langsung menciptakan kader pimpinan di kalangan anggota.</w:t>
      </w:r>
      <w:r w:rsidRPr="00825575">
        <w:rPr>
          <w:rStyle w:val="FootnoteReference"/>
          <w:color w:val="000000"/>
        </w:rPr>
        <w:footnoteReference w:id="44"/>
      </w:r>
    </w:p>
    <w:p w:rsidR="00C06970" w:rsidRPr="00825575" w:rsidRDefault="00C06970" w:rsidP="00C06970">
      <w:pPr>
        <w:autoSpaceDE w:val="0"/>
        <w:autoSpaceDN w:val="0"/>
        <w:adjustRightInd w:val="0"/>
        <w:ind w:left="709"/>
        <w:jc w:val="both"/>
        <w:rPr>
          <w:color w:val="000000"/>
        </w:rPr>
      </w:pPr>
    </w:p>
    <w:p w:rsidR="00C06970" w:rsidRPr="00825575" w:rsidRDefault="00C06970" w:rsidP="00B7086C">
      <w:pPr>
        <w:pStyle w:val="ListParagraph"/>
        <w:numPr>
          <w:ilvl w:val="1"/>
          <w:numId w:val="4"/>
        </w:numPr>
        <w:ind w:left="360"/>
        <w:jc w:val="both"/>
        <w:rPr>
          <w:rFonts w:ascii="Times New Roman" w:eastAsia="Arial" w:hAnsi="Times New Roman"/>
          <w:b/>
          <w:color w:val="000000"/>
          <w:sz w:val="24"/>
          <w:szCs w:val="24"/>
        </w:rPr>
      </w:pPr>
      <w:r w:rsidRPr="00825575">
        <w:rPr>
          <w:rFonts w:ascii="Times New Roman" w:eastAsia="Arial" w:hAnsi="Times New Roman"/>
          <w:b/>
          <w:color w:val="000000"/>
          <w:sz w:val="24"/>
          <w:szCs w:val="24"/>
        </w:rPr>
        <w:t xml:space="preserve">Prinsip Tanggung Renteng </w:t>
      </w:r>
    </w:p>
    <w:p w:rsidR="00C06970" w:rsidRPr="00825575" w:rsidRDefault="00C06970" w:rsidP="00C06970">
      <w:pPr>
        <w:autoSpaceDE w:val="0"/>
        <w:autoSpaceDN w:val="0"/>
        <w:adjustRightInd w:val="0"/>
        <w:spacing w:line="480" w:lineRule="auto"/>
        <w:ind w:firstLine="709"/>
        <w:jc w:val="both"/>
        <w:rPr>
          <w:color w:val="000000"/>
        </w:rPr>
      </w:pPr>
      <w:r w:rsidRPr="00825575">
        <w:rPr>
          <w:color w:val="000000"/>
        </w:rPr>
        <w:t xml:space="preserve">Putusan akhir dalam suatu sengketa yang diputuskan oleh hakim yang memeriksa dalam persidangan umumnya mengandung sanksi berupa hukuman terhadap pihak yang dikalahkan dalam suatu persidangan di pengadilan. </w:t>
      </w:r>
      <w:r>
        <w:rPr>
          <w:color w:val="000000"/>
        </w:rPr>
        <w:t xml:space="preserve"> </w:t>
      </w:r>
      <w:r w:rsidRPr="00825575">
        <w:rPr>
          <w:color w:val="000000"/>
        </w:rPr>
        <w:t>Pemenuhan sanksi dalam hukum acara perdata hukumannya berupa pemenuhan prestasi dan atau pemberian ganti rugi kepada pihak yang telah dirugikan atau yang dimenangkan dalam persidangan pengadilan dalam suatu sengketa, sedangkan dalam hukum acara pidana umumnya hukumannya penjara dan atau denda.</w:t>
      </w:r>
      <w:r w:rsidRPr="00825575">
        <w:rPr>
          <w:rStyle w:val="FootnoteReference"/>
          <w:color w:val="000000"/>
        </w:rPr>
        <w:footnoteReference w:id="45"/>
      </w:r>
    </w:p>
    <w:p w:rsidR="00C06970" w:rsidRDefault="00C06970" w:rsidP="00C06970">
      <w:pPr>
        <w:autoSpaceDE w:val="0"/>
        <w:autoSpaceDN w:val="0"/>
        <w:adjustRightInd w:val="0"/>
        <w:spacing w:line="516" w:lineRule="auto"/>
        <w:ind w:firstLine="720"/>
        <w:jc w:val="both"/>
        <w:rPr>
          <w:color w:val="000000"/>
        </w:rPr>
      </w:pPr>
      <w:r w:rsidRPr="00825575">
        <w:rPr>
          <w:color w:val="000000"/>
        </w:rPr>
        <w:t>Akibat perbuatan wanprestasi secara yuridis mempunyai konsekuensi terhadap pelaku maupun orang-orang yang mempunyai hubungan hukum dalam bentuk pekerjaan yang menyebabkan timbulnya perbuatan wanprestasi. Akibat yang timbul dari suatu perbuatan wanprestasi akan diwujudkan dalam bentuk ganti kerugian terhadap korban yang mengalami kerugian tersebut. Penggantian kerugian sebagai akibat dari adanya perbuatan wanprestasi dapat berupa penggantian kerugian materiil dan immaterial.</w:t>
      </w:r>
    </w:p>
    <w:p w:rsidR="00C06970" w:rsidRPr="00825575" w:rsidRDefault="00C06970" w:rsidP="00C06970">
      <w:pPr>
        <w:autoSpaceDE w:val="0"/>
        <w:autoSpaceDN w:val="0"/>
        <w:adjustRightInd w:val="0"/>
        <w:spacing w:line="516" w:lineRule="auto"/>
        <w:ind w:firstLine="720"/>
        <w:jc w:val="both"/>
        <w:rPr>
          <w:color w:val="000000"/>
        </w:rPr>
      </w:pPr>
      <w:r>
        <w:rPr>
          <w:color w:val="000000"/>
        </w:rPr>
        <w:t>B</w:t>
      </w:r>
      <w:r w:rsidRPr="00825575">
        <w:rPr>
          <w:color w:val="000000"/>
        </w:rPr>
        <w:t xml:space="preserve">eberapa praktik di pengadilan, banyak terjadi kasus perkara wanprestasi yang meminta gugatan ganti kerugian immateriil selain juga ganti kerugian </w:t>
      </w:r>
      <w:r w:rsidRPr="00825575">
        <w:rPr>
          <w:color w:val="000000"/>
        </w:rPr>
        <w:lastRenderedPageBreak/>
        <w:t>materiil. Gugatan ganti kerugian immateriil tersebut juga biasanya tidak hanya dimintakan pada satu orang tergugat saja, yang menyebabkan ganti kerugian tersebut mengandung tanggung jawab tanggung renteng bagi para tergugat. Putusan mengenai tanggung jawab tanggung renteng banyak terjadi dalam praktik apabila tergugat lebih dari satu orang.</w:t>
      </w:r>
      <w:r w:rsidRPr="00825575">
        <w:rPr>
          <w:rStyle w:val="FootnoteReference"/>
          <w:color w:val="000000"/>
        </w:rPr>
        <w:footnoteReference w:id="46"/>
      </w:r>
    </w:p>
    <w:p w:rsidR="00C06970" w:rsidRPr="00825575" w:rsidRDefault="00C06970" w:rsidP="00C06970">
      <w:pPr>
        <w:autoSpaceDE w:val="0"/>
        <w:autoSpaceDN w:val="0"/>
        <w:adjustRightInd w:val="0"/>
        <w:spacing w:line="480" w:lineRule="auto"/>
        <w:ind w:firstLine="709"/>
        <w:jc w:val="both"/>
      </w:pPr>
      <w:r w:rsidRPr="00825575">
        <w:rPr>
          <w:color w:val="000000"/>
        </w:rPr>
        <w:t>Merujuk ketentuan Pasal 1278 KUHPerdata dihubungkan dengan putusan pengadilan yang berisi tentang tanggung jawab bersama para tergugat/tanggung renteng antara para tergugat dapat diartikan bahwa apabila salah satu tergugat membayar ganti kerugian immateriil tersebut, maka tergugat yang lain dibebaskan untuk membayar. Tanggung-menanggung atau tanggung renteng sebenarnya lahir dari suatu perikatan antara beberapa kreditur, jika dalam bukti persetujuan secara tegas kepada masing-masing diberikan hak untuk menuntut pemenuhan seluruh utang, sedangkan pembayaran yang dilakukan kepada salah seorang di antara mereka, membebaskan debitur, meskipun perikatan itu menurut sifatnya dapat dipecah dan dibagi antara para kreditur tadi. Tanggung renteng dalam perkembangannya bukan hanya dikenal dalam ranah hukum perdata (hukum materil) saja, tapi juga sudah diterapkan dalam ranah hukum acara perdata (hukum formil) yang salah satunya digunakan hakim dalam putusan pengadilan apabila dalam satu perkara terdapat lebih dari satu tergugat.</w:t>
      </w:r>
    </w:p>
    <w:p w:rsidR="001A2B78" w:rsidRPr="00C06970" w:rsidRDefault="001A2B78" w:rsidP="00C06970"/>
    <w:sectPr w:rsidR="001A2B78" w:rsidRPr="00C06970" w:rsidSect="000609B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9AC" w:rsidRDefault="005D79AC">
      <w:r>
        <w:separator/>
      </w:r>
    </w:p>
  </w:endnote>
  <w:endnote w:type="continuationSeparator" w:id="1">
    <w:p w:rsidR="005D79AC" w:rsidRDefault="005D7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9770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70B8" w:rsidRDefault="009770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E74" w:rsidRDefault="00994E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7D310F" w:rsidRDefault="009770B8" w:rsidP="00342D52">
    <w:pPr>
      <w:pStyle w:val="Footer"/>
      <w:jc w:val="center"/>
    </w:pPr>
    <w:r w:rsidRPr="007D310F">
      <w:rPr>
        <w:rStyle w:val="PageNumber"/>
      </w:rPr>
      <w:fldChar w:fldCharType="begin"/>
    </w:r>
    <w:r w:rsidRPr="007D310F">
      <w:rPr>
        <w:rStyle w:val="PageNumber"/>
      </w:rPr>
      <w:instrText xml:space="preserve"> PAGE </w:instrText>
    </w:r>
    <w:r w:rsidRPr="007D310F">
      <w:rPr>
        <w:rStyle w:val="PageNumber"/>
      </w:rPr>
      <w:fldChar w:fldCharType="separate"/>
    </w:r>
    <w:r w:rsidR="00994E74">
      <w:rPr>
        <w:rStyle w:val="PageNumber"/>
        <w:noProof/>
      </w:rPr>
      <w:t>70</w:t>
    </w:r>
    <w:r w:rsidRPr="007D310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9AC" w:rsidRDefault="005D79AC">
      <w:r>
        <w:separator/>
      </w:r>
    </w:p>
  </w:footnote>
  <w:footnote w:type="continuationSeparator" w:id="1">
    <w:p w:rsidR="005D79AC" w:rsidRDefault="005D79AC">
      <w:r>
        <w:continuationSeparator/>
      </w:r>
    </w:p>
  </w:footnote>
  <w:footnote w:id="2">
    <w:p w:rsidR="00C06970" w:rsidRPr="00A30622" w:rsidRDefault="00C06970" w:rsidP="00C06970">
      <w:pPr>
        <w:pStyle w:val="FootnoteText"/>
        <w:ind w:firstLine="720"/>
        <w:jc w:val="both"/>
      </w:pPr>
      <w:r w:rsidRPr="00A30622">
        <w:rPr>
          <w:rStyle w:val="FootnoteReference"/>
        </w:rPr>
        <w:footnoteRef/>
      </w:r>
      <w:r w:rsidRPr="00A30622">
        <w:t>Paulus  Tomy Prihwaskito, “Tinjauan Yuridis Perjanjian Sewa Menyewa Depo Container Yard PT. Kawasan Berikat Nusantara Perero (Studi Putusan MA No. 116 PK/Pdt/2015”</w:t>
      </w:r>
      <w:r w:rsidRPr="00A30622">
        <w:rPr>
          <w:i/>
          <w:iCs/>
        </w:rPr>
        <w:t xml:space="preserve">, Jurnal Ilmu Hukum, </w:t>
      </w:r>
      <w:r w:rsidRPr="00A30622">
        <w:rPr>
          <w:iCs/>
        </w:rPr>
        <w:t>Volume 5 Nomor 4 Tahun 2016, h</w:t>
      </w:r>
      <w:r w:rsidRPr="00A30622">
        <w:t>.1.</w:t>
      </w:r>
    </w:p>
  </w:footnote>
  <w:footnote w:id="3">
    <w:p w:rsidR="00C06970" w:rsidRPr="00A30622" w:rsidRDefault="00C06970" w:rsidP="00C06970">
      <w:pPr>
        <w:pStyle w:val="FootnoteText"/>
        <w:ind w:firstLine="720"/>
        <w:jc w:val="both"/>
      </w:pPr>
      <w:r w:rsidRPr="00A30622">
        <w:rPr>
          <w:rStyle w:val="FootnoteReference"/>
        </w:rPr>
        <w:footnoteRef/>
      </w:r>
      <w:r w:rsidRPr="00A30622">
        <w:t xml:space="preserve">M. Yahya Harahap, </w:t>
      </w:r>
      <w:r w:rsidRPr="00A30622">
        <w:rPr>
          <w:i/>
          <w:iCs/>
        </w:rPr>
        <w:t>Segi-Segi Hukum Perjanjian,</w:t>
      </w:r>
      <w:r w:rsidRPr="00A30622">
        <w:t xml:space="preserve"> Alumni, Bandung, 2012</w:t>
      </w:r>
      <w:r w:rsidRPr="00A30622">
        <w:rPr>
          <w:i/>
          <w:iCs/>
        </w:rPr>
        <w:t xml:space="preserve">, </w:t>
      </w:r>
      <w:r w:rsidRPr="00A30622">
        <w:rPr>
          <w:iCs/>
        </w:rPr>
        <w:t xml:space="preserve"> h</w:t>
      </w:r>
      <w:r w:rsidRPr="00A30622">
        <w:t>.23.</w:t>
      </w:r>
    </w:p>
  </w:footnote>
  <w:footnote w:id="4">
    <w:p w:rsidR="00C06970" w:rsidRPr="00A30622" w:rsidRDefault="00C06970" w:rsidP="00C06970">
      <w:pPr>
        <w:pStyle w:val="FootnoteText"/>
        <w:ind w:firstLine="720"/>
        <w:jc w:val="both"/>
      </w:pPr>
      <w:r w:rsidRPr="00A30622">
        <w:rPr>
          <w:rStyle w:val="FootnoteReference"/>
        </w:rPr>
        <w:footnoteRef/>
      </w:r>
      <w:r w:rsidRPr="00A30622">
        <w:t xml:space="preserve">Abdul Kadir Muhammad,  </w:t>
      </w:r>
      <w:r w:rsidRPr="00A30622">
        <w:rPr>
          <w:i/>
          <w:iCs/>
        </w:rPr>
        <w:t xml:space="preserve">Hukum Perikatan, </w:t>
      </w:r>
      <w:r w:rsidRPr="00A30622">
        <w:t>Alumni, Bandung, 2016, h.78.</w:t>
      </w:r>
    </w:p>
  </w:footnote>
  <w:footnote w:id="5">
    <w:p w:rsidR="00C06970" w:rsidRPr="00A30622" w:rsidRDefault="00C06970" w:rsidP="00C06970">
      <w:pPr>
        <w:pStyle w:val="FootnoteText"/>
        <w:ind w:firstLine="709"/>
        <w:jc w:val="both"/>
      </w:pPr>
      <w:r w:rsidRPr="00A30622">
        <w:rPr>
          <w:rStyle w:val="FootnoteReference"/>
        </w:rPr>
        <w:footnoteRef/>
      </w:r>
      <w:r w:rsidRPr="00A30622">
        <w:t xml:space="preserve"> Sudikno Mertokusumo, </w:t>
      </w:r>
      <w:r w:rsidRPr="00A30622">
        <w:rPr>
          <w:i/>
          <w:iCs/>
        </w:rPr>
        <w:t>Mengenai Hukum,</w:t>
      </w:r>
      <w:r w:rsidRPr="00A30622">
        <w:t xml:space="preserve"> Liberty, Yogyakarta,  2018, h. 97</w:t>
      </w:r>
    </w:p>
  </w:footnote>
  <w:footnote w:id="6">
    <w:p w:rsidR="00C06970" w:rsidRPr="00A30622" w:rsidRDefault="00C06970" w:rsidP="00C06970">
      <w:pPr>
        <w:pStyle w:val="FootnoteText"/>
        <w:ind w:firstLine="709"/>
        <w:jc w:val="both"/>
      </w:pPr>
      <w:r w:rsidRPr="00A30622">
        <w:rPr>
          <w:rStyle w:val="FootnoteReference"/>
        </w:rPr>
        <w:footnoteRef/>
      </w:r>
      <w:r w:rsidRPr="00A30622">
        <w:t xml:space="preserve"> M. Yahya Harahap, </w:t>
      </w:r>
      <w:r w:rsidRPr="00A30622">
        <w:rPr>
          <w:i/>
        </w:rPr>
        <w:t>Segi-Segi Hukum Perjanjian</w:t>
      </w:r>
      <w:r w:rsidRPr="00A30622">
        <w:t>,Alumni, Bandung, 2012,</w:t>
      </w:r>
      <w:r w:rsidRPr="00A30622">
        <w:rPr>
          <w:i/>
          <w:iCs/>
        </w:rPr>
        <w:t xml:space="preserve"> </w:t>
      </w:r>
      <w:r w:rsidRPr="00A30622">
        <w:t>h. 6</w:t>
      </w:r>
    </w:p>
  </w:footnote>
  <w:footnote w:id="7">
    <w:p w:rsidR="00C06970" w:rsidRPr="00A30622" w:rsidRDefault="00C06970" w:rsidP="00C06970">
      <w:pPr>
        <w:pStyle w:val="FootnoteText"/>
        <w:ind w:firstLine="709"/>
        <w:jc w:val="both"/>
      </w:pPr>
      <w:r w:rsidRPr="00A30622">
        <w:rPr>
          <w:rStyle w:val="FootnoteReference"/>
        </w:rPr>
        <w:footnoteRef/>
      </w:r>
      <w:r w:rsidRPr="00A30622">
        <w:t xml:space="preserve"> R. Wirjono Prodjodikoro, </w:t>
      </w:r>
      <w:r w:rsidRPr="00A30622">
        <w:rPr>
          <w:i/>
          <w:iCs/>
        </w:rPr>
        <w:t>Hukum Perdata Tentang Persetujuan-Persetujuan Tertentu</w:t>
      </w:r>
      <w:r w:rsidRPr="00A30622">
        <w:rPr>
          <w:iCs/>
        </w:rPr>
        <w:t xml:space="preserve">, Sumur, Bandung, </w:t>
      </w:r>
      <w:r w:rsidRPr="00A30622">
        <w:t>201</w:t>
      </w:r>
      <w:r w:rsidRPr="00A30622">
        <w:rPr>
          <w:iCs/>
        </w:rPr>
        <w:t>2,</w:t>
      </w:r>
      <w:r w:rsidRPr="00A30622">
        <w:rPr>
          <w:i/>
          <w:iCs/>
        </w:rPr>
        <w:t xml:space="preserve"> </w:t>
      </w:r>
      <w:r w:rsidRPr="00A30622">
        <w:t>h. 11</w:t>
      </w:r>
    </w:p>
  </w:footnote>
  <w:footnote w:id="8">
    <w:p w:rsidR="00C06970" w:rsidRPr="00A30622" w:rsidRDefault="00C06970" w:rsidP="00C06970">
      <w:pPr>
        <w:pStyle w:val="FootnoteText"/>
        <w:ind w:firstLine="709"/>
      </w:pPr>
      <w:r w:rsidRPr="00A30622">
        <w:rPr>
          <w:rStyle w:val="FootnoteReference"/>
        </w:rPr>
        <w:footnoteRef/>
      </w:r>
      <w:r w:rsidRPr="00A30622">
        <w:t xml:space="preserve"> Sudikno Mertokusumo, </w:t>
      </w:r>
      <w:r w:rsidRPr="00A30622">
        <w:rPr>
          <w:i/>
          <w:iCs/>
        </w:rPr>
        <w:t xml:space="preserve">Op.Cit, </w:t>
      </w:r>
      <w:r w:rsidRPr="00A30622">
        <w:t>h. 7-8.</w:t>
      </w:r>
    </w:p>
  </w:footnote>
  <w:footnote w:id="9">
    <w:p w:rsidR="00C06970" w:rsidRPr="00A30622" w:rsidRDefault="00C06970" w:rsidP="00C06970">
      <w:pPr>
        <w:pStyle w:val="FootnoteText"/>
        <w:ind w:firstLine="709"/>
        <w:jc w:val="both"/>
      </w:pPr>
      <w:r w:rsidRPr="00A30622">
        <w:rPr>
          <w:rStyle w:val="FootnoteReference"/>
        </w:rPr>
        <w:footnoteRef/>
      </w:r>
      <w:r w:rsidRPr="00A30622">
        <w:t xml:space="preserve"> Purwahid Patrik, </w:t>
      </w:r>
      <w:r w:rsidRPr="00A30622">
        <w:rPr>
          <w:i/>
          <w:iCs/>
        </w:rPr>
        <w:t>Pembahasan Perkembangan Hukum Perjanjian</w:t>
      </w:r>
      <w:r w:rsidRPr="00A30622">
        <w:t>, Fakultas Hukum UGM, Yogyakarta, 2016, h.15</w:t>
      </w:r>
    </w:p>
  </w:footnote>
  <w:footnote w:id="10">
    <w:p w:rsidR="00C06970" w:rsidRPr="00A30622" w:rsidRDefault="00C06970" w:rsidP="00C06970">
      <w:pPr>
        <w:pStyle w:val="FootnoteText"/>
        <w:ind w:firstLine="709"/>
        <w:jc w:val="both"/>
      </w:pPr>
      <w:r w:rsidRPr="00A30622">
        <w:rPr>
          <w:rStyle w:val="FootnoteReference"/>
        </w:rPr>
        <w:footnoteRef/>
      </w:r>
      <w:r w:rsidRPr="00A30622">
        <w:t xml:space="preserve"> </w:t>
      </w:r>
      <w:r w:rsidRPr="00A30622">
        <w:rPr>
          <w:rFonts w:eastAsia="MS Mincho"/>
        </w:rPr>
        <w:t xml:space="preserve">Djanius Djamin dan Syamsul Arifin, </w:t>
      </w:r>
      <w:r w:rsidRPr="00A30622">
        <w:rPr>
          <w:rFonts w:eastAsia="MS Mincho"/>
          <w:bCs/>
          <w:i/>
          <w:iCs/>
        </w:rPr>
        <w:t>Bahan   Dasar Hukum Perdata</w:t>
      </w:r>
      <w:r w:rsidRPr="00A30622">
        <w:rPr>
          <w:rFonts w:eastAsia="MS Mincho"/>
        </w:rPr>
        <w:t xml:space="preserve">,Akademi Keuangan dan Perbankan Perbanas Medan, </w:t>
      </w:r>
      <w:r w:rsidRPr="00A30622">
        <w:t>201</w:t>
      </w:r>
      <w:r w:rsidRPr="00A30622">
        <w:rPr>
          <w:rFonts w:eastAsia="MS Mincho"/>
        </w:rPr>
        <w:t>1, h.153</w:t>
      </w:r>
    </w:p>
  </w:footnote>
  <w:footnote w:id="11">
    <w:p w:rsidR="00C06970" w:rsidRPr="00A30622" w:rsidRDefault="00C06970" w:rsidP="00C06970">
      <w:pPr>
        <w:pStyle w:val="FootnoteText"/>
        <w:ind w:firstLine="709"/>
        <w:jc w:val="both"/>
      </w:pPr>
      <w:r w:rsidRPr="00A30622">
        <w:rPr>
          <w:rStyle w:val="FootnoteReference"/>
        </w:rPr>
        <w:footnoteRef/>
      </w:r>
      <w:r w:rsidRPr="00A30622">
        <w:t xml:space="preserve"> Mariam Darus Badrulzaman, </w:t>
      </w:r>
      <w:r w:rsidRPr="00A30622">
        <w:rPr>
          <w:i/>
          <w:iCs/>
        </w:rPr>
        <w:t xml:space="preserve">Aneka Hukum Bisnis, </w:t>
      </w:r>
      <w:r w:rsidRPr="00A30622">
        <w:t>Alumni, Bandung, 2014,  h. 22</w:t>
      </w:r>
    </w:p>
  </w:footnote>
  <w:footnote w:id="12">
    <w:p w:rsidR="00C06970" w:rsidRPr="00A30622" w:rsidRDefault="00C06970" w:rsidP="00C06970">
      <w:pPr>
        <w:pStyle w:val="FootnoteText"/>
        <w:ind w:firstLine="709"/>
        <w:jc w:val="both"/>
      </w:pPr>
      <w:r w:rsidRPr="00A30622">
        <w:rPr>
          <w:rStyle w:val="FootnoteReference"/>
        </w:rPr>
        <w:footnoteRef/>
      </w:r>
      <w:r w:rsidRPr="00A30622">
        <w:t xml:space="preserve"> Abdulkadir Muhammad,  </w:t>
      </w:r>
      <w:r w:rsidRPr="00A30622">
        <w:rPr>
          <w:i/>
          <w:iCs/>
        </w:rPr>
        <w:t>Op. Cit</w:t>
      </w:r>
      <w:r w:rsidRPr="00A30622">
        <w:t>,  h. 4</w:t>
      </w:r>
    </w:p>
  </w:footnote>
  <w:footnote w:id="13">
    <w:p w:rsidR="00C06970" w:rsidRPr="00A30622" w:rsidRDefault="00C06970" w:rsidP="00C06970">
      <w:pPr>
        <w:pStyle w:val="FootnoteText"/>
        <w:ind w:firstLine="709"/>
        <w:jc w:val="both"/>
      </w:pPr>
      <w:r w:rsidRPr="00A30622">
        <w:rPr>
          <w:rStyle w:val="FootnoteReference"/>
        </w:rPr>
        <w:footnoteRef/>
      </w:r>
      <w:r w:rsidRPr="00A30622">
        <w:t xml:space="preserve">BN. Marbun, </w:t>
      </w:r>
      <w:r w:rsidRPr="00A30622">
        <w:rPr>
          <w:i/>
        </w:rPr>
        <w:t>Membuat Perjanjian yang Aman dan Sesuai Hukum</w:t>
      </w:r>
      <w:r w:rsidRPr="00A30622">
        <w:t>,  Puspa Swara, Jakarta, 2009, h. 10.</w:t>
      </w:r>
    </w:p>
  </w:footnote>
  <w:footnote w:id="14">
    <w:p w:rsidR="00C06970" w:rsidRPr="00A30622" w:rsidRDefault="00C06970" w:rsidP="00C06970">
      <w:pPr>
        <w:pStyle w:val="FootnoteText"/>
        <w:ind w:firstLine="720"/>
      </w:pPr>
      <w:r w:rsidRPr="00A30622">
        <w:rPr>
          <w:rStyle w:val="FootnoteReference"/>
        </w:rPr>
        <w:footnoteRef/>
      </w:r>
      <w:r w:rsidRPr="00A30622">
        <w:t xml:space="preserve"> </w:t>
      </w:r>
      <w:r w:rsidRPr="00A30622">
        <w:rPr>
          <w:rStyle w:val="markedcontent"/>
        </w:rPr>
        <w:t xml:space="preserve">R. Subekti, </w:t>
      </w:r>
      <w:r w:rsidRPr="00A30622">
        <w:rPr>
          <w:rStyle w:val="markedcontent"/>
          <w:bCs/>
          <w:i/>
          <w:iCs/>
        </w:rPr>
        <w:t>Op.Cit</w:t>
      </w:r>
      <w:r w:rsidRPr="00A30622">
        <w:rPr>
          <w:rStyle w:val="markedcontent"/>
        </w:rPr>
        <w:t>., h. 125</w:t>
      </w:r>
    </w:p>
  </w:footnote>
  <w:footnote w:id="15">
    <w:p w:rsidR="00C06970" w:rsidRPr="00A30622" w:rsidRDefault="00C06970" w:rsidP="00C06970">
      <w:pPr>
        <w:pStyle w:val="FootnoteText"/>
        <w:ind w:firstLine="720"/>
        <w:jc w:val="both"/>
      </w:pPr>
      <w:r w:rsidRPr="00A30622">
        <w:rPr>
          <w:rStyle w:val="FootnoteReference"/>
        </w:rPr>
        <w:t>15</w:t>
      </w:r>
      <w:r w:rsidRPr="00A30622">
        <w:t xml:space="preserve"> </w:t>
      </w:r>
      <w:bookmarkStart w:id="1" w:name="_Hlk92264297"/>
      <w:r w:rsidRPr="00A30622">
        <w:t xml:space="preserve">Sri Soedewi Maschoen Sofwan., </w:t>
      </w:r>
      <w:r w:rsidRPr="00A30622">
        <w:rPr>
          <w:i/>
        </w:rPr>
        <w:t xml:space="preserve">Hukum Perutangan Bagian A, </w:t>
      </w:r>
      <w:r w:rsidRPr="00A30622">
        <w:t>Seksi Hukum Perdata FH. UGM, Yogyakarta, 2012</w:t>
      </w:r>
      <w:bookmarkEnd w:id="1"/>
      <w:r w:rsidRPr="00A30622">
        <w:t xml:space="preserve">, h.1. </w:t>
      </w:r>
    </w:p>
  </w:footnote>
  <w:footnote w:id="16">
    <w:p w:rsidR="00C06970" w:rsidRPr="00A30622" w:rsidRDefault="00C06970" w:rsidP="00C06970">
      <w:pPr>
        <w:pStyle w:val="FootnoteText"/>
        <w:ind w:firstLine="720"/>
      </w:pPr>
      <w:r w:rsidRPr="00A30622">
        <w:rPr>
          <w:rStyle w:val="FootnoteReference"/>
        </w:rPr>
        <w:footnoteRef/>
      </w:r>
      <w:r w:rsidRPr="00A30622">
        <w:t xml:space="preserve"> </w:t>
      </w:r>
      <w:r w:rsidRPr="00A30622">
        <w:rPr>
          <w:bCs/>
          <w:i/>
          <w:iCs/>
        </w:rPr>
        <w:t>Ibid</w:t>
      </w:r>
      <w:r w:rsidRPr="00A30622">
        <w:t>, h.13.</w:t>
      </w:r>
    </w:p>
  </w:footnote>
  <w:footnote w:id="17">
    <w:p w:rsidR="00C06970" w:rsidRPr="00A30622" w:rsidRDefault="00C06970" w:rsidP="00C06970">
      <w:pPr>
        <w:pStyle w:val="FootnoteText"/>
        <w:ind w:firstLine="720"/>
        <w:jc w:val="both"/>
      </w:pPr>
      <w:r w:rsidRPr="00A30622">
        <w:rPr>
          <w:rStyle w:val="FootnoteReference"/>
        </w:rPr>
        <w:footnoteRef/>
      </w:r>
      <w:r w:rsidRPr="00A30622">
        <w:t xml:space="preserve"> </w:t>
      </w:r>
      <w:bookmarkStart w:id="2" w:name="_Hlk92264311"/>
      <w:r w:rsidRPr="00A30622">
        <w:rPr>
          <w:rStyle w:val="markedcontent"/>
        </w:rPr>
        <w:t xml:space="preserve">Gatot Supramono, </w:t>
      </w:r>
      <w:r w:rsidRPr="00A30622">
        <w:rPr>
          <w:rStyle w:val="markedcontent"/>
          <w:bCs/>
          <w:i/>
          <w:iCs/>
        </w:rPr>
        <w:t>Perjanjian Utang Piutang</w:t>
      </w:r>
      <w:r w:rsidRPr="00A30622">
        <w:rPr>
          <w:rStyle w:val="markedcontent"/>
        </w:rPr>
        <w:t>, Kencana Prenada Media Group, Jakarta, 2013</w:t>
      </w:r>
      <w:bookmarkEnd w:id="2"/>
      <w:r w:rsidRPr="00A30622">
        <w:rPr>
          <w:rStyle w:val="markedcontent"/>
        </w:rPr>
        <w:t>, h.10.</w:t>
      </w:r>
    </w:p>
  </w:footnote>
  <w:footnote w:id="18">
    <w:p w:rsidR="00C06970" w:rsidRPr="00A30622" w:rsidRDefault="00C06970" w:rsidP="00C06970">
      <w:pPr>
        <w:pStyle w:val="FootnoteText"/>
        <w:ind w:firstLine="720"/>
      </w:pPr>
      <w:r w:rsidRPr="00A30622">
        <w:rPr>
          <w:rStyle w:val="FootnoteReference"/>
        </w:rPr>
        <w:footnoteRef/>
      </w:r>
      <w:r w:rsidRPr="00A30622">
        <w:t xml:space="preserve"> </w:t>
      </w:r>
      <w:r w:rsidRPr="00A30622">
        <w:rPr>
          <w:bCs/>
          <w:i/>
          <w:iCs/>
        </w:rPr>
        <w:t>Ibid</w:t>
      </w:r>
      <w:r w:rsidRPr="00A30622">
        <w:t>, h.11.</w:t>
      </w:r>
    </w:p>
  </w:footnote>
  <w:footnote w:id="19">
    <w:p w:rsidR="00C06970" w:rsidRPr="00A30622" w:rsidRDefault="00C06970" w:rsidP="00C06970">
      <w:pPr>
        <w:pStyle w:val="FootnoteText"/>
        <w:ind w:firstLine="709"/>
        <w:jc w:val="both"/>
      </w:pPr>
      <w:r w:rsidRPr="00A30622">
        <w:rPr>
          <w:rStyle w:val="FootnoteReference"/>
        </w:rPr>
        <w:footnoteRef/>
      </w:r>
      <w:r w:rsidRPr="00A30622">
        <w:t xml:space="preserve"> </w:t>
      </w:r>
      <w:r w:rsidRPr="00A30622">
        <w:rPr>
          <w:color w:val="000000"/>
        </w:rPr>
        <w:t>Salim HS</w:t>
      </w:r>
      <w:r w:rsidRPr="00A30622">
        <w:t xml:space="preserve">, </w:t>
      </w:r>
      <w:r w:rsidRPr="00A30622">
        <w:rPr>
          <w:i/>
        </w:rPr>
        <w:t>Perkembangan Hukum Kontrak Di Luar KUHPerdata,</w:t>
      </w:r>
      <w:r w:rsidRPr="00A30622">
        <w:t xml:space="preserve"> RajaGrafindo Persada,</w:t>
      </w:r>
      <w:r w:rsidRPr="00A30622">
        <w:rPr>
          <w:i/>
        </w:rPr>
        <w:t xml:space="preserve"> </w:t>
      </w:r>
      <w:r w:rsidRPr="00A30622">
        <w:t>Jakarta, 2014,  h. 23.</w:t>
      </w:r>
    </w:p>
  </w:footnote>
  <w:footnote w:id="20">
    <w:p w:rsidR="00C06970" w:rsidRPr="00A30622" w:rsidRDefault="00C06970" w:rsidP="00C06970">
      <w:pPr>
        <w:pStyle w:val="FootnoteText"/>
        <w:ind w:firstLine="720"/>
        <w:jc w:val="both"/>
      </w:pPr>
      <w:r w:rsidRPr="00A30622">
        <w:rPr>
          <w:rStyle w:val="FootnoteReference"/>
        </w:rPr>
        <w:footnoteRef/>
      </w:r>
      <w:r w:rsidRPr="00A30622">
        <w:rPr>
          <w:i/>
        </w:rPr>
        <w:t>Ibid</w:t>
      </w:r>
      <w:r w:rsidRPr="00A30622">
        <w:t>., h.8.</w:t>
      </w:r>
    </w:p>
  </w:footnote>
  <w:footnote w:id="21">
    <w:p w:rsidR="00C06970" w:rsidRPr="00A30622" w:rsidRDefault="00C06970" w:rsidP="00C06970">
      <w:pPr>
        <w:pStyle w:val="FootnoteText"/>
        <w:ind w:firstLine="709"/>
        <w:jc w:val="both"/>
      </w:pPr>
      <w:r w:rsidRPr="00A30622">
        <w:rPr>
          <w:rStyle w:val="FootnoteReference"/>
        </w:rPr>
        <w:footnoteRef/>
      </w:r>
      <w:r w:rsidRPr="00A30622">
        <w:t xml:space="preserve"> </w:t>
      </w:r>
      <w:r w:rsidRPr="00A30622">
        <w:rPr>
          <w:color w:val="000000"/>
        </w:rPr>
        <w:t xml:space="preserve">Agus Yudha Hernoko, </w:t>
      </w:r>
      <w:r w:rsidRPr="00A30622">
        <w:rPr>
          <w:i/>
          <w:color w:val="000000"/>
        </w:rPr>
        <w:t>Op. Cit</w:t>
      </w:r>
      <w:r w:rsidRPr="00A30622">
        <w:rPr>
          <w:color w:val="000000"/>
        </w:rPr>
        <w:t>., h.162.</w:t>
      </w:r>
    </w:p>
  </w:footnote>
  <w:footnote w:id="22">
    <w:p w:rsidR="00C06970" w:rsidRPr="00A30622" w:rsidRDefault="00C06970" w:rsidP="00C06970">
      <w:pPr>
        <w:pStyle w:val="FootnoteText"/>
        <w:ind w:firstLine="709"/>
        <w:jc w:val="both"/>
      </w:pPr>
      <w:r w:rsidRPr="00A30622">
        <w:rPr>
          <w:rStyle w:val="FootnoteReference"/>
        </w:rPr>
        <w:footnoteRef/>
      </w:r>
      <w:r w:rsidRPr="00A30622">
        <w:t xml:space="preserve"> </w:t>
      </w:r>
      <w:r w:rsidRPr="00A30622">
        <w:rPr>
          <w:i/>
        </w:rPr>
        <w:t>Ibid</w:t>
      </w:r>
      <w:r w:rsidRPr="00A30622">
        <w:t>., h.24.</w:t>
      </w:r>
    </w:p>
  </w:footnote>
  <w:footnote w:id="23">
    <w:p w:rsidR="00C06970" w:rsidRPr="00A30622" w:rsidRDefault="00C06970" w:rsidP="00C06970">
      <w:pPr>
        <w:pStyle w:val="FootnoteText"/>
        <w:ind w:firstLine="709"/>
        <w:jc w:val="both"/>
      </w:pPr>
      <w:r w:rsidRPr="00A30622">
        <w:rPr>
          <w:rStyle w:val="FootnoteReference"/>
        </w:rPr>
        <w:footnoteRef/>
      </w:r>
      <w:r w:rsidRPr="00A30622">
        <w:t xml:space="preserve"> </w:t>
      </w:r>
      <w:r w:rsidRPr="00A30622">
        <w:rPr>
          <w:color w:val="000000"/>
        </w:rPr>
        <w:t xml:space="preserve">Agus Yudha Hernoko, </w:t>
      </w:r>
      <w:r w:rsidRPr="00A30622">
        <w:rPr>
          <w:i/>
          <w:color w:val="000000"/>
        </w:rPr>
        <w:t>Op. Cit</w:t>
      </w:r>
      <w:r w:rsidRPr="00A30622">
        <w:rPr>
          <w:color w:val="000000"/>
        </w:rPr>
        <w:t>., h.163.</w:t>
      </w:r>
    </w:p>
  </w:footnote>
  <w:footnote w:id="24">
    <w:p w:rsidR="00C06970" w:rsidRPr="00A30622" w:rsidRDefault="00C06970" w:rsidP="00C06970">
      <w:pPr>
        <w:pStyle w:val="FootnoteText"/>
        <w:ind w:firstLine="720"/>
        <w:jc w:val="both"/>
      </w:pPr>
      <w:r w:rsidRPr="00A30622">
        <w:rPr>
          <w:rStyle w:val="FootnoteReference"/>
        </w:rPr>
        <w:footnoteRef/>
      </w:r>
      <w:r w:rsidRPr="00A30622">
        <w:t xml:space="preserve">Abdulkadir Muhammad, </w:t>
      </w:r>
      <w:r w:rsidRPr="00A30622">
        <w:rPr>
          <w:bCs/>
          <w:i/>
          <w:iCs/>
        </w:rPr>
        <w:t>Op.Cit</w:t>
      </w:r>
      <w:r w:rsidRPr="00A30622">
        <w:t xml:space="preserve">, h.27.   </w:t>
      </w:r>
    </w:p>
  </w:footnote>
  <w:footnote w:id="25">
    <w:p w:rsidR="00C06970" w:rsidRPr="00A30622" w:rsidRDefault="00C06970" w:rsidP="00C06970">
      <w:pPr>
        <w:pStyle w:val="FootnoteText"/>
        <w:ind w:firstLine="720"/>
        <w:jc w:val="both"/>
      </w:pPr>
      <w:r w:rsidRPr="00A30622">
        <w:rPr>
          <w:rStyle w:val="FootnoteReference"/>
        </w:rPr>
        <w:footnoteRef/>
      </w:r>
      <w:r w:rsidRPr="00A30622">
        <w:t>M.Yahya Harahap</w:t>
      </w:r>
      <w:r w:rsidRPr="00A30622">
        <w:rPr>
          <w:i/>
        </w:rPr>
        <w:t>, Op.Cit</w:t>
      </w:r>
      <w:r w:rsidRPr="00A30622">
        <w:t>,  h.26.</w:t>
      </w:r>
    </w:p>
  </w:footnote>
  <w:footnote w:id="26">
    <w:p w:rsidR="00C06970" w:rsidRPr="00A30622" w:rsidRDefault="00C06970" w:rsidP="00C06970">
      <w:pPr>
        <w:pStyle w:val="FootnoteText"/>
        <w:ind w:firstLine="709"/>
        <w:jc w:val="both"/>
      </w:pPr>
      <w:r w:rsidRPr="00A30622">
        <w:rPr>
          <w:rStyle w:val="FootnoteReference"/>
        </w:rPr>
        <w:footnoteRef/>
      </w:r>
      <w:r w:rsidRPr="00A30622">
        <w:t xml:space="preserve"> </w:t>
      </w:r>
      <w:r w:rsidRPr="00A30622">
        <w:rPr>
          <w:color w:val="000000"/>
        </w:rPr>
        <w:t>Salim HS</w:t>
      </w:r>
      <w:r w:rsidRPr="00A30622">
        <w:t xml:space="preserve">, </w:t>
      </w:r>
      <w:r w:rsidRPr="00A30622">
        <w:rPr>
          <w:i/>
        </w:rPr>
        <w:t>Op. Cit</w:t>
      </w:r>
      <w:r w:rsidRPr="00A30622">
        <w:t>., h.24.</w:t>
      </w:r>
    </w:p>
  </w:footnote>
  <w:footnote w:id="27">
    <w:p w:rsidR="00C06970" w:rsidRPr="00A30622" w:rsidRDefault="00C06970" w:rsidP="00C06970">
      <w:pPr>
        <w:pStyle w:val="FootnoteText"/>
        <w:ind w:firstLine="709"/>
        <w:jc w:val="both"/>
      </w:pPr>
      <w:r w:rsidRPr="00A30622">
        <w:rPr>
          <w:rStyle w:val="FootnoteReference"/>
        </w:rPr>
        <w:footnoteRef/>
      </w:r>
      <w:r w:rsidRPr="00A30622">
        <w:t xml:space="preserve"> Munir Fuady, </w:t>
      </w:r>
      <w:r w:rsidRPr="00A30622">
        <w:rPr>
          <w:i/>
          <w:iCs/>
        </w:rPr>
        <w:t>Pengantar Hukum Bisnis: Menata Bisnis Modern di Era Global</w:t>
      </w:r>
      <w:r w:rsidRPr="00A30622">
        <w:t>, Citra Aditya Bakti, Bandung, 2008, h.72.</w:t>
      </w:r>
    </w:p>
  </w:footnote>
  <w:footnote w:id="28">
    <w:p w:rsidR="00C06970" w:rsidRPr="00A30622" w:rsidRDefault="00C06970" w:rsidP="00C06970">
      <w:pPr>
        <w:pStyle w:val="FootnoteText"/>
        <w:ind w:firstLine="709"/>
        <w:jc w:val="both"/>
      </w:pPr>
      <w:r w:rsidRPr="00A30622">
        <w:rPr>
          <w:rStyle w:val="FootnoteReference"/>
        </w:rPr>
        <w:footnoteRef/>
      </w:r>
      <w:r w:rsidRPr="00A30622">
        <w:t xml:space="preserve"> </w:t>
      </w:r>
      <w:r w:rsidRPr="00A30622">
        <w:rPr>
          <w:i/>
        </w:rPr>
        <w:t>Ibid.,</w:t>
      </w:r>
      <w:r w:rsidRPr="00A30622">
        <w:t xml:space="preserve"> h.193</w:t>
      </w:r>
    </w:p>
  </w:footnote>
  <w:footnote w:id="29">
    <w:p w:rsidR="00C06970" w:rsidRPr="00A30622" w:rsidRDefault="00C06970" w:rsidP="00C06970">
      <w:pPr>
        <w:pStyle w:val="FootnoteText"/>
        <w:ind w:firstLine="709"/>
        <w:jc w:val="both"/>
      </w:pPr>
      <w:r w:rsidRPr="00A30622">
        <w:rPr>
          <w:rStyle w:val="FootnoteReference"/>
        </w:rPr>
        <w:footnoteRef/>
      </w:r>
      <w:r w:rsidRPr="00A30622">
        <w:t xml:space="preserve"> </w:t>
      </w:r>
      <w:r w:rsidRPr="00A30622">
        <w:rPr>
          <w:i/>
        </w:rPr>
        <w:t>Ibid</w:t>
      </w:r>
      <w:r w:rsidRPr="00A30622">
        <w:t>., h.194.</w:t>
      </w:r>
    </w:p>
  </w:footnote>
  <w:footnote w:id="30">
    <w:p w:rsidR="00C06970" w:rsidRPr="00A30622" w:rsidRDefault="00C06970" w:rsidP="00C06970">
      <w:pPr>
        <w:pStyle w:val="FootnoteText"/>
        <w:ind w:firstLine="709"/>
        <w:jc w:val="both"/>
      </w:pPr>
      <w:r w:rsidRPr="00A30622">
        <w:rPr>
          <w:rStyle w:val="FootnoteReference"/>
        </w:rPr>
        <w:footnoteRef/>
      </w:r>
      <w:r w:rsidRPr="00A30622">
        <w:t xml:space="preserve"> </w:t>
      </w:r>
      <w:r w:rsidRPr="00A30622">
        <w:rPr>
          <w:color w:val="000000"/>
        </w:rPr>
        <w:t>Salim HS</w:t>
      </w:r>
      <w:r w:rsidRPr="00A30622">
        <w:t xml:space="preserve">, </w:t>
      </w:r>
      <w:r w:rsidRPr="00A30622">
        <w:rPr>
          <w:i/>
        </w:rPr>
        <w:t>Op. Cit</w:t>
      </w:r>
      <w:r w:rsidRPr="00A30622">
        <w:t>., h. 25.</w:t>
      </w:r>
    </w:p>
  </w:footnote>
  <w:footnote w:id="31">
    <w:p w:rsidR="00C06970" w:rsidRPr="00A30622" w:rsidRDefault="00C06970" w:rsidP="00C06970">
      <w:pPr>
        <w:pStyle w:val="FootnoteText"/>
        <w:ind w:firstLine="720"/>
        <w:jc w:val="both"/>
      </w:pPr>
      <w:r w:rsidRPr="00A30622">
        <w:rPr>
          <w:rStyle w:val="FootnoteReference"/>
        </w:rPr>
        <w:footnoteRef/>
      </w:r>
      <w:r w:rsidRPr="00A30622">
        <w:t xml:space="preserve">Mariam Darus Badrulzaman, </w:t>
      </w:r>
      <w:r w:rsidRPr="00A30622">
        <w:rPr>
          <w:bCs/>
          <w:i/>
          <w:iCs/>
        </w:rPr>
        <w:t>Aneka Hukum Bisnis</w:t>
      </w:r>
      <w:r w:rsidRPr="00A30622">
        <w:t>, Alumni, Bandung, 2014, h.27.</w:t>
      </w:r>
    </w:p>
  </w:footnote>
  <w:footnote w:id="32">
    <w:p w:rsidR="00C06970" w:rsidRPr="00A30622" w:rsidRDefault="00C06970" w:rsidP="00C06970">
      <w:pPr>
        <w:pStyle w:val="FootnoteText"/>
        <w:ind w:firstLine="720"/>
        <w:jc w:val="both"/>
      </w:pPr>
      <w:r w:rsidRPr="00A30622">
        <w:rPr>
          <w:rStyle w:val="FootnoteReference"/>
        </w:rPr>
        <w:footnoteRef/>
      </w:r>
      <w:r w:rsidRPr="00A30622">
        <w:rPr>
          <w:i/>
        </w:rPr>
        <w:t>Ibid</w:t>
      </w:r>
      <w:r w:rsidRPr="00A30622">
        <w:t>, h.58.</w:t>
      </w:r>
    </w:p>
  </w:footnote>
  <w:footnote w:id="33">
    <w:p w:rsidR="00C06970" w:rsidRPr="00A30622" w:rsidRDefault="00C06970" w:rsidP="00C06970">
      <w:pPr>
        <w:pStyle w:val="FootnoteText"/>
        <w:ind w:firstLine="720"/>
      </w:pPr>
      <w:r w:rsidRPr="00A30622">
        <w:rPr>
          <w:rStyle w:val="FootnoteReference"/>
        </w:rPr>
        <w:footnoteRef/>
      </w:r>
      <w:r w:rsidRPr="00A30622">
        <w:t xml:space="preserve"> </w:t>
      </w:r>
      <w:r w:rsidRPr="00A30622">
        <w:rPr>
          <w:rStyle w:val="markedcontent"/>
        </w:rPr>
        <w:t xml:space="preserve">Gatot Supramono, </w:t>
      </w:r>
      <w:r w:rsidRPr="00A30622">
        <w:rPr>
          <w:rStyle w:val="markedcontent"/>
          <w:bCs/>
          <w:i/>
          <w:iCs/>
        </w:rPr>
        <w:t>Op.Cit.,</w:t>
      </w:r>
      <w:r w:rsidRPr="00A30622">
        <w:rPr>
          <w:rStyle w:val="markedcontent"/>
        </w:rPr>
        <w:t xml:space="preserve"> h.17.</w:t>
      </w:r>
    </w:p>
  </w:footnote>
  <w:footnote w:id="34">
    <w:p w:rsidR="00C06970" w:rsidRPr="00A30622" w:rsidRDefault="00C06970" w:rsidP="00C06970">
      <w:pPr>
        <w:pStyle w:val="FootnoteText"/>
        <w:ind w:firstLine="720"/>
        <w:jc w:val="both"/>
      </w:pPr>
      <w:r w:rsidRPr="00A30622">
        <w:rPr>
          <w:rStyle w:val="FootnoteReference"/>
        </w:rPr>
        <w:footnoteRef/>
      </w:r>
      <w:r w:rsidRPr="00A30622">
        <w:t xml:space="preserve">M. Yahya Harahap, </w:t>
      </w:r>
      <w:r w:rsidRPr="00A30622">
        <w:rPr>
          <w:i/>
          <w:iCs/>
        </w:rPr>
        <w:t>Op. Cit</w:t>
      </w:r>
      <w:r w:rsidRPr="00A30622">
        <w:t>, h.60.</w:t>
      </w:r>
    </w:p>
  </w:footnote>
  <w:footnote w:id="35">
    <w:p w:rsidR="00C06970" w:rsidRPr="00A30622" w:rsidRDefault="00C06970" w:rsidP="00C06970">
      <w:pPr>
        <w:pStyle w:val="FootnoteText"/>
        <w:ind w:firstLine="720"/>
        <w:jc w:val="both"/>
      </w:pPr>
      <w:r w:rsidRPr="00A30622">
        <w:rPr>
          <w:rStyle w:val="FootnoteReference"/>
        </w:rPr>
        <w:footnoteRef/>
      </w:r>
      <w:r w:rsidRPr="00A30622">
        <w:t xml:space="preserve">R. Subekti,  </w:t>
      </w:r>
      <w:r w:rsidRPr="00A30622">
        <w:rPr>
          <w:bCs/>
          <w:i/>
          <w:iCs/>
        </w:rPr>
        <w:t>Op.Cit</w:t>
      </w:r>
      <w:r w:rsidRPr="00A30622">
        <w:t>, h.45.</w:t>
      </w:r>
    </w:p>
  </w:footnote>
  <w:footnote w:id="36">
    <w:p w:rsidR="00C06970" w:rsidRPr="00A30622" w:rsidRDefault="00C06970" w:rsidP="00C06970">
      <w:pPr>
        <w:pStyle w:val="FootnoteText"/>
        <w:ind w:firstLine="720"/>
        <w:jc w:val="both"/>
      </w:pPr>
      <w:r w:rsidRPr="00A30622">
        <w:rPr>
          <w:rStyle w:val="FootnoteReference"/>
        </w:rPr>
        <w:footnoteRef/>
      </w:r>
      <w:r w:rsidRPr="00A30622">
        <w:t xml:space="preserve">Abdulkadir Muhammad, </w:t>
      </w:r>
      <w:r w:rsidRPr="00A30622">
        <w:rPr>
          <w:bCs/>
          <w:i/>
          <w:iCs/>
        </w:rPr>
        <w:t>Perjanjian Baku Dalam Praktek Perusahaan Perdagangan</w:t>
      </w:r>
      <w:r w:rsidRPr="00A30622">
        <w:t>,  Citra Aditya Bakti, 2012, h.12.</w:t>
      </w:r>
    </w:p>
  </w:footnote>
  <w:footnote w:id="37">
    <w:p w:rsidR="00C06970" w:rsidRPr="00A30622" w:rsidRDefault="00C06970" w:rsidP="00C06970">
      <w:pPr>
        <w:pStyle w:val="FootnoteText"/>
        <w:ind w:firstLine="720"/>
        <w:jc w:val="both"/>
      </w:pPr>
      <w:r w:rsidRPr="00A30622">
        <w:rPr>
          <w:rStyle w:val="FootnoteReference"/>
        </w:rPr>
        <w:footnoteRef/>
      </w:r>
      <w:r w:rsidRPr="00A30622">
        <w:t xml:space="preserve"> J. Satrio, </w:t>
      </w:r>
      <w:r w:rsidRPr="00A30622">
        <w:rPr>
          <w:i/>
          <w:iCs/>
          <w:color w:val="000000"/>
        </w:rPr>
        <w:t>Hukum Perjanjian,</w:t>
      </w:r>
      <w:r w:rsidRPr="00A30622">
        <w:rPr>
          <w:color w:val="000000"/>
        </w:rPr>
        <w:t xml:space="preserve"> Citra Aditya Bakti, Bandung,  2014</w:t>
      </w:r>
      <w:r w:rsidRPr="00A30622">
        <w:t>, h.41.</w:t>
      </w:r>
    </w:p>
  </w:footnote>
  <w:footnote w:id="38">
    <w:p w:rsidR="00C06970" w:rsidRPr="00A30622" w:rsidRDefault="00C06970" w:rsidP="00C06970">
      <w:pPr>
        <w:pStyle w:val="FootnoteText"/>
        <w:ind w:firstLine="720"/>
        <w:jc w:val="both"/>
      </w:pPr>
      <w:r w:rsidRPr="00A30622">
        <w:rPr>
          <w:rStyle w:val="FootnoteReference"/>
        </w:rPr>
        <w:t>23</w:t>
      </w:r>
      <w:r w:rsidRPr="00A30622">
        <w:t xml:space="preserve">R.Wirjono Prodjodikoro, </w:t>
      </w:r>
      <w:r w:rsidRPr="00A30622">
        <w:rPr>
          <w:i/>
          <w:iCs/>
        </w:rPr>
        <w:t>Hukum Perdata Tentang Persetujuan-Persetujuan Tertentu</w:t>
      </w:r>
      <w:r w:rsidRPr="00A30622">
        <w:rPr>
          <w:iCs/>
        </w:rPr>
        <w:t xml:space="preserve">, </w:t>
      </w:r>
      <w:r w:rsidRPr="00A30622">
        <w:rPr>
          <w:bCs/>
          <w:i/>
        </w:rPr>
        <w:t>Op.Cit</w:t>
      </w:r>
      <w:r w:rsidRPr="00A30622">
        <w:rPr>
          <w:rFonts w:eastAsia="MS Mincho"/>
        </w:rPr>
        <w:t xml:space="preserve">, </w:t>
      </w:r>
      <w:r w:rsidRPr="00A30622">
        <w:t xml:space="preserve">h.52. </w:t>
      </w:r>
    </w:p>
  </w:footnote>
  <w:footnote w:id="39">
    <w:p w:rsidR="00C06970" w:rsidRPr="00A30622" w:rsidRDefault="00C06970" w:rsidP="00C06970">
      <w:pPr>
        <w:pStyle w:val="FootnoteText"/>
        <w:ind w:firstLine="720"/>
        <w:jc w:val="both"/>
      </w:pPr>
      <w:r w:rsidRPr="00A30622">
        <w:rPr>
          <w:rStyle w:val="FootnoteReference"/>
        </w:rPr>
        <w:t>24</w:t>
      </w:r>
      <w:r w:rsidRPr="00A30622">
        <w:rPr>
          <w:i/>
        </w:rPr>
        <w:t>Ibid</w:t>
      </w:r>
      <w:r w:rsidRPr="00A30622">
        <w:t>, h.54.</w:t>
      </w:r>
    </w:p>
  </w:footnote>
  <w:footnote w:id="40">
    <w:p w:rsidR="00C06970" w:rsidRPr="00A30622" w:rsidRDefault="00C06970" w:rsidP="00C06970">
      <w:pPr>
        <w:pStyle w:val="FootnoteText"/>
        <w:ind w:firstLine="720"/>
        <w:jc w:val="both"/>
      </w:pPr>
      <w:r w:rsidRPr="00A30622">
        <w:rPr>
          <w:rStyle w:val="FootnoteReference"/>
        </w:rPr>
        <w:footnoteRef/>
      </w:r>
      <w:r w:rsidRPr="00A30622">
        <w:rPr>
          <w:i/>
        </w:rPr>
        <w:t>Ibid</w:t>
      </w:r>
      <w:r w:rsidRPr="00A30622">
        <w:t>, h.56.</w:t>
      </w:r>
    </w:p>
  </w:footnote>
  <w:footnote w:id="41">
    <w:p w:rsidR="00C06970" w:rsidRPr="00A30622" w:rsidRDefault="00C06970" w:rsidP="00C06970">
      <w:pPr>
        <w:pStyle w:val="FootnoteText"/>
        <w:ind w:firstLine="720"/>
        <w:jc w:val="both"/>
      </w:pPr>
      <w:r w:rsidRPr="00A30622">
        <w:rPr>
          <w:rStyle w:val="FootnoteReference"/>
        </w:rPr>
        <w:t>25</w:t>
      </w:r>
      <w:r w:rsidRPr="00A30622">
        <w:t xml:space="preserve">R. Setiawan, </w:t>
      </w:r>
      <w:r w:rsidRPr="00A30622">
        <w:rPr>
          <w:i/>
        </w:rPr>
        <w:t>Op. Cit</w:t>
      </w:r>
      <w:r w:rsidRPr="00A30622">
        <w:t xml:space="preserve">, h.2. </w:t>
      </w:r>
    </w:p>
  </w:footnote>
  <w:footnote w:id="42">
    <w:p w:rsidR="00C06970" w:rsidRPr="00A30622" w:rsidRDefault="00C06970" w:rsidP="00C06970">
      <w:pPr>
        <w:pStyle w:val="FootnoteText"/>
        <w:ind w:firstLine="720"/>
        <w:jc w:val="both"/>
      </w:pPr>
      <w:r w:rsidRPr="00A30622">
        <w:rPr>
          <w:rStyle w:val="FootnoteReference"/>
        </w:rPr>
        <w:footnoteRef/>
      </w:r>
      <w:r w:rsidRPr="00A30622">
        <w:t xml:space="preserve"> J. Satrio, </w:t>
      </w:r>
      <w:r w:rsidRPr="00A30622">
        <w:rPr>
          <w:bCs/>
          <w:i/>
          <w:iCs/>
        </w:rPr>
        <w:t>Op.Cit</w:t>
      </w:r>
      <w:r w:rsidRPr="00A30622">
        <w:rPr>
          <w:i/>
          <w:iCs/>
        </w:rPr>
        <w:t>,</w:t>
      </w:r>
      <w:r w:rsidRPr="00A30622">
        <w:t xml:space="preserve"> h.79.</w:t>
      </w:r>
    </w:p>
  </w:footnote>
  <w:footnote w:id="43">
    <w:p w:rsidR="00C06970" w:rsidRPr="00A30622" w:rsidRDefault="00C06970" w:rsidP="00C06970">
      <w:pPr>
        <w:pStyle w:val="FootnoteText"/>
        <w:ind w:firstLine="720"/>
        <w:jc w:val="both"/>
      </w:pPr>
      <w:r w:rsidRPr="00A30622">
        <w:rPr>
          <w:rStyle w:val="FootnoteReference"/>
        </w:rPr>
        <w:footnoteRef/>
      </w:r>
      <w:r w:rsidRPr="00A30622">
        <w:t xml:space="preserve">Munir Fuady, </w:t>
      </w:r>
      <w:r w:rsidRPr="00A30622">
        <w:rPr>
          <w:i/>
          <w:iCs/>
          <w:color w:val="000000"/>
        </w:rPr>
        <w:t>Pengantar Hukum Bisnis dalam Menata Bisnis Modern di Era GlobaI</w:t>
      </w:r>
      <w:r w:rsidRPr="00A30622">
        <w:rPr>
          <w:color w:val="000000"/>
        </w:rPr>
        <w:t>, Citra Aditya Bakti, Bandung, 2015</w:t>
      </w:r>
      <w:r w:rsidRPr="00A30622">
        <w:t>, h.82.</w:t>
      </w:r>
    </w:p>
  </w:footnote>
  <w:footnote w:id="44">
    <w:p w:rsidR="00C06970" w:rsidRPr="00A30622" w:rsidRDefault="00C06970" w:rsidP="00C06970">
      <w:pPr>
        <w:autoSpaceDE w:val="0"/>
        <w:autoSpaceDN w:val="0"/>
        <w:adjustRightInd w:val="0"/>
        <w:ind w:firstLine="720"/>
        <w:jc w:val="both"/>
        <w:rPr>
          <w:sz w:val="20"/>
          <w:szCs w:val="20"/>
          <w:lang w:val="id-ID"/>
        </w:rPr>
      </w:pPr>
      <w:r w:rsidRPr="00A30622">
        <w:rPr>
          <w:rStyle w:val="FootnoteReference"/>
          <w:sz w:val="20"/>
          <w:szCs w:val="20"/>
        </w:rPr>
        <w:footnoteRef/>
      </w:r>
      <w:r w:rsidRPr="00A30622">
        <w:rPr>
          <w:sz w:val="20"/>
          <w:szCs w:val="20"/>
        </w:rPr>
        <w:t xml:space="preserve">Udin Saripudin, “Sistem </w:t>
      </w:r>
      <w:r w:rsidRPr="00A30622">
        <w:rPr>
          <w:i/>
          <w:iCs/>
          <w:sz w:val="20"/>
          <w:szCs w:val="20"/>
        </w:rPr>
        <w:t xml:space="preserve">Tanggung Renteng </w:t>
      </w:r>
      <w:r w:rsidRPr="00A30622">
        <w:rPr>
          <w:sz w:val="20"/>
          <w:szCs w:val="20"/>
        </w:rPr>
        <w:t xml:space="preserve">Dalam Perspektif Ekonomi Islam”, </w:t>
      </w:r>
      <w:r w:rsidRPr="00A30622">
        <w:rPr>
          <w:i/>
          <w:iCs/>
          <w:sz w:val="20"/>
          <w:szCs w:val="20"/>
        </w:rPr>
        <w:t>Jurnal iqtishadia</w:t>
      </w:r>
      <w:r w:rsidRPr="00A30622">
        <w:rPr>
          <w:sz w:val="20"/>
          <w:szCs w:val="20"/>
        </w:rPr>
        <w:t>, Vol. 6, No. 2, September 2018, h.17.</w:t>
      </w:r>
    </w:p>
  </w:footnote>
  <w:footnote w:id="45">
    <w:p w:rsidR="00C06970" w:rsidRPr="00A30622" w:rsidRDefault="00C06970" w:rsidP="00C06970">
      <w:pPr>
        <w:pStyle w:val="FootnoteText"/>
        <w:ind w:firstLine="720"/>
        <w:jc w:val="both"/>
      </w:pPr>
      <w:r w:rsidRPr="00A30622">
        <w:rPr>
          <w:rStyle w:val="FootnoteReference"/>
        </w:rPr>
        <w:footnoteRef/>
      </w:r>
      <w:r w:rsidRPr="00A30622">
        <w:t xml:space="preserve"> Sarwono, </w:t>
      </w:r>
      <w:r w:rsidRPr="00A30622">
        <w:rPr>
          <w:i/>
          <w:iCs/>
        </w:rPr>
        <w:t>Hukum Acara Perdata Teori dan Praktik</w:t>
      </w:r>
      <w:r w:rsidRPr="00A30622">
        <w:t>, Sinar Grafika, Jakarta, 2011, h. 79</w:t>
      </w:r>
    </w:p>
  </w:footnote>
  <w:footnote w:id="46">
    <w:p w:rsidR="00C06970" w:rsidRPr="00A30622" w:rsidRDefault="00C06970" w:rsidP="00C06970">
      <w:pPr>
        <w:autoSpaceDE w:val="0"/>
        <w:autoSpaceDN w:val="0"/>
        <w:adjustRightInd w:val="0"/>
        <w:ind w:firstLine="720"/>
        <w:jc w:val="both"/>
        <w:rPr>
          <w:sz w:val="20"/>
          <w:szCs w:val="20"/>
        </w:rPr>
      </w:pPr>
      <w:r w:rsidRPr="00A30622">
        <w:rPr>
          <w:rStyle w:val="FootnoteReference"/>
          <w:sz w:val="20"/>
          <w:szCs w:val="20"/>
        </w:rPr>
        <w:footnoteRef/>
      </w:r>
      <w:r w:rsidRPr="00A30622">
        <w:rPr>
          <w:bCs/>
          <w:sz w:val="20"/>
          <w:szCs w:val="20"/>
        </w:rPr>
        <w:t xml:space="preserve">Rai Mantili, “Tanggung Jawab Renteng Ganti Kerugian Immateriil Atas Perbuatan Melawan Dihubungkan Dengan Asas Kepastian Hukum”, </w:t>
      </w:r>
      <w:r w:rsidRPr="00A30622">
        <w:rPr>
          <w:bCs/>
          <w:i/>
          <w:sz w:val="20"/>
          <w:szCs w:val="20"/>
        </w:rPr>
        <w:t>Jurnal Bina Mulia Hukum,</w:t>
      </w:r>
      <w:r w:rsidRPr="00A30622">
        <w:rPr>
          <w:sz w:val="20"/>
          <w:szCs w:val="20"/>
        </w:rPr>
        <w:t xml:space="preserve"> Volume 4, Nomor 1, September 2019, h.89.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E67F8C"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8"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9770B8">
      <w:rPr>
        <w:rStyle w:val="PageNumber"/>
      </w:rPr>
      <w:fldChar w:fldCharType="begin"/>
    </w:r>
    <w:r w:rsidR="009770B8">
      <w:rPr>
        <w:rStyle w:val="PageNumber"/>
      </w:rPr>
      <w:instrText xml:space="preserve">PAGE  </w:instrText>
    </w:r>
    <w:r w:rsidR="009770B8">
      <w:rPr>
        <w:rStyle w:val="PageNumber"/>
      </w:rPr>
      <w:fldChar w:fldCharType="end"/>
    </w:r>
  </w:p>
  <w:p w:rsidR="009770B8" w:rsidRDefault="009770B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527D2F" w:rsidRDefault="00E67F8C"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9"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9770B8" w:rsidRPr="00527D2F">
      <w:rPr>
        <w:rStyle w:val="PageNumber"/>
      </w:rPr>
      <w:fldChar w:fldCharType="begin"/>
    </w:r>
    <w:r w:rsidR="009770B8" w:rsidRPr="00527D2F">
      <w:rPr>
        <w:rStyle w:val="PageNumber"/>
      </w:rPr>
      <w:instrText xml:space="preserve">PAGE  </w:instrText>
    </w:r>
    <w:r w:rsidR="009770B8" w:rsidRPr="00527D2F">
      <w:rPr>
        <w:rStyle w:val="PageNumber"/>
      </w:rPr>
      <w:fldChar w:fldCharType="separate"/>
    </w:r>
    <w:r w:rsidR="00994E74">
      <w:rPr>
        <w:rStyle w:val="PageNumber"/>
        <w:noProof/>
      </w:rPr>
      <w:t>97</w:t>
    </w:r>
    <w:r w:rsidR="009770B8" w:rsidRPr="00527D2F">
      <w:rPr>
        <w:rStyle w:val="PageNumber"/>
      </w:rPr>
      <w:fldChar w:fldCharType="end"/>
    </w:r>
  </w:p>
  <w:p w:rsidR="00994E74" w:rsidRPr="00886A4B" w:rsidRDefault="00994E74" w:rsidP="00994E74">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15:26:31</w:t>
    </w:r>
  </w:p>
  <w:p w:rsidR="009770B8" w:rsidRPr="00527D2F" w:rsidRDefault="009770B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E74" w:rsidRPr="00886A4B" w:rsidRDefault="00994E74" w:rsidP="00994E74">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15:26:31</w:t>
    </w:r>
  </w:p>
  <w:p w:rsidR="00E67F8C" w:rsidRDefault="00E67F8C">
    <w:pPr>
      <w:pStyle w:val="Header"/>
    </w:pPr>
    <w:r>
      <w:rPr>
        <w:noProof/>
      </w:rPr>
      <w:pict>
        <v:shape id="WordPictureWatermark46712917"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E46"/>
    <w:multiLevelType w:val="hybridMultilevel"/>
    <w:tmpl w:val="B8701142"/>
    <w:lvl w:ilvl="0" w:tplc="5AC81FB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9775FD"/>
    <w:multiLevelType w:val="hybridMultilevel"/>
    <w:tmpl w:val="1102D630"/>
    <w:lvl w:ilvl="0" w:tplc="8E7E0CF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B9F6B01C">
      <w:start w:val="1"/>
      <w:numFmt w:val="lowerLetter"/>
      <w:lvlText w:val="%3."/>
      <w:lvlJc w:val="left"/>
      <w:pPr>
        <w:tabs>
          <w:tab w:val="num" w:pos="2160"/>
        </w:tabs>
        <w:ind w:left="2160" w:hanging="360"/>
      </w:pPr>
      <w:rPr>
        <w:rFonts w:ascii="Times New Roman" w:eastAsia="MS Mincho"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6319BE"/>
    <w:multiLevelType w:val="singleLevel"/>
    <w:tmpl w:val="D4A668D8"/>
    <w:lvl w:ilvl="0">
      <w:start w:val="1"/>
      <w:numFmt w:val="decimal"/>
      <w:lvlText w:val="%1)"/>
      <w:lvlJc w:val="left"/>
      <w:pPr>
        <w:tabs>
          <w:tab w:val="num" w:pos="1155"/>
        </w:tabs>
        <w:ind w:left="1155" w:hanging="435"/>
      </w:pPr>
      <w:rPr>
        <w:rFonts w:ascii="Times New Roman" w:eastAsia="Times New Roman" w:hAnsi="Times New Roman" w:cs="Times New Roman"/>
      </w:rPr>
    </w:lvl>
  </w:abstractNum>
  <w:abstractNum w:abstractNumId="3">
    <w:nsid w:val="0CB82FE8"/>
    <w:multiLevelType w:val="hybridMultilevel"/>
    <w:tmpl w:val="10107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956D9"/>
    <w:multiLevelType w:val="singleLevel"/>
    <w:tmpl w:val="593A7CDA"/>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5">
    <w:nsid w:val="110C39EB"/>
    <w:multiLevelType w:val="hybridMultilevel"/>
    <w:tmpl w:val="52AE6F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2340887"/>
    <w:multiLevelType w:val="hybridMultilevel"/>
    <w:tmpl w:val="00ACFDDA"/>
    <w:lvl w:ilvl="0" w:tplc="235E1FDC">
      <w:start w:val="1"/>
      <w:numFmt w:val="upperLetter"/>
      <w:lvlText w:val="%1."/>
      <w:lvlJc w:val="left"/>
      <w:pPr>
        <w:ind w:left="720" w:hanging="360"/>
      </w:pPr>
      <w:rPr>
        <w:rFonts w:ascii="Times New Roman" w:eastAsia="Calibri" w:hAnsi="Times New Roman" w:cs="Times New Roman" w:hint="default"/>
        <w:b/>
      </w:rPr>
    </w:lvl>
    <w:lvl w:ilvl="1" w:tplc="2B828440">
      <w:start w:val="1"/>
      <w:numFmt w:val="decimal"/>
      <w:lvlText w:val="%2."/>
      <w:lvlJc w:val="left"/>
      <w:pPr>
        <w:ind w:left="1440" w:hanging="360"/>
      </w:pPr>
      <w:rPr>
        <w:rFonts w:hint="default"/>
        <w:b/>
      </w:rPr>
    </w:lvl>
    <w:lvl w:ilvl="2" w:tplc="122EE6DE">
      <w:start w:val="1"/>
      <w:numFmt w:val="lowerLetter"/>
      <w:lvlText w:val="%3."/>
      <w:lvlJc w:val="left"/>
      <w:pPr>
        <w:ind w:left="2340" w:hanging="360"/>
      </w:pPr>
      <w:rPr>
        <w:rFonts w:ascii="Arial" w:eastAsia="Times New Roman" w:hAnsi="Arial" w:cs="Arial" w:hint="default"/>
        <w:b w:val="0"/>
      </w:rPr>
    </w:lvl>
    <w:lvl w:ilvl="3" w:tplc="8280E3B0">
      <w:start w:val="1"/>
      <w:numFmt w:val="decimal"/>
      <w:lvlText w:val="%4)"/>
      <w:lvlJc w:val="left"/>
      <w:pPr>
        <w:ind w:left="2880" w:hanging="360"/>
      </w:pPr>
      <w:rPr>
        <w:rFonts w:hint="default"/>
      </w:rPr>
    </w:lvl>
    <w:lvl w:ilvl="4" w:tplc="056AFAF8">
      <w:start w:val="1"/>
      <w:numFmt w:val="lowerLetter"/>
      <w:lvlText w:val="%5)"/>
      <w:lvlJc w:val="left"/>
      <w:pPr>
        <w:ind w:left="3600" w:hanging="360"/>
      </w:pPr>
      <w:rPr>
        <w:rFonts w:hint="default"/>
        <w:vertAlign w:val="baseli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E1FC9"/>
    <w:multiLevelType w:val="hybridMultilevel"/>
    <w:tmpl w:val="827EB6DE"/>
    <w:lvl w:ilvl="0" w:tplc="1366805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F0C3A"/>
    <w:multiLevelType w:val="hybridMultilevel"/>
    <w:tmpl w:val="1E6C74B8"/>
    <w:lvl w:ilvl="0" w:tplc="081ED050">
      <w:start w:val="1"/>
      <w:numFmt w:val="upperLetter"/>
      <w:lvlText w:val="%1."/>
      <w:lvlJc w:val="left"/>
      <w:pPr>
        <w:ind w:left="720" w:hanging="360"/>
      </w:pPr>
      <w:rPr>
        <w:rFonts w:hint="default"/>
        <w:b/>
      </w:rPr>
    </w:lvl>
    <w:lvl w:ilvl="1" w:tplc="3AA088B2">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36EF1"/>
    <w:multiLevelType w:val="singleLevel"/>
    <w:tmpl w:val="2A14AA74"/>
    <w:lvl w:ilvl="0">
      <w:start w:val="1"/>
      <w:numFmt w:val="decimal"/>
      <w:lvlText w:val="%1)"/>
      <w:lvlJc w:val="left"/>
      <w:pPr>
        <w:tabs>
          <w:tab w:val="num" w:pos="1155"/>
        </w:tabs>
        <w:ind w:left="1155" w:hanging="435"/>
      </w:pPr>
      <w:rPr>
        <w:rFonts w:ascii="Times New Roman" w:eastAsia="Times New Roman" w:hAnsi="Times New Roman" w:cs="Times New Roman"/>
      </w:rPr>
    </w:lvl>
  </w:abstractNum>
  <w:abstractNum w:abstractNumId="10">
    <w:nsid w:val="366F7C0A"/>
    <w:multiLevelType w:val="hybridMultilevel"/>
    <w:tmpl w:val="31469B60"/>
    <w:lvl w:ilvl="0" w:tplc="614E4FD0">
      <w:start w:val="1"/>
      <w:numFmt w:val="lowerLetter"/>
      <w:lvlText w:val="%1."/>
      <w:lvlJc w:val="left"/>
      <w:pPr>
        <w:tabs>
          <w:tab w:val="num" w:pos="750"/>
        </w:tabs>
        <w:ind w:left="750" w:hanging="390"/>
      </w:pPr>
      <w:rPr>
        <w:rFonts w:ascii="Times New Roman" w:eastAsia="Times New Roman" w:hAnsi="Times New Roman" w:cs="Times New Roman" w:hint="default"/>
      </w:rPr>
    </w:lvl>
    <w:lvl w:ilvl="1" w:tplc="04090019">
      <w:start w:val="1"/>
      <w:numFmt w:val="decimal"/>
      <w:lvlText w:val="(%2)"/>
      <w:lvlJc w:val="left"/>
      <w:pPr>
        <w:tabs>
          <w:tab w:val="num" w:pos="1545"/>
        </w:tabs>
        <w:ind w:left="1545" w:hanging="465"/>
      </w:pPr>
      <w:rPr>
        <w:rFonts w:hint="default"/>
      </w:rPr>
    </w:lvl>
    <w:lvl w:ilvl="2" w:tplc="0409001B">
      <w:start w:val="1"/>
      <w:numFmt w:val="upperLetter"/>
      <w:lvlText w:val="%3."/>
      <w:lvlJc w:val="left"/>
      <w:pPr>
        <w:tabs>
          <w:tab w:val="num" w:pos="2340"/>
        </w:tabs>
        <w:ind w:left="2340" w:hanging="360"/>
      </w:pPr>
      <w:rPr>
        <w:rFonts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AD2964"/>
    <w:multiLevelType w:val="multilevel"/>
    <w:tmpl w:val="EB826F3A"/>
    <w:lvl w:ilvl="0">
      <w:start w:val="1"/>
      <w:numFmt w:val="lowerLetter"/>
      <w:lvlText w:val="%1."/>
      <w:lvlJc w:val="left"/>
      <w:pPr>
        <w:tabs>
          <w:tab w:val="num" w:pos="1275"/>
        </w:tabs>
        <w:ind w:left="1275" w:hanging="555"/>
      </w:pPr>
      <w:rPr>
        <w:rFonts w:ascii="Times New Roman" w:eastAsia="Times New Roman" w:hAnsi="Times New Roman" w:cs="Times New Roman" w:hint="default"/>
      </w:rPr>
    </w:lvl>
    <w:lvl w:ilvl="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12">
    <w:nsid w:val="3867127A"/>
    <w:multiLevelType w:val="singleLevel"/>
    <w:tmpl w:val="97A65D4A"/>
    <w:lvl w:ilvl="0">
      <w:start w:val="1"/>
      <w:numFmt w:val="lowerLetter"/>
      <w:lvlText w:val="%1."/>
      <w:lvlJc w:val="left"/>
      <w:pPr>
        <w:tabs>
          <w:tab w:val="num" w:pos="900"/>
        </w:tabs>
        <w:ind w:left="900" w:hanging="360"/>
      </w:pPr>
      <w:rPr>
        <w:rFonts w:ascii="Times New Roman" w:eastAsia="Times New Roman" w:hAnsi="Times New Roman" w:cs="Times New Roman" w:hint="default"/>
      </w:rPr>
    </w:lvl>
  </w:abstractNum>
  <w:abstractNum w:abstractNumId="13">
    <w:nsid w:val="4A4B6EEE"/>
    <w:multiLevelType w:val="singleLevel"/>
    <w:tmpl w:val="0409000F"/>
    <w:lvl w:ilvl="0">
      <w:start w:val="1"/>
      <w:numFmt w:val="decimal"/>
      <w:lvlText w:val="%1."/>
      <w:lvlJc w:val="left"/>
      <w:pPr>
        <w:tabs>
          <w:tab w:val="num" w:pos="360"/>
        </w:tabs>
        <w:ind w:left="360" w:hanging="360"/>
      </w:pPr>
    </w:lvl>
  </w:abstractNum>
  <w:abstractNum w:abstractNumId="14">
    <w:nsid w:val="4CCA1C10"/>
    <w:multiLevelType w:val="hybridMultilevel"/>
    <w:tmpl w:val="3BCEE0FE"/>
    <w:lvl w:ilvl="0" w:tplc="0804BE2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922683"/>
    <w:multiLevelType w:val="hybridMultilevel"/>
    <w:tmpl w:val="5AD4D3E6"/>
    <w:lvl w:ilvl="0" w:tplc="0CC68C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0515A"/>
    <w:multiLevelType w:val="hybridMultilevel"/>
    <w:tmpl w:val="782C8E2C"/>
    <w:lvl w:ilvl="0" w:tplc="90EE888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E373E6"/>
    <w:multiLevelType w:val="hybridMultilevel"/>
    <w:tmpl w:val="93DE30AC"/>
    <w:lvl w:ilvl="0" w:tplc="0409000F">
      <w:start w:val="1"/>
      <w:numFmt w:val="lowerLetter"/>
      <w:lvlText w:val="%1."/>
      <w:lvlJc w:val="left"/>
      <w:pPr>
        <w:tabs>
          <w:tab w:val="num" w:pos="720"/>
        </w:tabs>
        <w:ind w:left="720" w:hanging="360"/>
      </w:pPr>
      <w:rPr>
        <w:rFonts w:ascii="Arial" w:eastAsia="Times New Roman" w:hAnsi="Arial" w:cs="Arial" w:hint="default"/>
      </w:rPr>
    </w:lvl>
    <w:lvl w:ilvl="1" w:tplc="673CC644">
      <w:start w:val="1"/>
      <w:numFmt w:val="lowerLetter"/>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5DA52D5"/>
    <w:multiLevelType w:val="hybridMultilevel"/>
    <w:tmpl w:val="E7FEB488"/>
    <w:lvl w:ilvl="0" w:tplc="376C73F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BA62C65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D53010B8">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E853052"/>
    <w:multiLevelType w:val="hybridMultilevel"/>
    <w:tmpl w:val="0A62B786"/>
    <w:lvl w:ilvl="0" w:tplc="025837B4">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0856BDC"/>
    <w:multiLevelType w:val="hybridMultilevel"/>
    <w:tmpl w:val="A7D41142"/>
    <w:lvl w:ilvl="0" w:tplc="54720A00">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9584903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524C29"/>
    <w:multiLevelType w:val="hybridMultilevel"/>
    <w:tmpl w:val="54D4A0A2"/>
    <w:lvl w:ilvl="0" w:tplc="2766F94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5354282"/>
    <w:multiLevelType w:val="singleLevel"/>
    <w:tmpl w:val="A5808B1A"/>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23">
    <w:nsid w:val="77914F2D"/>
    <w:multiLevelType w:val="singleLevel"/>
    <w:tmpl w:val="BB40FE0C"/>
    <w:lvl w:ilvl="0">
      <w:start w:val="1"/>
      <w:numFmt w:val="upperLetter"/>
      <w:lvlText w:val="%1."/>
      <w:lvlJc w:val="left"/>
      <w:pPr>
        <w:tabs>
          <w:tab w:val="num" w:pos="360"/>
        </w:tabs>
        <w:ind w:left="360" w:hanging="360"/>
      </w:pPr>
    </w:lvl>
  </w:abstractNum>
  <w:abstractNum w:abstractNumId="24">
    <w:nsid w:val="7C150E95"/>
    <w:multiLevelType w:val="hybridMultilevel"/>
    <w:tmpl w:val="6A862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6E5EA10C">
      <w:start w:val="1"/>
      <w:numFmt w:val="decimal"/>
      <w:lvlText w:val="%3)"/>
      <w:lvlJc w:val="left"/>
      <w:pPr>
        <w:ind w:left="2700" w:hanging="360"/>
      </w:pPr>
      <w:rPr>
        <w:rFonts w:hint="default"/>
      </w:rPr>
    </w:lvl>
    <w:lvl w:ilvl="3" w:tplc="C480F65C">
      <w:start w:val="1"/>
      <w:numFmt w:val="decimal"/>
      <w:lvlText w:val="%4)"/>
      <w:lvlJc w:val="left"/>
      <w:pPr>
        <w:ind w:left="3240" w:hanging="360"/>
      </w:pPr>
      <w:rPr>
        <w:rFonts w:hint="default"/>
      </w:rPr>
    </w:lvl>
    <w:lvl w:ilvl="4" w:tplc="1FC641D4">
      <w:start w:val="1"/>
      <w:numFmt w:val="decimal"/>
      <w:lvlText w:val="%5)"/>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E02BF2"/>
    <w:multiLevelType w:val="hybridMultilevel"/>
    <w:tmpl w:val="D5604A9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51F22098">
      <w:start w:val="1"/>
      <w:numFmt w:val="decimal"/>
      <w:lvlText w:val="%3."/>
      <w:lvlJc w:val="left"/>
      <w:pPr>
        <w:ind w:left="2700" w:hanging="360"/>
      </w:pPr>
      <w:rPr>
        <w:rFonts w:hint="default"/>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8F08A7E8">
      <w:start w:val="1"/>
      <w:numFmt w:val="decimal"/>
      <w:lvlText w:val="%6)"/>
      <w:lvlJc w:val="right"/>
      <w:pPr>
        <w:ind w:left="4680" w:hanging="180"/>
      </w:pPr>
      <w:rPr>
        <w:rFonts w:ascii="Times New Roman" w:eastAsia="Calibri" w:hAnsi="Times New Roman" w:cs="Times New Roman"/>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lvlOverride w:ilvl="0">
      <w:startOverride w:val="1"/>
    </w:lvlOverride>
  </w:num>
  <w:num w:numId="2">
    <w:abstractNumId w:val="13"/>
    <w:lvlOverride w:ilvl="0">
      <w:startOverride w:val="1"/>
    </w:lvlOverride>
  </w:num>
  <w:num w:numId="3">
    <w:abstractNumId w:val="8"/>
  </w:num>
  <w:num w:numId="4">
    <w:abstractNumId w:val="6"/>
  </w:num>
  <w:num w:numId="5">
    <w:abstractNumId w:val="12"/>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num>
  <w:num w:numId="13">
    <w:abstractNumId w:val="9"/>
    <w:lvlOverride w:ilvl="0">
      <w:startOverride w:val="1"/>
    </w:lvlOverride>
  </w:num>
  <w:num w:numId="14">
    <w:abstractNumId w:val="4"/>
    <w:lvlOverride w:ilvl="0">
      <w:startOverride w:val="1"/>
    </w:lvlOverride>
  </w:num>
  <w:num w:numId="15">
    <w:abstractNumId w:val="2"/>
    <w:lvlOverride w:ilvl="0">
      <w:startOverride w:val="1"/>
    </w:lvlOverride>
  </w:num>
  <w:num w:numId="16">
    <w:abstractNumId w:val="10"/>
  </w:num>
  <w:num w:numId="17">
    <w:abstractNumId w:val="20"/>
  </w:num>
  <w:num w:numId="18">
    <w:abstractNumId w:val="15"/>
  </w:num>
  <w:num w:numId="19">
    <w:abstractNumId w:val="16"/>
  </w:num>
  <w:num w:numId="20">
    <w:abstractNumId w:val="5"/>
  </w:num>
  <w:num w:numId="21">
    <w:abstractNumId w:val="0"/>
  </w:num>
  <w:num w:numId="22">
    <w:abstractNumId w:val="14"/>
  </w:num>
  <w:num w:numId="23">
    <w:abstractNumId w:val="3"/>
  </w:num>
  <w:num w:numId="24">
    <w:abstractNumId w:val="24"/>
  </w:num>
  <w:num w:numId="25">
    <w:abstractNumId w:val="25"/>
  </w:num>
  <w:num w:numId="26">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GErHgy553/wqrn1Vj+Tte4U9yYk=" w:salt="J+iph5igdnHWjWAnf0ZIx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10EF3"/>
    <w:rsid w:val="00016836"/>
    <w:rsid w:val="000204C3"/>
    <w:rsid w:val="00035A24"/>
    <w:rsid w:val="000554F3"/>
    <w:rsid w:val="000609B4"/>
    <w:rsid w:val="0009006E"/>
    <w:rsid w:val="000A5015"/>
    <w:rsid w:val="000C219B"/>
    <w:rsid w:val="000D7F2F"/>
    <w:rsid w:val="00113408"/>
    <w:rsid w:val="00124363"/>
    <w:rsid w:val="00133FAA"/>
    <w:rsid w:val="00136FFB"/>
    <w:rsid w:val="001432CC"/>
    <w:rsid w:val="00190E99"/>
    <w:rsid w:val="00197AE7"/>
    <w:rsid w:val="001A2B78"/>
    <w:rsid w:val="001A4160"/>
    <w:rsid w:val="001C567C"/>
    <w:rsid w:val="001D180B"/>
    <w:rsid w:val="001D5DD1"/>
    <w:rsid w:val="001E2C8B"/>
    <w:rsid w:val="002106B6"/>
    <w:rsid w:val="00224259"/>
    <w:rsid w:val="002531A6"/>
    <w:rsid w:val="00254D5A"/>
    <w:rsid w:val="002932C9"/>
    <w:rsid w:val="002B2C8F"/>
    <w:rsid w:val="002B72B5"/>
    <w:rsid w:val="002C6DEB"/>
    <w:rsid w:val="002E605A"/>
    <w:rsid w:val="003039CD"/>
    <w:rsid w:val="00321BB7"/>
    <w:rsid w:val="00342D52"/>
    <w:rsid w:val="00356085"/>
    <w:rsid w:val="00367E5C"/>
    <w:rsid w:val="0037454B"/>
    <w:rsid w:val="003871EA"/>
    <w:rsid w:val="003A7552"/>
    <w:rsid w:val="003B0000"/>
    <w:rsid w:val="003C605A"/>
    <w:rsid w:val="003C7C01"/>
    <w:rsid w:val="003E1CC0"/>
    <w:rsid w:val="003E6559"/>
    <w:rsid w:val="003F23F2"/>
    <w:rsid w:val="004117A3"/>
    <w:rsid w:val="00451DA6"/>
    <w:rsid w:val="004566D5"/>
    <w:rsid w:val="00460E29"/>
    <w:rsid w:val="00465904"/>
    <w:rsid w:val="004974DC"/>
    <w:rsid w:val="004D7499"/>
    <w:rsid w:val="00525E42"/>
    <w:rsid w:val="00527D2F"/>
    <w:rsid w:val="00532022"/>
    <w:rsid w:val="00553385"/>
    <w:rsid w:val="005B3576"/>
    <w:rsid w:val="005C0343"/>
    <w:rsid w:val="005C2DFA"/>
    <w:rsid w:val="005D0340"/>
    <w:rsid w:val="005D79AC"/>
    <w:rsid w:val="005E3BAE"/>
    <w:rsid w:val="0060210A"/>
    <w:rsid w:val="00602896"/>
    <w:rsid w:val="00625AA5"/>
    <w:rsid w:val="006636F7"/>
    <w:rsid w:val="0067094E"/>
    <w:rsid w:val="0068769A"/>
    <w:rsid w:val="006B706B"/>
    <w:rsid w:val="006D1A30"/>
    <w:rsid w:val="006D22A2"/>
    <w:rsid w:val="006F50DD"/>
    <w:rsid w:val="006F6838"/>
    <w:rsid w:val="00711E6A"/>
    <w:rsid w:val="00730EA4"/>
    <w:rsid w:val="007325F4"/>
    <w:rsid w:val="007605C9"/>
    <w:rsid w:val="00762C2C"/>
    <w:rsid w:val="00764991"/>
    <w:rsid w:val="00775CA5"/>
    <w:rsid w:val="00780A04"/>
    <w:rsid w:val="00781400"/>
    <w:rsid w:val="00795D8F"/>
    <w:rsid w:val="007B1AE7"/>
    <w:rsid w:val="007C3609"/>
    <w:rsid w:val="007D310F"/>
    <w:rsid w:val="007D7C30"/>
    <w:rsid w:val="007E7C76"/>
    <w:rsid w:val="00815FE5"/>
    <w:rsid w:val="008264C8"/>
    <w:rsid w:val="00836E59"/>
    <w:rsid w:val="008516E4"/>
    <w:rsid w:val="008679A1"/>
    <w:rsid w:val="00886A3F"/>
    <w:rsid w:val="008D3915"/>
    <w:rsid w:val="008F2D4E"/>
    <w:rsid w:val="009064B5"/>
    <w:rsid w:val="009226D5"/>
    <w:rsid w:val="009770B8"/>
    <w:rsid w:val="00994E74"/>
    <w:rsid w:val="009D3D19"/>
    <w:rsid w:val="00A04E9B"/>
    <w:rsid w:val="00A1109F"/>
    <w:rsid w:val="00A15C82"/>
    <w:rsid w:val="00A16449"/>
    <w:rsid w:val="00A23A07"/>
    <w:rsid w:val="00A24350"/>
    <w:rsid w:val="00A4303D"/>
    <w:rsid w:val="00A75FC0"/>
    <w:rsid w:val="00A96642"/>
    <w:rsid w:val="00AA6C1D"/>
    <w:rsid w:val="00AA71B0"/>
    <w:rsid w:val="00B27AA0"/>
    <w:rsid w:val="00B5558F"/>
    <w:rsid w:val="00B5561D"/>
    <w:rsid w:val="00B56212"/>
    <w:rsid w:val="00B7086C"/>
    <w:rsid w:val="00B858AF"/>
    <w:rsid w:val="00B97A88"/>
    <w:rsid w:val="00BA0EC0"/>
    <w:rsid w:val="00BB353B"/>
    <w:rsid w:val="00C06970"/>
    <w:rsid w:val="00C206E1"/>
    <w:rsid w:val="00C26EFA"/>
    <w:rsid w:val="00C36387"/>
    <w:rsid w:val="00C647F2"/>
    <w:rsid w:val="00C6666E"/>
    <w:rsid w:val="00CA6804"/>
    <w:rsid w:val="00CC262E"/>
    <w:rsid w:val="00CD0355"/>
    <w:rsid w:val="00CD4E72"/>
    <w:rsid w:val="00CE3B02"/>
    <w:rsid w:val="00D07BD6"/>
    <w:rsid w:val="00D13D04"/>
    <w:rsid w:val="00D76A6D"/>
    <w:rsid w:val="00D80ADF"/>
    <w:rsid w:val="00D961F8"/>
    <w:rsid w:val="00DB18C4"/>
    <w:rsid w:val="00DC2E19"/>
    <w:rsid w:val="00DD202F"/>
    <w:rsid w:val="00DD59FB"/>
    <w:rsid w:val="00DD5EB7"/>
    <w:rsid w:val="00E1359A"/>
    <w:rsid w:val="00E24033"/>
    <w:rsid w:val="00E24B0F"/>
    <w:rsid w:val="00E44757"/>
    <w:rsid w:val="00E576D0"/>
    <w:rsid w:val="00E6622E"/>
    <w:rsid w:val="00E67F8C"/>
    <w:rsid w:val="00E87F39"/>
    <w:rsid w:val="00E95274"/>
    <w:rsid w:val="00E958D3"/>
    <w:rsid w:val="00EA5BC2"/>
    <w:rsid w:val="00EC3238"/>
    <w:rsid w:val="00ED7DB9"/>
    <w:rsid w:val="00EE1A81"/>
    <w:rsid w:val="00EE1D6A"/>
    <w:rsid w:val="00F00EB0"/>
    <w:rsid w:val="00F53775"/>
    <w:rsid w:val="00F6454B"/>
    <w:rsid w:val="00F64650"/>
    <w:rsid w:val="00F837E2"/>
    <w:rsid w:val="00FD085E"/>
    <w:rsid w:val="00FE6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qFormat/>
    <w:rsid w:val="00016836"/>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link w:val="BodyTextIndent3Char"/>
    <w:rsid w:val="00016836"/>
    <w:pPr>
      <w:tabs>
        <w:tab w:val="left" w:pos="1276"/>
        <w:tab w:val="left" w:pos="1560"/>
        <w:tab w:val="left" w:pos="1701"/>
      </w:tabs>
      <w:spacing w:line="480" w:lineRule="auto"/>
      <w:ind w:left="426"/>
    </w:pPr>
    <w:rPr>
      <w:szCs w:val="20"/>
    </w:rPr>
  </w:style>
  <w:style w:type="paragraph" w:styleId="BodyText2">
    <w:name w:val="Body Text 2"/>
    <w:basedOn w:val="Normal"/>
    <w:link w:val="BodyText2Char"/>
    <w:rsid w:val="00016836"/>
    <w:pPr>
      <w:tabs>
        <w:tab w:val="left" w:pos="709"/>
      </w:tabs>
      <w:spacing w:line="480" w:lineRule="auto"/>
      <w:jc w:val="both"/>
    </w:pPr>
    <w:rPr>
      <w:b/>
      <w:szCs w:val="20"/>
    </w:rPr>
  </w:style>
  <w:style w:type="paragraph" w:styleId="BodyText3">
    <w:name w:val="Body Text 3"/>
    <w:basedOn w:val="Normal"/>
    <w:link w:val="BodyText3Char"/>
    <w:rsid w:val="00016836"/>
    <w:pPr>
      <w:jc w:val="center"/>
    </w:pPr>
    <w:rPr>
      <w:sz w:val="36"/>
      <w:szCs w:val="20"/>
    </w:rPr>
  </w:style>
  <w:style w:type="paragraph" w:styleId="FootnoteText">
    <w:name w:val="footnote text"/>
    <w:aliases w:val=" Char Char Char Char, Char Char Char,Char, Char, Char Char,Char Char Char Char,Char Char Char,Footnote Text Char1,Footnote Text Char Char,Char Char Char1,Char Char Char Char Char Char1,Char Char Char Ch,Footnote Text Char Char Char Char Char"/>
    <w:basedOn w:val="Normal"/>
    <w:link w:val="FootnoteTextChar"/>
    <w:uiPriority w:val="99"/>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uiPriority w:val="99"/>
    <w:rsid w:val="00190E99"/>
    <w:rPr>
      <w:lang w:val="en-US" w:eastAsia="en-US"/>
    </w:rPr>
  </w:style>
  <w:style w:type="character" w:customStyle="1" w:styleId="Heading4Char">
    <w:name w:val="Heading 4 Char"/>
    <w:link w:val="Heading4"/>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styleId="ListParagraph">
    <w:name w:val="List Paragraph"/>
    <w:aliases w:val="Body Text Char1,Char Char2,kepala,skripsi,Body of text"/>
    <w:basedOn w:val="Normal"/>
    <w:link w:val="ListParagraphChar"/>
    <w:qFormat/>
    <w:rsid w:val="00224259"/>
    <w:pPr>
      <w:spacing w:after="200" w:line="276" w:lineRule="auto"/>
      <w:ind w:left="720"/>
      <w:contextualSpacing/>
    </w:pPr>
    <w:rPr>
      <w:rFonts w:ascii="Calibri" w:eastAsia="Calibri" w:hAnsi="Calibri"/>
      <w:sz w:val="22"/>
      <w:szCs w:val="22"/>
    </w:rPr>
  </w:style>
  <w:style w:type="paragraph" w:customStyle="1" w:styleId="Default">
    <w:name w:val="Default"/>
    <w:rsid w:val="007605C9"/>
    <w:pPr>
      <w:autoSpaceDE w:val="0"/>
      <w:autoSpaceDN w:val="0"/>
      <w:adjustRightInd w:val="0"/>
    </w:pPr>
    <w:rPr>
      <w:color w:val="000000"/>
      <w:sz w:val="24"/>
      <w:szCs w:val="24"/>
      <w:lang w:val="en-US" w:eastAsia="en-US"/>
    </w:rPr>
  </w:style>
  <w:style w:type="character" w:customStyle="1" w:styleId="BodyTextChar">
    <w:name w:val="Body Text Char"/>
    <w:link w:val="BodyText"/>
    <w:rsid w:val="00781400"/>
    <w:rPr>
      <w:rFonts w:ascii="Bookman Old Style" w:hAnsi="Bookman Old Style"/>
      <w:sz w:val="24"/>
    </w:rPr>
  </w:style>
  <w:style w:type="character" w:customStyle="1" w:styleId="BodyTextIndent3Char">
    <w:name w:val="Body Text Indent 3 Char"/>
    <w:link w:val="BodyTextIndent3"/>
    <w:rsid w:val="00781400"/>
    <w:rPr>
      <w:sz w:val="24"/>
    </w:rPr>
  </w:style>
  <w:style w:type="character" w:customStyle="1" w:styleId="st">
    <w:name w:val="st"/>
    <w:basedOn w:val="DefaultParagraphFont"/>
    <w:rsid w:val="00367E5C"/>
  </w:style>
  <w:style w:type="character" w:customStyle="1" w:styleId="a">
    <w:name w:val="a"/>
    <w:basedOn w:val="DefaultParagraphFont"/>
    <w:rsid w:val="005B3576"/>
  </w:style>
  <w:style w:type="character" w:customStyle="1" w:styleId="ListParagraphChar">
    <w:name w:val="List Paragraph Char"/>
    <w:aliases w:val="Body Text Char1 Char,Char Char2 Char,kepala Char,skripsi Char,Body of text Char"/>
    <w:link w:val="ListParagraph"/>
    <w:locked/>
    <w:rsid w:val="00527D2F"/>
    <w:rPr>
      <w:rFonts w:ascii="Calibri" w:eastAsia="Calibri" w:hAnsi="Calibri"/>
      <w:sz w:val="22"/>
      <w:szCs w:val="22"/>
    </w:rPr>
  </w:style>
  <w:style w:type="character" w:customStyle="1" w:styleId="A9">
    <w:name w:val="A9"/>
    <w:uiPriority w:val="99"/>
    <w:rsid w:val="007D310F"/>
    <w:rPr>
      <w:color w:val="000000"/>
      <w:sz w:val="23"/>
      <w:szCs w:val="23"/>
    </w:rPr>
  </w:style>
  <w:style w:type="character" w:customStyle="1" w:styleId="HeaderChar">
    <w:name w:val="Header Char"/>
    <w:link w:val="Header"/>
    <w:rsid w:val="007D310F"/>
    <w:rPr>
      <w:sz w:val="24"/>
      <w:szCs w:val="24"/>
    </w:rPr>
  </w:style>
  <w:style w:type="character" w:customStyle="1" w:styleId="FooterChar">
    <w:name w:val="Footer Char"/>
    <w:link w:val="Footer"/>
    <w:uiPriority w:val="99"/>
    <w:rsid w:val="007D310F"/>
    <w:rPr>
      <w:sz w:val="24"/>
      <w:szCs w:val="24"/>
    </w:rPr>
  </w:style>
  <w:style w:type="paragraph" w:styleId="BalloonText">
    <w:name w:val="Balloon Text"/>
    <w:basedOn w:val="Normal"/>
    <w:link w:val="BalloonTextChar"/>
    <w:uiPriority w:val="99"/>
    <w:semiHidden/>
    <w:unhideWhenUsed/>
    <w:rsid w:val="008516E4"/>
    <w:rPr>
      <w:rFonts w:ascii="Segoe UI" w:hAnsi="Segoe UI" w:cs="Segoe UI"/>
      <w:sz w:val="18"/>
      <w:szCs w:val="18"/>
    </w:rPr>
  </w:style>
  <w:style w:type="character" w:customStyle="1" w:styleId="BalloonTextChar">
    <w:name w:val="Balloon Text Char"/>
    <w:link w:val="BalloonText"/>
    <w:uiPriority w:val="99"/>
    <w:semiHidden/>
    <w:rsid w:val="008516E4"/>
    <w:rPr>
      <w:rFonts w:ascii="Segoe UI" w:hAnsi="Segoe UI" w:cs="Segoe UI"/>
      <w:sz w:val="18"/>
      <w:szCs w:val="18"/>
    </w:rPr>
  </w:style>
  <w:style w:type="character" w:customStyle="1" w:styleId="lrzxr">
    <w:name w:val="lrzxr"/>
    <w:rsid w:val="001A2B78"/>
  </w:style>
  <w:style w:type="character" w:customStyle="1" w:styleId="ilfuvd">
    <w:name w:val="ilfuvd"/>
    <w:rsid w:val="001A2B78"/>
  </w:style>
  <w:style w:type="character" w:customStyle="1" w:styleId="TitleChar">
    <w:name w:val="Title Char"/>
    <w:link w:val="Title"/>
    <w:rsid w:val="001A2B78"/>
    <w:rPr>
      <w:rFonts w:ascii="Bookman Old Style" w:hAnsi="Bookman Old Style"/>
      <w:sz w:val="24"/>
    </w:rPr>
  </w:style>
  <w:style w:type="character" w:customStyle="1" w:styleId="Heading2Char">
    <w:name w:val="Heading 2 Char"/>
    <w:link w:val="Heading2"/>
    <w:rsid w:val="001A2B78"/>
    <w:rPr>
      <w:rFonts w:ascii="Bookman Old Style" w:hAnsi="Bookman Old Style"/>
      <w:b/>
      <w:sz w:val="24"/>
    </w:rPr>
  </w:style>
  <w:style w:type="character" w:customStyle="1" w:styleId="UnresolvedMention">
    <w:name w:val="Unresolved Mention"/>
    <w:uiPriority w:val="99"/>
    <w:semiHidden/>
    <w:unhideWhenUsed/>
    <w:rsid w:val="001A2B78"/>
    <w:rPr>
      <w:color w:val="605E5C"/>
      <w:shd w:val="clear" w:color="auto" w:fill="E1DFDD"/>
    </w:rPr>
  </w:style>
  <w:style w:type="character" w:customStyle="1" w:styleId="BodyText2Char">
    <w:name w:val="Body Text 2 Char"/>
    <w:link w:val="BodyText2"/>
    <w:rsid w:val="00795D8F"/>
    <w:rPr>
      <w:b/>
      <w:sz w:val="24"/>
    </w:rPr>
  </w:style>
  <w:style w:type="character" w:customStyle="1" w:styleId="BodyText3Char">
    <w:name w:val="Body Text 3 Char"/>
    <w:link w:val="BodyText3"/>
    <w:rsid w:val="00795D8F"/>
    <w:rPr>
      <w:sz w:val="36"/>
    </w:rPr>
  </w:style>
  <w:style w:type="character" w:customStyle="1" w:styleId="hgkelc">
    <w:name w:val="hgkelc"/>
    <w:rsid w:val="001D5DD1"/>
  </w:style>
  <w:style w:type="paragraph" w:styleId="PlainText">
    <w:name w:val="Plain Text"/>
    <w:basedOn w:val="Normal"/>
    <w:link w:val="PlainTextChar"/>
    <w:rsid w:val="00C06970"/>
    <w:rPr>
      <w:rFonts w:ascii="Courier New" w:hAnsi="Courier New" w:cs="Courier New"/>
      <w:sz w:val="20"/>
      <w:szCs w:val="20"/>
    </w:rPr>
  </w:style>
  <w:style w:type="character" w:customStyle="1" w:styleId="PlainTextChar">
    <w:name w:val="Plain Text Char"/>
    <w:link w:val="PlainText"/>
    <w:rsid w:val="00C06970"/>
    <w:rPr>
      <w:rFonts w:ascii="Courier New" w:hAnsi="Courier New" w:cs="Courier New"/>
    </w:rPr>
  </w:style>
  <w:style w:type="character" w:customStyle="1" w:styleId="markedcontent">
    <w:name w:val="markedcontent"/>
    <w:rsid w:val="00C06970"/>
  </w:style>
</w:styles>
</file>

<file path=word/webSettings.xml><?xml version="1.0" encoding="utf-8"?>
<w:webSettings xmlns:r="http://schemas.openxmlformats.org/officeDocument/2006/relationships" xmlns:w="http://schemas.openxmlformats.org/wordprocessingml/2006/main">
  <w:divs>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21059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F404A-2BEF-4938-BC11-AE98C07B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6340</Words>
  <Characters>36144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2025-08-11T01:29:00Z</cp:lastPrinted>
  <dcterms:created xsi:type="dcterms:W3CDTF">2025-11-21T08:30:00Z</dcterms:created>
  <dcterms:modified xsi:type="dcterms:W3CDTF">2025-11-21T08:30:00Z</dcterms:modified>
</cp:coreProperties>
</file>