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1A" w:rsidRPr="00CC1ED6" w:rsidRDefault="0037741A" w:rsidP="0037741A">
      <w:pPr>
        <w:pStyle w:val="Heading1"/>
        <w:spacing w:before="0" w:line="480" w:lineRule="auto"/>
        <w:ind w:firstLine="0"/>
        <w:jc w:val="center"/>
        <w:rPr>
          <w:rFonts w:ascii="Times New Roman" w:hAnsi="Times New Roman"/>
          <w:color w:val="0D0D0D" w:themeColor="text1" w:themeTint="F2"/>
          <w:sz w:val="24"/>
        </w:rPr>
      </w:pPr>
      <w:bookmarkStart w:id="0" w:name="_Toc182041792"/>
      <w:r w:rsidRPr="00CC1ED6">
        <w:rPr>
          <w:rFonts w:ascii="Times New Roman" w:hAnsi="Times New Roman"/>
          <w:color w:val="0D0D0D" w:themeColor="text1" w:themeTint="F2"/>
          <w:sz w:val="24"/>
        </w:rPr>
        <w:t>BAB III</w:t>
      </w:r>
      <w:bookmarkEnd w:id="0"/>
    </w:p>
    <w:p w:rsidR="0037741A" w:rsidRPr="00CC1ED6" w:rsidRDefault="0037741A" w:rsidP="0037741A">
      <w:pPr>
        <w:pStyle w:val="Heading1"/>
        <w:spacing w:before="0" w:line="480" w:lineRule="auto"/>
        <w:ind w:firstLine="0"/>
        <w:jc w:val="center"/>
        <w:rPr>
          <w:rFonts w:ascii="Times New Roman" w:hAnsi="Times New Roman"/>
          <w:color w:val="0D0D0D" w:themeColor="text1" w:themeTint="F2"/>
          <w:sz w:val="24"/>
        </w:rPr>
      </w:pPr>
      <w:bookmarkStart w:id="1" w:name="_Toc182041793"/>
      <w:r w:rsidRPr="00CC1ED6">
        <w:rPr>
          <w:rFonts w:ascii="Times New Roman" w:hAnsi="Times New Roman"/>
          <w:color w:val="0D0D0D" w:themeColor="text1" w:themeTint="F2"/>
          <w:sz w:val="24"/>
        </w:rPr>
        <w:t>METODE PENELITIAN</w:t>
      </w:r>
      <w:bookmarkEnd w:id="1"/>
    </w:p>
    <w:p w:rsidR="0037741A" w:rsidRPr="00906CD5" w:rsidRDefault="0037741A" w:rsidP="0037741A">
      <w:pPr>
        <w:spacing w:after="0" w:line="240" w:lineRule="auto"/>
        <w:ind w:firstLine="0"/>
        <w:jc w:val="center"/>
        <w:rPr>
          <w:sz w:val="24"/>
        </w:rPr>
      </w:pPr>
    </w:p>
    <w:p w:rsidR="0037741A" w:rsidRPr="007F2E12" w:rsidRDefault="0037741A" w:rsidP="0037741A">
      <w:pPr>
        <w:pStyle w:val="Heading2"/>
        <w:spacing w:before="0" w:line="480" w:lineRule="auto"/>
        <w:ind w:left="709" w:hanging="709"/>
        <w:rPr>
          <w:rFonts w:ascii="Times New Roman" w:hAnsi="Times New Roman"/>
          <w:color w:val="0D0D0D" w:themeColor="text1" w:themeTint="F2"/>
          <w:sz w:val="24"/>
        </w:rPr>
      </w:pPr>
      <w:bookmarkStart w:id="2" w:name="_Toc182041794"/>
      <w:r w:rsidRPr="007F2E12">
        <w:rPr>
          <w:rFonts w:ascii="Times New Roman" w:hAnsi="Times New Roman"/>
          <w:color w:val="0D0D0D" w:themeColor="text1" w:themeTint="F2"/>
          <w:sz w:val="24"/>
        </w:rPr>
        <w:t xml:space="preserve">A. </w:t>
      </w:r>
      <w:r w:rsidRPr="007F2E12">
        <w:rPr>
          <w:rFonts w:ascii="Times New Roman" w:hAnsi="Times New Roman"/>
          <w:color w:val="0D0D0D" w:themeColor="text1" w:themeTint="F2"/>
          <w:sz w:val="24"/>
        </w:rPr>
        <w:tab/>
        <w:t>Jenis Penelitian</w:t>
      </w:r>
      <w:bookmarkEnd w:id="2"/>
    </w:p>
    <w:p w:rsidR="0037741A" w:rsidRPr="00906CD5" w:rsidRDefault="0037741A" w:rsidP="0037741A">
      <w:pPr>
        <w:spacing w:after="0" w:line="480" w:lineRule="auto"/>
        <w:ind w:firstLine="709"/>
        <w:rPr>
          <w:sz w:val="24"/>
        </w:rPr>
      </w:pPr>
      <w:r w:rsidRPr="00906CD5">
        <w:rPr>
          <w:sz w:val="24"/>
        </w:rPr>
        <w:t>Jenis Penelitian ini adalah penelitian hukum normatif, yaitu penelitian hukum yang dilakukan dengan cara meneliti bahan pustaka atau data sekunder,</w:t>
      </w:r>
      <w:r w:rsidRPr="00906CD5">
        <w:rPr>
          <w:rStyle w:val="FootnoteReference"/>
          <w:sz w:val="24"/>
        </w:rPr>
        <w:footnoteReference w:id="2"/>
      </w:r>
      <w:r w:rsidRPr="00906CD5">
        <w:rPr>
          <w:sz w:val="24"/>
        </w:rPr>
        <w:t xml:space="preserve"> disebut juga penelitian doktrinal, dimana hukum seringkali dikonsepkan sebagai apa yang tertulis dalam peraturan perundang-undangan </w:t>
      </w:r>
      <w:r w:rsidRPr="00906CD5">
        <w:rPr>
          <w:i/>
          <w:sz w:val="24"/>
        </w:rPr>
        <w:t>(law in books)</w:t>
      </w:r>
      <w:r w:rsidRPr="00906CD5">
        <w:rPr>
          <w:sz w:val="24"/>
        </w:rPr>
        <w:t xml:space="preserve"> atau dikonsepkan sebagai kaidah atau norma yang merupakan patokan berperilaku manusia yang dianggap pantas.74 </w:t>
      </w:r>
    </w:p>
    <w:p w:rsidR="0037741A" w:rsidRDefault="0037741A" w:rsidP="0037741A">
      <w:pPr>
        <w:spacing w:after="0" w:line="480" w:lineRule="auto"/>
        <w:ind w:firstLine="709"/>
        <w:rPr>
          <w:sz w:val="24"/>
        </w:rPr>
      </w:pPr>
      <w:r w:rsidRPr="00906CD5">
        <w:rPr>
          <w:sz w:val="24"/>
        </w:rPr>
        <w:t>Menurut Peter Mahmud Marzuki, penelitian hukum normatif adalah suatu proses untuk menemukan suatu aturan hukum, prinsip-prinsip hukum, maupun doktrin-doktrin hukum guna menjawab isu hukum yang dihadapi.</w:t>
      </w:r>
      <w:r w:rsidRPr="00906CD5">
        <w:rPr>
          <w:rStyle w:val="FootnoteReference"/>
          <w:sz w:val="24"/>
        </w:rPr>
        <w:footnoteReference w:id="3"/>
      </w:r>
      <w:r w:rsidRPr="00906CD5">
        <w:rPr>
          <w:sz w:val="24"/>
        </w:rPr>
        <w:t>Berdasarkan definisi tersebut diatas, maka jenis penelitian yang dilakukan dalam penelitian tesis ini adalah penelitian hukum normatif, karena peneliti menggunakan bahan-bahan kepustakaan sebagai data utama untuk menganalisis kasus, dan penulis tidak melakukan penelitian lapangan. Penelitian ini diteliti dengan menggunakan bahan pustaka (bahan sekunder) atau penelitian hukum perpustakaan yang secara garis besar ditujukan kepada : penelitian asas-asas hukum, penelitian terhadap sistematika hukum, penelitian terhadap sinkronisasihukum, penelitian terhadap sejarah hukum, dan penelitian terhadap perbandingan hukum.</w:t>
      </w:r>
      <w:r w:rsidRPr="00906CD5">
        <w:rPr>
          <w:rStyle w:val="FootnoteReference"/>
          <w:sz w:val="24"/>
        </w:rPr>
        <w:footnoteReference w:id="4"/>
      </w:r>
    </w:p>
    <w:p w:rsidR="0037741A" w:rsidRDefault="0037741A" w:rsidP="0037741A">
      <w:pPr>
        <w:spacing w:after="0" w:line="480" w:lineRule="auto"/>
        <w:ind w:firstLine="709"/>
        <w:rPr>
          <w:sz w:val="24"/>
        </w:rPr>
      </w:pPr>
    </w:p>
    <w:p w:rsidR="0037741A" w:rsidRPr="00906CD5" w:rsidRDefault="0037741A" w:rsidP="0037741A">
      <w:pPr>
        <w:spacing w:after="0" w:line="480" w:lineRule="auto"/>
        <w:ind w:firstLine="709"/>
        <w:rPr>
          <w:sz w:val="24"/>
        </w:rPr>
      </w:pPr>
    </w:p>
    <w:p w:rsidR="0037741A" w:rsidRPr="007F2E12" w:rsidRDefault="0037741A" w:rsidP="0037741A">
      <w:pPr>
        <w:pStyle w:val="Heading2"/>
        <w:spacing w:before="0" w:line="480" w:lineRule="auto"/>
        <w:ind w:left="709" w:hanging="709"/>
        <w:rPr>
          <w:rFonts w:ascii="Times New Roman" w:hAnsi="Times New Roman"/>
          <w:color w:val="0D0D0D" w:themeColor="text1" w:themeTint="F2"/>
          <w:sz w:val="24"/>
        </w:rPr>
      </w:pPr>
      <w:bookmarkStart w:id="3" w:name="_Toc182041795"/>
      <w:r w:rsidRPr="007F2E12">
        <w:rPr>
          <w:rFonts w:ascii="Times New Roman" w:hAnsi="Times New Roman"/>
          <w:color w:val="0D0D0D" w:themeColor="text1" w:themeTint="F2"/>
          <w:sz w:val="24"/>
        </w:rPr>
        <w:lastRenderedPageBreak/>
        <w:t xml:space="preserve">B. </w:t>
      </w:r>
      <w:r w:rsidRPr="007F2E12">
        <w:rPr>
          <w:rFonts w:ascii="Times New Roman" w:hAnsi="Times New Roman"/>
          <w:color w:val="0D0D0D" w:themeColor="text1" w:themeTint="F2"/>
          <w:sz w:val="24"/>
        </w:rPr>
        <w:tab/>
        <w:t>Teknik Pengumpulan Data</w:t>
      </w:r>
      <w:bookmarkEnd w:id="3"/>
    </w:p>
    <w:p w:rsidR="0037741A" w:rsidRPr="00906CD5" w:rsidRDefault="0037741A" w:rsidP="0037741A">
      <w:pPr>
        <w:spacing w:after="0" w:line="480" w:lineRule="auto"/>
        <w:ind w:firstLine="709"/>
        <w:rPr>
          <w:sz w:val="24"/>
        </w:rPr>
      </w:pPr>
      <w:r w:rsidRPr="00906CD5">
        <w:rPr>
          <w:sz w:val="24"/>
        </w:rPr>
        <w:t>Untuk memperoleh hasil yang objektif dan dapat dibuktikan kebenaran serta dapat dipertanggungjawabkan hasilnya, maka dipergunakan alat pengumpulan data sebagai berikut :</w:t>
      </w:r>
    </w:p>
    <w:p w:rsidR="0037741A" w:rsidRPr="0045080F" w:rsidRDefault="0037741A" w:rsidP="0037741A">
      <w:pPr>
        <w:pStyle w:val="ListParagraph"/>
        <w:numPr>
          <w:ilvl w:val="2"/>
          <w:numId w:val="6"/>
        </w:numPr>
        <w:spacing w:after="0" w:line="480" w:lineRule="auto"/>
        <w:ind w:left="709" w:hanging="430"/>
        <w:rPr>
          <w:b/>
          <w:sz w:val="24"/>
        </w:rPr>
      </w:pPr>
      <w:r w:rsidRPr="0045080F">
        <w:rPr>
          <w:sz w:val="24"/>
        </w:rPr>
        <w:t xml:space="preserve">Studi Kepustakaan </w:t>
      </w:r>
      <w:r w:rsidRPr="0045080F">
        <w:rPr>
          <w:i/>
          <w:sz w:val="24"/>
        </w:rPr>
        <w:t>(Library Research)</w:t>
      </w:r>
      <w:r w:rsidRPr="0045080F">
        <w:rPr>
          <w:sz w:val="24"/>
        </w:rPr>
        <w:t xml:space="preserve"> Studi ini dilakukan dengan cara mengumpulkan data sekunder yang meliputi bahan hukum primer, bahan hukum sekunder, dan bahan hukum tersier. Data yang diperoleh digunakan sebagai dasar teori untuk menganalisis data primer yang diperoleh dari penelitian lapangan. Data sekunder yang berasal dari Peraturan Perundang-undangan, buku teks, data dari instansi atau lembaga lain yang memiliki keterkaitan dengan judul penelitian ini..</w:t>
      </w:r>
    </w:p>
    <w:p w:rsidR="0037741A" w:rsidRPr="0045080F" w:rsidRDefault="0037741A" w:rsidP="0037741A">
      <w:pPr>
        <w:pStyle w:val="ListParagraph"/>
        <w:numPr>
          <w:ilvl w:val="2"/>
          <w:numId w:val="6"/>
        </w:numPr>
        <w:spacing w:after="0" w:line="480" w:lineRule="auto"/>
        <w:ind w:left="709" w:hanging="430"/>
        <w:rPr>
          <w:b/>
          <w:sz w:val="24"/>
        </w:rPr>
      </w:pPr>
      <w:r w:rsidRPr="0045080F">
        <w:rPr>
          <w:sz w:val="24"/>
        </w:rPr>
        <w:t>Dokumentasi (</w:t>
      </w:r>
      <w:r w:rsidRPr="0045080F">
        <w:rPr>
          <w:i/>
          <w:sz w:val="24"/>
        </w:rPr>
        <w:t>Documentation</w:t>
      </w:r>
      <w:r w:rsidRPr="0045080F">
        <w:rPr>
          <w:sz w:val="24"/>
        </w:rPr>
        <w:t>) Dokumentasi merupakan catatan peristiwa yang sudah berlalu. Dokumentasi bisa berupa tulisan, gambar, atau karya-karya monumental dari seseorang.</w:t>
      </w:r>
      <w:r w:rsidRPr="00906CD5">
        <w:rPr>
          <w:rStyle w:val="FootnoteReference"/>
          <w:sz w:val="24"/>
        </w:rPr>
        <w:footnoteReference w:id="5"/>
      </w:r>
    </w:p>
    <w:p w:rsidR="0037741A" w:rsidRPr="007F2E12" w:rsidRDefault="0037741A" w:rsidP="0037741A">
      <w:pPr>
        <w:pStyle w:val="Heading2"/>
        <w:spacing w:before="0" w:line="480" w:lineRule="auto"/>
        <w:ind w:left="709" w:hanging="709"/>
        <w:rPr>
          <w:rFonts w:ascii="Times New Roman" w:hAnsi="Times New Roman"/>
          <w:color w:val="0D0D0D" w:themeColor="text1" w:themeTint="F2"/>
          <w:sz w:val="24"/>
        </w:rPr>
      </w:pPr>
      <w:bookmarkStart w:id="4" w:name="_Toc182041796"/>
      <w:r>
        <w:rPr>
          <w:rFonts w:ascii="Times New Roman" w:hAnsi="Times New Roman"/>
          <w:color w:val="0D0D0D" w:themeColor="text1" w:themeTint="F2"/>
          <w:sz w:val="24"/>
        </w:rPr>
        <w:t>C</w:t>
      </w:r>
      <w:r w:rsidRPr="007F2E12">
        <w:rPr>
          <w:rFonts w:ascii="Times New Roman" w:hAnsi="Times New Roman"/>
          <w:color w:val="0D0D0D" w:themeColor="text1" w:themeTint="F2"/>
          <w:sz w:val="24"/>
        </w:rPr>
        <w:t xml:space="preserve">. </w:t>
      </w:r>
      <w:r w:rsidRPr="007F2E12">
        <w:rPr>
          <w:rFonts w:ascii="Times New Roman" w:hAnsi="Times New Roman"/>
          <w:color w:val="0D0D0D" w:themeColor="text1" w:themeTint="F2"/>
          <w:sz w:val="24"/>
        </w:rPr>
        <w:tab/>
        <w:t>Sumber Data</w:t>
      </w:r>
      <w:bookmarkEnd w:id="4"/>
    </w:p>
    <w:p w:rsidR="0037741A" w:rsidRPr="00906CD5" w:rsidRDefault="0037741A" w:rsidP="0037741A">
      <w:pPr>
        <w:spacing w:after="0" w:line="480" w:lineRule="auto"/>
        <w:ind w:firstLine="709"/>
        <w:rPr>
          <w:sz w:val="24"/>
        </w:rPr>
      </w:pPr>
      <w:r w:rsidRPr="00906CD5">
        <w:rPr>
          <w:sz w:val="24"/>
        </w:rPr>
        <w:t xml:space="preserve">Data sekunder merupakan data utama yang diperoleh melalui kajian bahan pustaka dengan menggunakan bahan-bahan sebagai berikut: </w:t>
      </w:r>
    </w:p>
    <w:p w:rsidR="0037741A" w:rsidRPr="00906CD5" w:rsidRDefault="0037741A" w:rsidP="0037741A">
      <w:pPr>
        <w:pStyle w:val="ListParagraph"/>
        <w:widowControl w:val="0"/>
        <w:numPr>
          <w:ilvl w:val="1"/>
          <w:numId w:val="14"/>
        </w:numPr>
        <w:autoSpaceDE w:val="0"/>
        <w:autoSpaceDN w:val="0"/>
        <w:spacing w:after="0" w:line="480" w:lineRule="auto"/>
        <w:ind w:left="709" w:hanging="425"/>
        <w:contextualSpacing w:val="0"/>
        <w:rPr>
          <w:sz w:val="24"/>
        </w:rPr>
      </w:pPr>
      <w:r w:rsidRPr="00906CD5">
        <w:rPr>
          <w:sz w:val="24"/>
        </w:rPr>
        <w:t xml:space="preserve">Bahan Hukum Sekunder Bahan hukum sekunder dalam penelitian ini berupa literatur dalam tinjauan pustaka yang berkaitan dengan penelitian ini serta artikelartikel, makalah, dan salinan dokumen yang berkaitan dengan permasalahan yang diangkat. </w:t>
      </w:r>
    </w:p>
    <w:p w:rsidR="0037741A" w:rsidRPr="00906CD5" w:rsidRDefault="0037741A" w:rsidP="0037741A">
      <w:pPr>
        <w:pStyle w:val="ListParagraph"/>
        <w:widowControl w:val="0"/>
        <w:numPr>
          <w:ilvl w:val="1"/>
          <w:numId w:val="14"/>
        </w:numPr>
        <w:autoSpaceDE w:val="0"/>
        <w:autoSpaceDN w:val="0"/>
        <w:spacing w:after="0" w:line="480" w:lineRule="auto"/>
        <w:ind w:left="709" w:hanging="425"/>
        <w:contextualSpacing w:val="0"/>
        <w:rPr>
          <w:sz w:val="24"/>
        </w:rPr>
      </w:pPr>
      <w:r>
        <w:rPr>
          <w:sz w:val="24"/>
        </w:rPr>
        <w:t>Bahan Hukum Tersier y</w:t>
      </w:r>
      <w:r w:rsidRPr="00906CD5">
        <w:rPr>
          <w:sz w:val="24"/>
        </w:rPr>
        <w:t xml:space="preserve">aitu bahan hukum yang memberikan petunjuk maupun penjelasan terhadap bahan hukum primer dan bahan hukum sekunder, seperti: </w:t>
      </w:r>
    </w:p>
    <w:p w:rsidR="0037741A" w:rsidRDefault="0037741A" w:rsidP="0037741A">
      <w:pPr>
        <w:pStyle w:val="ListParagraph"/>
        <w:numPr>
          <w:ilvl w:val="2"/>
          <w:numId w:val="14"/>
        </w:numPr>
        <w:spacing w:after="0" w:line="480" w:lineRule="auto"/>
        <w:ind w:left="1134" w:hanging="425"/>
        <w:rPr>
          <w:sz w:val="24"/>
        </w:rPr>
      </w:pPr>
      <w:r w:rsidRPr="00906CD5">
        <w:rPr>
          <w:sz w:val="24"/>
        </w:rPr>
        <w:t>K</w:t>
      </w:r>
      <w:r>
        <w:rPr>
          <w:sz w:val="24"/>
        </w:rPr>
        <w:t>amus Besar Bahasa Indonesia</w:t>
      </w:r>
    </w:p>
    <w:p w:rsidR="0037741A" w:rsidRDefault="0037741A" w:rsidP="0037741A">
      <w:pPr>
        <w:pStyle w:val="ListParagraph"/>
        <w:numPr>
          <w:ilvl w:val="2"/>
          <w:numId w:val="14"/>
        </w:numPr>
        <w:spacing w:after="0" w:line="480" w:lineRule="auto"/>
        <w:ind w:left="1134" w:hanging="425"/>
        <w:rPr>
          <w:sz w:val="24"/>
        </w:rPr>
      </w:pPr>
      <w:r>
        <w:rPr>
          <w:sz w:val="24"/>
        </w:rPr>
        <w:t>Kamus Bahasa Inggris</w:t>
      </w:r>
    </w:p>
    <w:p w:rsidR="0037741A" w:rsidRDefault="0037741A" w:rsidP="0037741A">
      <w:pPr>
        <w:pStyle w:val="ListParagraph"/>
        <w:numPr>
          <w:ilvl w:val="2"/>
          <w:numId w:val="14"/>
        </w:numPr>
        <w:spacing w:after="0" w:line="480" w:lineRule="auto"/>
        <w:ind w:left="1134" w:hanging="425"/>
        <w:rPr>
          <w:sz w:val="24"/>
        </w:rPr>
      </w:pPr>
      <w:r w:rsidRPr="00CA011E">
        <w:rPr>
          <w:sz w:val="24"/>
        </w:rPr>
        <w:t>Kamus ilmu Hukum</w:t>
      </w:r>
    </w:p>
    <w:p w:rsidR="0037741A" w:rsidRPr="00CA011E" w:rsidRDefault="0037741A" w:rsidP="0037741A">
      <w:pPr>
        <w:pStyle w:val="ListParagraph"/>
        <w:numPr>
          <w:ilvl w:val="2"/>
          <w:numId w:val="14"/>
        </w:numPr>
        <w:spacing w:after="0" w:line="480" w:lineRule="auto"/>
        <w:ind w:left="1134" w:hanging="425"/>
        <w:rPr>
          <w:sz w:val="24"/>
        </w:rPr>
      </w:pPr>
      <w:r>
        <w:rPr>
          <w:sz w:val="24"/>
        </w:rPr>
        <w:t>Ensiklopedia  dan lain-lain</w:t>
      </w:r>
    </w:p>
    <w:p w:rsidR="0037741A" w:rsidRPr="007F2E12" w:rsidRDefault="0037741A" w:rsidP="0037741A">
      <w:pPr>
        <w:pStyle w:val="Heading2"/>
        <w:spacing w:before="0" w:line="480" w:lineRule="auto"/>
        <w:ind w:left="709" w:hanging="709"/>
        <w:rPr>
          <w:rFonts w:ascii="Times New Roman" w:hAnsi="Times New Roman"/>
          <w:color w:val="0D0D0D" w:themeColor="text1" w:themeTint="F2"/>
          <w:sz w:val="24"/>
        </w:rPr>
      </w:pPr>
      <w:bookmarkStart w:id="5" w:name="_Toc182041797"/>
      <w:r>
        <w:rPr>
          <w:rFonts w:ascii="Times New Roman" w:hAnsi="Times New Roman"/>
          <w:color w:val="0D0D0D" w:themeColor="text1" w:themeTint="F2"/>
          <w:sz w:val="24"/>
        </w:rPr>
        <w:lastRenderedPageBreak/>
        <w:t>D</w:t>
      </w:r>
      <w:r w:rsidRPr="007F2E12">
        <w:rPr>
          <w:rFonts w:ascii="Times New Roman" w:hAnsi="Times New Roman"/>
          <w:color w:val="0D0D0D" w:themeColor="text1" w:themeTint="F2"/>
          <w:sz w:val="24"/>
        </w:rPr>
        <w:t xml:space="preserve">. </w:t>
      </w:r>
      <w:r w:rsidRPr="007F2E12">
        <w:rPr>
          <w:rFonts w:ascii="Times New Roman" w:hAnsi="Times New Roman"/>
          <w:color w:val="0D0D0D" w:themeColor="text1" w:themeTint="F2"/>
          <w:sz w:val="24"/>
        </w:rPr>
        <w:tab/>
        <w:t>Teknik Pengolahan Data</w:t>
      </w:r>
      <w:bookmarkEnd w:id="5"/>
    </w:p>
    <w:p w:rsidR="0037741A" w:rsidRPr="00906CD5" w:rsidRDefault="0037741A" w:rsidP="0037741A">
      <w:pPr>
        <w:spacing w:after="0" w:line="480" w:lineRule="auto"/>
        <w:ind w:firstLine="709"/>
        <w:rPr>
          <w:sz w:val="24"/>
        </w:rPr>
      </w:pPr>
      <w:r w:rsidRPr="00906CD5">
        <w:rPr>
          <w:sz w:val="24"/>
        </w:rPr>
        <w:t xml:space="preserve">Dalam mengolah data penulis melakukan beberapa upaya diantaranya: </w:t>
      </w:r>
    </w:p>
    <w:p w:rsidR="0037741A" w:rsidRPr="00906CD5" w:rsidRDefault="0037741A" w:rsidP="0037741A">
      <w:pPr>
        <w:pStyle w:val="ListParagraph"/>
        <w:widowControl w:val="0"/>
        <w:numPr>
          <w:ilvl w:val="1"/>
          <w:numId w:val="13"/>
        </w:numPr>
        <w:autoSpaceDE w:val="0"/>
        <w:autoSpaceDN w:val="0"/>
        <w:spacing w:after="0" w:line="480" w:lineRule="auto"/>
        <w:ind w:left="709" w:hanging="425"/>
        <w:contextualSpacing w:val="0"/>
        <w:rPr>
          <w:sz w:val="24"/>
        </w:rPr>
      </w:pPr>
      <w:r w:rsidRPr="00906CD5">
        <w:rPr>
          <w:sz w:val="24"/>
        </w:rPr>
        <w:t>Pengeditan (</w:t>
      </w:r>
      <w:r w:rsidRPr="00906CD5">
        <w:rPr>
          <w:i/>
          <w:sz w:val="24"/>
        </w:rPr>
        <w:t>editing</w:t>
      </w:r>
      <w:r w:rsidRPr="00906CD5">
        <w:rPr>
          <w:sz w:val="24"/>
        </w:rPr>
        <w:t xml:space="preserve">), yaitu memeriksa kembali semua data yang diperoleh, terutama dari segi kelengkapan, kejelasan makna, kesesuaian sertarelevansinya dengan kelompok data yang lain, untuk mengetahui apakah data tersebut sudah cukup baik dan bisa dipahami serta dapat dipersiapkan ntuk kepruan proses berikutnya; </w:t>
      </w:r>
    </w:p>
    <w:p w:rsidR="0037741A" w:rsidRPr="00906CD5" w:rsidRDefault="0037741A" w:rsidP="0037741A">
      <w:pPr>
        <w:pStyle w:val="ListParagraph"/>
        <w:widowControl w:val="0"/>
        <w:numPr>
          <w:ilvl w:val="1"/>
          <w:numId w:val="13"/>
        </w:numPr>
        <w:autoSpaceDE w:val="0"/>
        <w:autoSpaceDN w:val="0"/>
        <w:spacing w:after="0" w:line="480" w:lineRule="auto"/>
        <w:ind w:left="709" w:hanging="425"/>
        <w:contextualSpacing w:val="0"/>
        <w:rPr>
          <w:sz w:val="24"/>
        </w:rPr>
      </w:pPr>
      <w:r w:rsidRPr="00906CD5">
        <w:rPr>
          <w:sz w:val="24"/>
        </w:rPr>
        <w:t>Menganalisa (</w:t>
      </w:r>
      <w:r w:rsidRPr="00906CD5">
        <w:rPr>
          <w:i/>
          <w:sz w:val="24"/>
        </w:rPr>
        <w:t>analyzing</w:t>
      </w:r>
      <w:r w:rsidRPr="00906CD5">
        <w:rPr>
          <w:sz w:val="24"/>
        </w:rPr>
        <w:t>), yaitu proses mencari dan menyusun secara sistematis data yang diperoleh dari hasil pengamatan, wawancara, catatan lapangan, dan sampai kepada pembuatan kesimpulan yang mudah dipahami diri sendiri dan orang lain</w:t>
      </w:r>
      <w:r w:rsidRPr="00906CD5">
        <w:rPr>
          <w:sz w:val="24"/>
          <w:lang w:val="id-ID"/>
        </w:rPr>
        <w:t>.</w:t>
      </w:r>
    </w:p>
    <w:p w:rsidR="0037741A" w:rsidRPr="00906CD5" w:rsidRDefault="0037741A" w:rsidP="0037741A">
      <w:pPr>
        <w:widowControl w:val="0"/>
        <w:autoSpaceDE w:val="0"/>
        <w:autoSpaceDN w:val="0"/>
        <w:spacing w:after="0" w:line="480" w:lineRule="auto"/>
        <w:rPr>
          <w:sz w:val="24"/>
        </w:rPr>
      </w:pPr>
    </w:p>
    <w:p w:rsidR="00182C68" w:rsidRPr="0037741A" w:rsidRDefault="00814F0C" w:rsidP="0037741A">
      <w:bookmarkStart w:id="6" w:name="_GoBack"/>
      <w:bookmarkEnd w:id="6"/>
    </w:p>
    <w:sectPr w:rsidR="00182C68" w:rsidRPr="0037741A" w:rsidSect="0035248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0C" w:rsidRDefault="00814F0C" w:rsidP="00820BFE">
      <w:pPr>
        <w:spacing w:after="0" w:line="240" w:lineRule="auto"/>
      </w:pPr>
      <w:r>
        <w:separator/>
      </w:r>
    </w:p>
  </w:endnote>
  <w:endnote w:type="continuationSeparator" w:id="1">
    <w:p w:rsidR="00814F0C" w:rsidRDefault="00814F0C" w:rsidP="00820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CD" w:rsidRDefault="00D27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CD" w:rsidRDefault="00D27B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14790"/>
      <w:docPartObj>
        <w:docPartGallery w:val="Page Numbers (Bottom of Page)"/>
        <w:docPartUnique/>
      </w:docPartObj>
    </w:sdtPr>
    <w:sdtEndPr>
      <w:rPr>
        <w:noProof/>
      </w:rPr>
    </w:sdtEndPr>
    <w:sdtContent>
      <w:p w:rsidR="00776D4D" w:rsidRDefault="00D87912" w:rsidP="00476F21">
        <w:pPr>
          <w:pStyle w:val="Footer"/>
          <w:ind w:firstLine="0"/>
          <w:jc w:val="center"/>
        </w:pPr>
        <w:r>
          <w:fldChar w:fldCharType="begin"/>
        </w:r>
        <w:r w:rsidR="00FD5369">
          <w:instrText xml:space="preserve"> PAGE   \* MERGEFORMAT </w:instrText>
        </w:r>
        <w:r>
          <w:fldChar w:fldCharType="separate"/>
        </w:r>
        <w:r w:rsidR="00352488">
          <w:rPr>
            <w:noProof/>
          </w:rPr>
          <w:t>iii</w:t>
        </w:r>
        <w:r>
          <w:rPr>
            <w:noProof/>
          </w:rPr>
          <w:fldChar w:fldCharType="end"/>
        </w:r>
      </w:p>
    </w:sdtContent>
  </w:sdt>
  <w:p w:rsidR="00776D4D" w:rsidRDefault="00814F0C" w:rsidP="007128D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0C" w:rsidRDefault="00814F0C" w:rsidP="00820BFE">
      <w:pPr>
        <w:spacing w:after="0" w:line="240" w:lineRule="auto"/>
      </w:pPr>
      <w:r>
        <w:separator/>
      </w:r>
    </w:p>
  </w:footnote>
  <w:footnote w:type="continuationSeparator" w:id="1">
    <w:p w:rsidR="00814F0C" w:rsidRDefault="00814F0C" w:rsidP="00820BFE">
      <w:pPr>
        <w:spacing w:after="0" w:line="240" w:lineRule="auto"/>
      </w:pPr>
      <w:r>
        <w:continuationSeparator/>
      </w:r>
    </w:p>
  </w:footnote>
  <w:footnote w:id="2">
    <w:p w:rsidR="0037741A" w:rsidRPr="009C7985" w:rsidRDefault="0037741A" w:rsidP="0037741A">
      <w:pPr>
        <w:pStyle w:val="FootnoteText"/>
        <w:rPr>
          <w:sz w:val="16"/>
        </w:rPr>
      </w:pPr>
      <w:r w:rsidRPr="009C7985">
        <w:rPr>
          <w:rStyle w:val="FootnoteReference"/>
          <w:sz w:val="16"/>
        </w:rPr>
        <w:footnoteRef/>
      </w:r>
      <w:r w:rsidRPr="009C7985">
        <w:rPr>
          <w:sz w:val="16"/>
        </w:rPr>
        <w:t>Soerjono Soekanto dan Sri Mamuji. Penelitian Hukum Normatif: Suatu Tinjauan Singkat. Jakarta: Raja Grafindo Persada, 2013, halaman 13</w:t>
      </w:r>
    </w:p>
  </w:footnote>
  <w:footnote w:id="3">
    <w:p w:rsidR="0037741A" w:rsidRPr="009C7985" w:rsidRDefault="0037741A" w:rsidP="0037741A">
      <w:pPr>
        <w:pStyle w:val="FootnoteText"/>
        <w:rPr>
          <w:sz w:val="16"/>
        </w:rPr>
      </w:pPr>
      <w:r w:rsidRPr="009C7985">
        <w:rPr>
          <w:rStyle w:val="FootnoteReference"/>
          <w:sz w:val="16"/>
        </w:rPr>
        <w:footnoteRef/>
      </w:r>
      <w:r w:rsidRPr="009C7985">
        <w:rPr>
          <w:sz w:val="16"/>
        </w:rPr>
        <w:t>Amiruddin dan H Zainal Asikin. Pengantar Metode Penelitian Hukum. Jakarta: Raja Grafindo Persada, 2006, halaman 118</w:t>
      </w:r>
    </w:p>
  </w:footnote>
  <w:footnote w:id="4">
    <w:p w:rsidR="0037741A" w:rsidRPr="009C7985" w:rsidRDefault="0037741A" w:rsidP="0037741A">
      <w:pPr>
        <w:pStyle w:val="FootnoteText"/>
        <w:rPr>
          <w:sz w:val="16"/>
        </w:rPr>
      </w:pPr>
      <w:r w:rsidRPr="009C7985">
        <w:rPr>
          <w:rStyle w:val="FootnoteReference"/>
          <w:sz w:val="16"/>
        </w:rPr>
        <w:footnoteRef/>
      </w:r>
      <w:r w:rsidRPr="009C7985">
        <w:rPr>
          <w:sz w:val="16"/>
        </w:rPr>
        <w:t>Ediwarman.Monograf.Metode Penelitian Hukum (Panduan Penulisan Tesis dan Disertasi), Medan, 2011, halaman 94.</w:t>
      </w:r>
    </w:p>
  </w:footnote>
  <w:footnote w:id="5">
    <w:p w:rsidR="0037741A" w:rsidRPr="009C7985" w:rsidRDefault="0037741A" w:rsidP="0037741A">
      <w:pPr>
        <w:pStyle w:val="FootnoteText"/>
        <w:ind w:firstLine="567"/>
        <w:rPr>
          <w:sz w:val="16"/>
        </w:rPr>
      </w:pPr>
      <w:r w:rsidRPr="009C7985">
        <w:rPr>
          <w:rStyle w:val="FootnoteReference"/>
          <w:sz w:val="16"/>
        </w:rPr>
        <w:footnoteRef/>
      </w:r>
      <w:r w:rsidRPr="009C7985">
        <w:rPr>
          <w:sz w:val="16"/>
        </w:rPr>
        <w:t xml:space="preserve"> Sugiyono, Metode Penelitian Kuantitatif, Kualitatif, dan R&amp;D, (Bandung: Alfabeta, 2016), h. 240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D87912">
    <w:pPr>
      <w:pStyle w:val="Header"/>
    </w:pPr>
    <w:r w:rsidRPr="00D879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6" o:spid="_x0000_s2053" type="#_x0000_t75" style="position:absolute;left:0;text-align:left;margin-left:0;margin-top:0;width:425.1pt;height:419.4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CD" w:rsidRPr="007E4A0B" w:rsidRDefault="00D27BCD" w:rsidP="00D27BCD">
    <w:pPr>
      <w:pStyle w:val="Header"/>
      <w:ind w:firstLine="0"/>
      <w:jc w:val="right"/>
      <w:rPr>
        <w:lang w:val="id-ID"/>
      </w:rPr>
    </w:pPr>
    <w:r w:rsidRPr="00660B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25.1pt;height:419.4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PUBLISH:21/11/2025 16:05:19</w:t>
    </w:r>
  </w:p>
  <w:p w:rsidR="00776D4D" w:rsidRDefault="00D87912">
    <w:pPr>
      <w:pStyle w:val="Header"/>
    </w:pPr>
    <w:r w:rsidRPr="00D87912">
      <w:rPr>
        <w:noProof/>
      </w:rPr>
      <w:pict>
        <v:shape id="WordPictureWatermark12357717" o:spid="_x0000_s2054" type="#_x0000_t75" style="position:absolute;left:0;text-align:left;margin-left:0;margin-top:0;width:425.1pt;height:419.4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D87912">
    <w:pPr>
      <w:pStyle w:val="Header"/>
    </w:pPr>
    <w:r w:rsidRPr="00D879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5" o:spid="_x0000_s2052" type="#_x0000_t75" style="position:absolute;left:0;text-align:left;margin-left:0;margin-top:0;width:425.1pt;height:419.4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703"/>
    <w:multiLevelType w:val="hybridMultilevel"/>
    <w:tmpl w:val="D0ACD11A"/>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5A6664"/>
    <w:multiLevelType w:val="hybridMultilevel"/>
    <w:tmpl w:val="0054F486"/>
    <w:lvl w:ilvl="0" w:tplc="0409000F">
      <w:start w:val="1"/>
      <w:numFmt w:val="decimal"/>
      <w:lvlText w:val="%1."/>
      <w:lvlJc w:val="left"/>
      <w:pPr>
        <w:ind w:left="720" w:hanging="360"/>
      </w:pPr>
      <w:rPr>
        <w:rFonts w:cs="Times New Roman" w:hint="default"/>
      </w:rPr>
    </w:lvl>
    <w:lvl w:ilvl="1" w:tplc="5DDACF20">
      <w:start w:val="1"/>
      <w:numFmt w:val="decimal"/>
      <w:lvlText w:val="%2."/>
      <w:lvlJc w:val="left"/>
      <w:pPr>
        <w:ind w:left="2265" w:hanging="1185"/>
      </w:pPr>
      <w:rPr>
        <w:rFonts w:cs="Times New Roman"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DE2CFE"/>
    <w:multiLevelType w:val="hybridMultilevel"/>
    <w:tmpl w:val="BD5CF3C6"/>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285677D"/>
    <w:multiLevelType w:val="hybridMultilevel"/>
    <w:tmpl w:val="134A4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C11BA"/>
    <w:multiLevelType w:val="hybridMultilevel"/>
    <w:tmpl w:val="5D48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31223"/>
    <w:multiLevelType w:val="hybridMultilevel"/>
    <w:tmpl w:val="B3C4F7EE"/>
    <w:lvl w:ilvl="0" w:tplc="42DEB7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E916242"/>
    <w:multiLevelType w:val="hybridMultilevel"/>
    <w:tmpl w:val="B14E74FA"/>
    <w:lvl w:ilvl="0" w:tplc="04090019">
      <w:start w:val="1"/>
      <w:numFmt w:val="lowerLetter"/>
      <w:lvlText w:val="%1."/>
      <w:lvlJc w:val="left"/>
      <w:pPr>
        <w:ind w:left="720" w:hanging="360"/>
      </w:pPr>
      <w:rPr>
        <w:rFonts w:hint="default"/>
      </w:rPr>
    </w:lvl>
    <w:lvl w:ilvl="1" w:tplc="E4A41698">
      <w:start w:val="1"/>
      <w:numFmt w:val="decimal"/>
      <w:lvlText w:val="%2)"/>
      <w:lvlJc w:val="left"/>
      <w:pPr>
        <w:ind w:left="1440" w:hanging="360"/>
      </w:pPr>
      <w:rPr>
        <w:rFonts w:hint="default"/>
      </w:rPr>
    </w:lvl>
    <w:lvl w:ilvl="2" w:tplc="2C088A20">
      <w:start w:val="1"/>
      <w:numFmt w:val="decimal"/>
      <w:lvlText w:val="%3."/>
      <w:lvlJc w:val="left"/>
      <w:pPr>
        <w:ind w:left="3150" w:hanging="117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367C9"/>
    <w:multiLevelType w:val="hybridMultilevel"/>
    <w:tmpl w:val="430C8F8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D7E1B"/>
    <w:multiLevelType w:val="hybridMultilevel"/>
    <w:tmpl w:val="28966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E48C7"/>
    <w:multiLevelType w:val="hybridMultilevel"/>
    <w:tmpl w:val="7ACA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A0603"/>
    <w:multiLevelType w:val="hybridMultilevel"/>
    <w:tmpl w:val="1F487650"/>
    <w:lvl w:ilvl="0" w:tplc="0409000F">
      <w:start w:val="1"/>
      <w:numFmt w:val="decimal"/>
      <w:lvlText w:val="%1."/>
      <w:lvlJc w:val="left"/>
      <w:pPr>
        <w:ind w:left="720" w:hanging="360"/>
      </w:pPr>
      <w:rPr>
        <w:rFonts w:cs="Times New Roman" w:hint="default"/>
      </w:rPr>
    </w:lvl>
    <w:lvl w:ilvl="1" w:tplc="35127DAC">
      <w:start w:val="1"/>
      <w:numFmt w:val="lowerLetter"/>
      <w:lvlText w:val="%2."/>
      <w:lvlJc w:val="left"/>
      <w:pPr>
        <w:ind w:left="1440" w:hanging="360"/>
      </w:pPr>
      <w:rPr>
        <w:rFonts w:cs="Times New Roman" w:hint="default"/>
      </w:rPr>
    </w:lvl>
    <w:lvl w:ilvl="2" w:tplc="3E26A5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EEF4AB0"/>
    <w:multiLevelType w:val="hybridMultilevel"/>
    <w:tmpl w:val="26F8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80509"/>
    <w:multiLevelType w:val="hybridMultilevel"/>
    <w:tmpl w:val="965016E6"/>
    <w:lvl w:ilvl="0" w:tplc="04090017">
      <w:start w:val="1"/>
      <w:numFmt w:val="lowerLetter"/>
      <w:lvlText w:val="%1)"/>
      <w:lvlJc w:val="left"/>
      <w:pPr>
        <w:ind w:left="720" w:hanging="360"/>
      </w:pPr>
      <w:rPr>
        <w:rFonts w:hint="default"/>
      </w:rPr>
    </w:lvl>
    <w:lvl w:ilvl="1" w:tplc="ED323E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60014"/>
    <w:multiLevelType w:val="hybridMultilevel"/>
    <w:tmpl w:val="5C824E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1"/>
  </w:num>
  <w:num w:numId="2">
    <w:abstractNumId w:val="9"/>
  </w:num>
  <w:num w:numId="3">
    <w:abstractNumId w:val="4"/>
  </w:num>
  <w:num w:numId="4">
    <w:abstractNumId w:val="13"/>
  </w:num>
  <w:num w:numId="5">
    <w:abstractNumId w:val="12"/>
  </w:num>
  <w:num w:numId="6">
    <w:abstractNumId w:val="6"/>
  </w:num>
  <w:num w:numId="7">
    <w:abstractNumId w:val="8"/>
  </w:num>
  <w:num w:numId="8">
    <w:abstractNumId w:val="3"/>
  </w:num>
  <w:num w:numId="9">
    <w:abstractNumId w:val="7"/>
  </w:num>
  <w:num w:numId="10">
    <w:abstractNumId w:val="2"/>
  </w:num>
  <w:num w:numId="11">
    <w:abstractNumId w:val="0"/>
  </w:num>
  <w:num w:numId="12">
    <w:abstractNumId w:val="5"/>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ocumentProtection w:edit="forms" w:formatting="1" w:enforcement="1" w:cryptProviderType="rsaFull" w:cryptAlgorithmClass="hash" w:cryptAlgorithmType="typeAny" w:cryptAlgorithmSid="4" w:cryptSpinCount="50000" w:hash="/9YPCLo98pBEBuCIfm33+gbOSMI=" w:salt="5xQUNvBGAUh5V5/7NudB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52488"/>
    <w:rsid w:val="00352488"/>
    <w:rsid w:val="0037741A"/>
    <w:rsid w:val="005356F7"/>
    <w:rsid w:val="005F36F7"/>
    <w:rsid w:val="00814F0C"/>
    <w:rsid w:val="00820BFE"/>
    <w:rsid w:val="00D27BCD"/>
    <w:rsid w:val="00D87912"/>
    <w:rsid w:val="00FD53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2025-11-21T09:09:00Z</dcterms:created>
  <dcterms:modified xsi:type="dcterms:W3CDTF">2025-11-21T09:09:00Z</dcterms:modified>
</cp:coreProperties>
</file>