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68C" w:rsidRPr="001823C4" w:rsidRDefault="003F568C" w:rsidP="003F568C">
      <w:pPr>
        <w:pStyle w:val="BodyTextIndent"/>
        <w:tabs>
          <w:tab w:val="clear" w:pos="0"/>
        </w:tabs>
        <w:ind w:left="360"/>
        <w:jc w:val="center"/>
        <w:rPr>
          <w:b/>
          <w:szCs w:val="24"/>
        </w:rPr>
      </w:pPr>
      <w:r w:rsidRPr="001823C4">
        <w:rPr>
          <w:b/>
          <w:szCs w:val="24"/>
        </w:rPr>
        <w:t>BAB IV</w:t>
      </w:r>
    </w:p>
    <w:p w:rsidR="003F568C" w:rsidRPr="001823C4" w:rsidRDefault="003F568C" w:rsidP="003F568C">
      <w:pPr>
        <w:pStyle w:val="BodyTextIndent"/>
        <w:tabs>
          <w:tab w:val="clear" w:pos="0"/>
        </w:tabs>
        <w:ind w:left="360"/>
        <w:jc w:val="center"/>
        <w:rPr>
          <w:b/>
          <w:szCs w:val="24"/>
        </w:rPr>
      </w:pPr>
      <w:r w:rsidRPr="001823C4">
        <w:rPr>
          <w:b/>
          <w:szCs w:val="24"/>
        </w:rPr>
        <w:t>HASIL PENELITIAN DAN PEMBAHASAN</w:t>
      </w:r>
    </w:p>
    <w:p w:rsidR="003F568C" w:rsidRPr="001823C4" w:rsidRDefault="003F568C" w:rsidP="003F568C">
      <w:pPr>
        <w:pStyle w:val="BodyTextIndent"/>
        <w:numPr>
          <w:ilvl w:val="4"/>
          <w:numId w:val="8"/>
        </w:numPr>
        <w:tabs>
          <w:tab w:val="clear" w:pos="0"/>
        </w:tabs>
        <w:ind w:left="360"/>
        <w:rPr>
          <w:b/>
          <w:szCs w:val="24"/>
        </w:rPr>
      </w:pPr>
      <w:r w:rsidRPr="001823C4">
        <w:rPr>
          <w:b/>
        </w:rPr>
        <w:t>Pengaturan Hukum Bagi Pecandu Narkotika</w:t>
      </w:r>
      <w:r w:rsidRPr="001823C4">
        <w:rPr>
          <w:b/>
          <w:szCs w:val="24"/>
          <w:lang w:val="sv-SE"/>
        </w:rPr>
        <w:t>.</w:t>
      </w:r>
    </w:p>
    <w:p w:rsidR="003F568C" w:rsidRPr="001823C4" w:rsidRDefault="003F568C" w:rsidP="003F568C">
      <w:pPr>
        <w:pStyle w:val="BodyTextIndent"/>
        <w:tabs>
          <w:tab w:val="clear" w:pos="0"/>
        </w:tabs>
        <w:ind w:firstLine="720"/>
        <w:rPr>
          <w:szCs w:val="24"/>
        </w:rPr>
      </w:pPr>
      <w:r w:rsidRPr="001823C4">
        <w:rPr>
          <w:szCs w:val="24"/>
        </w:rPr>
        <w:t>Munculnya berbagai bentuk kejahatan dalam dimensi baru akhir-akhir ini menunjukkan, kejahatan itu selalu berkembang. Demikian juga dengan kejahatan narkotika tidak lepas dari perkembangan tersebut. Kejahatan narkotika (</w:t>
      </w:r>
      <w:r w:rsidRPr="001823C4">
        <w:rPr>
          <w:i/>
          <w:iCs/>
          <w:szCs w:val="24"/>
        </w:rPr>
        <w:t>the drug trafficking industry</w:t>
      </w:r>
      <w:r w:rsidRPr="001823C4">
        <w:rPr>
          <w:szCs w:val="24"/>
        </w:rPr>
        <w:t>), merupakan bagian dari kelompok kegiatan organisasi-organisasi kejahatan transnasional (</w:t>
      </w:r>
      <w:r w:rsidRPr="001823C4">
        <w:rPr>
          <w:i/>
          <w:iCs/>
          <w:szCs w:val="24"/>
        </w:rPr>
        <w:t>Activities of Transnational Criminal Organizations</w:t>
      </w:r>
      <w:r w:rsidRPr="001823C4">
        <w:rPr>
          <w:szCs w:val="24"/>
        </w:rPr>
        <w:t>) di samping jenis kejahatan lainnya.</w:t>
      </w:r>
      <w:r w:rsidRPr="001823C4">
        <w:rPr>
          <w:rStyle w:val="FootnoteReference"/>
        </w:rPr>
        <w:footnoteReference w:id="2"/>
      </w:r>
    </w:p>
    <w:p w:rsidR="003F568C" w:rsidRPr="001823C4" w:rsidRDefault="003F568C" w:rsidP="003F568C">
      <w:pPr>
        <w:pStyle w:val="BodyTextIndent"/>
        <w:tabs>
          <w:tab w:val="clear" w:pos="0"/>
        </w:tabs>
        <w:spacing w:line="516" w:lineRule="auto"/>
        <w:ind w:firstLine="720"/>
        <w:rPr>
          <w:szCs w:val="24"/>
        </w:rPr>
      </w:pPr>
      <w:r w:rsidRPr="001823C4">
        <w:rPr>
          <w:szCs w:val="24"/>
        </w:rPr>
        <w:t>Kejahatan narkotika yang merupakan bagian dari kejahatan terorganisasi, pada dasarnya termasuk salah satu kejahatan terhadap pembangunan dan kejahatan terhadap kesejahteraan sosial yang menjadi pusat perhatian dan keprihatinan nasional dan internasional. Narkotika merupakan zat atau obat yang berasal dari tanaman atau bukan tanaman, baik sintesis maupun semisintesis yang dapat menyebabkan penurunan atau perubahan kesadaran, hilangnya rasa, mengurangi sampai menghilangkan rasa nyeri, dan dapat menimbulkan ketergantungan.</w:t>
      </w:r>
      <w:r w:rsidRPr="001823C4">
        <w:rPr>
          <w:rStyle w:val="FootnoteReference"/>
        </w:rPr>
        <w:footnoteReference w:id="3"/>
      </w:r>
    </w:p>
    <w:p w:rsidR="003F568C" w:rsidRPr="001823C4" w:rsidRDefault="003F568C" w:rsidP="003F568C">
      <w:pPr>
        <w:pStyle w:val="BodyTextIndent"/>
        <w:tabs>
          <w:tab w:val="clear" w:pos="0"/>
        </w:tabs>
        <w:spacing w:line="516" w:lineRule="auto"/>
        <w:ind w:firstLine="720"/>
        <w:rPr>
          <w:szCs w:val="24"/>
        </w:rPr>
      </w:pPr>
      <w:r w:rsidRPr="001823C4">
        <w:rPr>
          <w:szCs w:val="24"/>
        </w:rPr>
        <w:t xml:space="preserve">Indonesia memandang bahwa kejahatan narkotika termasuk dalam </w:t>
      </w:r>
      <w:r w:rsidRPr="001823C4">
        <w:rPr>
          <w:i/>
          <w:iCs/>
          <w:szCs w:val="24"/>
        </w:rPr>
        <w:t xml:space="preserve">extraordinary crime </w:t>
      </w:r>
      <w:r w:rsidRPr="001823C4">
        <w:rPr>
          <w:szCs w:val="24"/>
        </w:rPr>
        <w:t xml:space="preserve">(kejahatan luar biasa) yang sudah sangat merajalela maka dari itu selayaknya diterapkan </w:t>
      </w:r>
      <w:r w:rsidRPr="001823C4">
        <w:rPr>
          <w:i/>
          <w:iCs/>
          <w:szCs w:val="24"/>
        </w:rPr>
        <w:t xml:space="preserve">extraordinary law </w:t>
      </w:r>
      <w:r w:rsidRPr="001823C4">
        <w:rPr>
          <w:szCs w:val="24"/>
        </w:rPr>
        <w:t xml:space="preserve">yang mana bahwa dalam kondisi </w:t>
      </w:r>
      <w:r w:rsidRPr="001823C4">
        <w:rPr>
          <w:szCs w:val="24"/>
        </w:rPr>
        <w:lastRenderedPageBreak/>
        <w:t>darurat tindak kejahatan yang merajalela, menjarah, dan mengancam bangsa ini perlu sesegera mungkin dibinasakan dengan penegakan hukum yang seadil-adilnya dengan prosedur yang jelas dan penegakan hukum seadil-adilnya.</w:t>
      </w:r>
    </w:p>
    <w:p w:rsidR="003F568C" w:rsidRPr="001823C4" w:rsidRDefault="003F568C" w:rsidP="003F568C">
      <w:pPr>
        <w:pStyle w:val="BodyTextIndent"/>
        <w:tabs>
          <w:tab w:val="clear" w:pos="0"/>
        </w:tabs>
        <w:spacing w:line="456" w:lineRule="auto"/>
        <w:ind w:firstLine="720"/>
        <w:rPr>
          <w:szCs w:val="24"/>
        </w:rPr>
      </w:pPr>
      <w:r w:rsidRPr="001823C4">
        <w:rPr>
          <w:szCs w:val="24"/>
        </w:rPr>
        <w:t>Mencegah dan memberantas penyalahgunaan narkotika memerlukan suatu peraturan khusus yang mengatur tentang narkotika yaitu Undang-Undang Nomor Tahun 1976 Tentang Narkotika kemudian mengalami perubahan menjadi Undang-Undang Nomor 22 Tahun 1997 Tentang Narkotika, namun pada Sidang Umum Majelis Permusyawaratan Rakyat Republik Indonesia Tahun 2002 melalui Ketetapan Majelis Permusyawaratan Rakyat Republik Indonesia Nomor VI/MPR/2002 telah merekomendasikan kepada Dewan Perwakilan Rakyat Republik Indonesia dan Presiden Republik Indonesia untuk melakukan perubahan atas Undang-Undang Nomor 22 Tahun 1997 tentang Narkotika.</w:t>
      </w:r>
      <w:r w:rsidRPr="001823C4">
        <w:rPr>
          <w:rStyle w:val="FootnoteReference"/>
        </w:rPr>
        <w:footnoteReference w:id="4"/>
      </w:r>
    </w:p>
    <w:p w:rsidR="003F568C" w:rsidRPr="001823C4" w:rsidRDefault="003F568C" w:rsidP="003F568C">
      <w:pPr>
        <w:pStyle w:val="BodyTextIndent"/>
        <w:tabs>
          <w:tab w:val="clear" w:pos="0"/>
        </w:tabs>
        <w:spacing w:line="456" w:lineRule="auto"/>
        <w:ind w:firstLine="720"/>
        <w:rPr>
          <w:iCs/>
          <w:szCs w:val="24"/>
        </w:rPr>
      </w:pPr>
      <w:r w:rsidRPr="001823C4">
        <w:rPr>
          <w:szCs w:val="24"/>
        </w:rPr>
        <w:t xml:space="preserve">Tindak pidana narkotika merupakan suatu perbuatan yang dapat dipidana oleh hukum, maka beberapa negara berpendapat bahwa perbuatan dan sikap batin seseorang dapat dipersatukan dan menjadi syarat suatu perbuatan yang dapat dipidana. Siswanto berpendapat bahwa asas tersebut adalah unsur </w:t>
      </w:r>
      <w:r w:rsidRPr="001823C4">
        <w:rPr>
          <w:i/>
          <w:iCs/>
          <w:szCs w:val="24"/>
        </w:rPr>
        <w:t xml:space="preserve">actus reus </w:t>
      </w:r>
      <w:r w:rsidRPr="001823C4">
        <w:rPr>
          <w:szCs w:val="24"/>
        </w:rPr>
        <w:t>harus didahulukan yaitu perbuatan criminal (</w:t>
      </w:r>
      <w:r w:rsidRPr="001823C4">
        <w:rPr>
          <w:i/>
          <w:iCs/>
          <w:szCs w:val="24"/>
        </w:rPr>
        <w:t>criminal act</w:t>
      </w:r>
      <w:r w:rsidRPr="001823C4">
        <w:rPr>
          <w:szCs w:val="24"/>
        </w:rPr>
        <w:t>). Hal tersebut sejalan dengan syarat pemidanaan (</w:t>
      </w:r>
      <w:r w:rsidRPr="001823C4">
        <w:rPr>
          <w:i/>
          <w:iCs/>
          <w:szCs w:val="24"/>
        </w:rPr>
        <w:t>strafvoraus setzungen</w:t>
      </w:r>
      <w:r w:rsidRPr="001823C4">
        <w:rPr>
          <w:szCs w:val="24"/>
        </w:rPr>
        <w:t>) yang mendahulukan adanya perbuatan pidana. Setelah diketahui adanya suatu perbuatan pidana sesuai rumusan undang-undang barulah diselidiki tentang sikap batin atau niat pembuat atau pelakunya (</w:t>
      </w:r>
      <w:r w:rsidRPr="001823C4">
        <w:rPr>
          <w:i/>
          <w:iCs/>
          <w:szCs w:val="24"/>
        </w:rPr>
        <w:t>mens rea)</w:t>
      </w:r>
      <w:r w:rsidRPr="001823C4">
        <w:rPr>
          <w:iCs/>
          <w:szCs w:val="24"/>
        </w:rPr>
        <w:t>.</w:t>
      </w:r>
      <w:r w:rsidRPr="001823C4">
        <w:rPr>
          <w:rStyle w:val="FootnoteReference"/>
          <w:iCs/>
        </w:rPr>
        <w:footnoteReference w:id="5"/>
      </w:r>
    </w:p>
    <w:p w:rsidR="003F568C" w:rsidRPr="001823C4" w:rsidRDefault="003F568C" w:rsidP="003F568C">
      <w:pPr>
        <w:pStyle w:val="BodyTextIndent"/>
        <w:tabs>
          <w:tab w:val="clear" w:pos="0"/>
        </w:tabs>
        <w:spacing w:line="456" w:lineRule="auto"/>
        <w:ind w:firstLine="720"/>
        <w:rPr>
          <w:color w:val="000000"/>
          <w:szCs w:val="24"/>
        </w:rPr>
      </w:pPr>
      <w:r w:rsidRPr="001823C4">
        <w:rPr>
          <w:color w:val="000000"/>
          <w:szCs w:val="24"/>
        </w:rPr>
        <w:lastRenderedPageBreak/>
        <w:t>Undang-Undang Nomor 35 Tahun 2009 menyebutkan 4 kategori yang merupakan tindakan melawan hukum yang dilarang oleh undang-undang dan diancam dengan sanksi pidana, antara lain sebagai berikut :</w:t>
      </w:r>
    </w:p>
    <w:p w:rsidR="003F568C" w:rsidRPr="001823C4" w:rsidRDefault="003F568C" w:rsidP="003F568C">
      <w:pPr>
        <w:pStyle w:val="BodyTextIndent"/>
        <w:numPr>
          <w:ilvl w:val="6"/>
          <w:numId w:val="12"/>
        </w:numPr>
        <w:tabs>
          <w:tab w:val="clear" w:pos="0"/>
          <w:tab w:val="clear" w:pos="5040"/>
          <w:tab w:val="num" w:pos="360"/>
        </w:tabs>
        <w:autoSpaceDE w:val="0"/>
        <w:autoSpaceDN w:val="0"/>
        <w:adjustRightInd w:val="0"/>
        <w:ind w:left="360"/>
        <w:rPr>
          <w:color w:val="000000"/>
          <w:szCs w:val="24"/>
        </w:rPr>
      </w:pPr>
      <w:r w:rsidRPr="001823C4">
        <w:rPr>
          <w:color w:val="000000"/>
          <w:szCs w:val="24"/>
        </w:rPr>
        <w:t>Kategori pertama, yaitu perbuatan-perbuatan berupa memiliki, menyimpan, menguasai, atau menyediakan narkotika dan prekursor narkotika ( Terdapat pada Pasal 111 dan Pasal 112 untuk Narkotika Golongan I, Pasal 117 untuk Narkotika Golongan II, Pasal 122 untuk Narkotika Golongan III dan Pasal 129 Huruf (a)).</w:t>
      </w:r>
    </w:p>
    <w:p w:rsidR="003F568C" w:rsidRPr="001823C4" w:rsidRDefault="003F568C" w:rsidP="003F568C">
      <w:pPr>
        <w:pStyle w:val="BodyTextIndent"/>
        <w:numPr>
          <w:ilvl w:val="6"/>
          <w:numId w:val="12"/>
        </w:numPr>
        <w:tabs>
          <w:tab w:val="clear" w:pos="0"/>
          <w:tab w:val="clear" w:pos="5040"/>
          <w:tab w:val="num" w:pos="360"/>
        </w:tabs>
        <w:autoSpaceDE w:val="0"/>
        <w:autoSpaceDN w:val="0"/>
        <w:adjustRightInd w:val="0"/>
        <w:ind w:left="360"/>
        <w:rPr>
          <w:color w:val="000000"/>
          <w:szCs w:val="24"/>
        </w:rPr>
      </w:pPr>
      <w:r w:rsidRPr="001823C4">
        <w:rPr>
          <w:color w:val="000000"/>
          <w:szCs w:val="24"/>
        </w:rPr>
        <w:t>Kategori kedua, yaitu perbuatan-perbuatan berupa memproduksi, mengimpor, mengekspor, atau menyalurkan narkotika dan prekursor narkotika ( Terdapat pada Pasal 113 untuk Narkotika Golongan I, Pasal 118 untuk Narkotika Golongan II, Pasal 123 untuk Narkotika Golongan III, dan Pasal 129 (b))</w:t>
      </w:r>
    </w:p>
    <w:p w:rsidR="003F568C" w:rsidRPr="001823C4" w:rsidRDefault="003F568C" w:rsidP="003F568C">
      <w:pPr>
        <w:pStyle w:val="BodyTextIndent"/>
        <w:numPr>
          <w:ilvl w:val="6"/>
          <w:numId w:val="12"/>
        </w:numPr>
        <w:tabs>
          <w:tab w:val="clear" w:pos="0"/>
          <w:tab w:val="clear" w:pos="5040"/>
          <w:tab w:val="num" w:pos="360"/>
        </w:tabs>
        <w:autoSpaceDE w:val="0"/>
        <w:autoSpaceDN w:val="0"/>
        <w:adjustRightInd w:val="0"/>
        <w:ind w:left="360"/>
        <w:rPr>
          <w:color w:val="000000"/>
          <w:szCs w:val="24"/>
        </w:rPr>
      </w:pPr>
      <w:r w:rsidRPr="001823C4">
        <w:rPr>
          <w:color w:val="000000"/>
          <w:szCs w:val="24"/>
        </w:rPr>
        <w:t>Kategori ketiga, yaitu perbuatan-perbuatan berupa menawarkan untuk dijual, menjual, membeli, menerima, menjadi perantara dalam jual beli, menukar atau menyerahkan narkotika dan prekursor narkotika (Terdapat pada Pasal 114 dan Pasal 116 untuk Narkotika Golongan I, Pasal 119 dan  Pasal 121 untuk Narkotika Golongan II, Pasal 124 dan Pasal 126 untuk Golongan Narkotika Golongan III, dan Pasal 129 c)).</w:t>
      </w:r>
    </w:p>
    <w:p w:rsidR="003F568C" w:rsidRPr="001823C4" w:rsidRDefault="003F568C" w:rsidP="003F568C">
      <w:pPr>
        <w:pStyle w:val="BodyTextIndent"/>
        <w:numPr>
          <w:ilvl w:val="6"/>
          <w:numId w:val="12"/>
        </w:numPr>
        <w:tabs>
          <w:tab w:val="clear" w:pos="0"/>
          <w:tab w:val="clear" w:pos="5040"/>
          <w:tab w:val="num" w:pos="360"/>
        </w:tabs>
        <w:autoSpaceDE w:val="0"/>
        <w:autoSpaceDN w:val="0"/>
        <w:adjustRightInd w:val="0"/>
        <w:ind w:left="360"/>
        <w:rPr>
          <w:color w:val="000000"/>
          <w:szCs w:val="24"/>
        </w:rPr>
      </w:pPr>
      <w:r w:rsidRPr="001823C4">
        <w:rPr>
          <w:color w:val="000000"/>
          <w:szCs w:val="24"/>
        </w:rPr>
        <w:t xml:space="preserve">Kategori keempat, yakni perbuatan-perbuatan berupa membawa, mengirim, mengangkut, atau mentransit narkotika dan prekusor narkotika ( Terdapat </w:t>
      </w:r>
      <w:r w:rsidRPr="001823C4">
        <w:rPr>
          <w:color w:val="000000"/>
          <w:szCs w:val="24"/>
        </w:rPr>
        <w:lastRenderedPageBreak/>
        <w:t xml:space="preserve">pada Pasal 115 untuk Golongan I, Pasal 120 untuk Narkotika Golongan II, Pasal 125 untuk Narkotika Golongan III, dan Pasal 129 (d)). </w:t>
      </w:r>
      <w:r w:rsidRPr="001823C4">
        <w:rPr>
          <w:rStyle w:val="FootnoteReference"/>
          <w:color w:val="000000"/>
        </w:rPr>
        <w:footnoteReference w:id="6"/>
      </w:r>
    </w:p>
    <w:p w:rsidR="003F568C" w:rsidRPr="001823C4" w:rsidRDefault="003F568C" w:rsidP="003F568C">
      <w:pPr>
        <w:pStyle w:val="BodyTextIndent"/>
        <w:tabs>
          <w:tab w:val="clear" w:pos="0"/>
        </w:tabs>
        <w:spacing w:line="444" w:lineRule="auto"/>
        <w:ind w:firstLine="720"/>
        <w:rPr>
          <w:szCs w:val="24"/>
        </w:rPr>
      </w:pPr>
      <w:r w:rsidRPr="001823C4">
        <w:rPr>
          <w:szCs w:val="24"/>
        </w:rPr>
        <w:t>Berdasarkan kategori tersebut di atas, maka dapat disimpulkan bahwa berdasarkan Undang-undang No. 35 Tahun 2009 tentang Narkotika, jenis-jenis tindak pidana narkotika yang terdapat dalam ketentuan yang diatur dalam Bab XV Undang-Undang Narkotika dapat dikelompokkan dari segi bentuk perbuatannya sebagai berikut :</w:t>
      </w:r>
      <w:r w:rsidRPr="001823C4">
        <w:rPr>
          <w:rStyle w:val="FootnoteReference"/>
        </w:rPr>
        <w:footnoteReference w:id="7"/>
      </w:r>
    </w:p>
    <w:p w:rsidR="003F568C" w:rsidRPr="001823C4" w:rsidRDefault="003F568C" w:rsidP="003F568C">
      <w:pPr>
        <w:pStyle w:val="BodyTextIndent"/>
        <w:numPr>
          <w:ilvl w:val="3"/>
          <w:numId w:val="20"/>
        </w:numPr>
        <w:tabs>
          <w:tab w:val="clear" w:pos="0"/>
        </w:tabs>
        <w:autoSpaceDE w:val="0"/>
        <w:autoSpaceDN w:val="0"/>
        <w:adjustRightInd w:val="0"/>
        <w:spacing w:line="444" w:lineRule="auto"/>
        <w:ind w:left="360"/>
        <w:rPr>
          <w:color w:val="000000"/>
          <w:szCs w:val="24"/>
        </w:rPr>
      </w:pPr>
      <w:r w:rsidRPr="001823C4">
        <w:rPr>
          <w:color w:val="000000"/>
          <w:szCs w:val="24"/>
        </w:rPr>
        <w:t xml:space="preserve">Tindak Pidana yang berkaitan dengan penggolongan narkotika, dan prekusor narkotika, meliputi : </w:t>
      </w:r>
    </w:p>
    <w:p w:rsidR="003F568C" w:rsidRPr="001823C4" w:rsidRDefault="003F568C" w:rsidP="003F568C">
      <w:pPr>
        <w:pStyle w:val="BodyTextIndent"/>
        <w:numPr>
          <w:ilvl w:val="7"/>
          <w:numId w:val="20"/>
        </w:numPr>
        <w:tabs>
          <w:tab w:val="clear" w:pos="0"/>
          <w:tab w:val="num" w:pos="720"/>
        </w:tabs>
        <w:autoSpaceDE w:val="0"/>
        <w:autoSpaceDN w:val="0"/>
        <w:adjustRightInd w:val="0"/>
        <w:spacing w:line="444" w:lineRule="auto"/>
        <w:ind w:left="720" w:hanging="357"/>
        <w:rPr>
          <w:color w:val="000000"/>
          <w:szCs w:val="24"/>
        </w:rPr>
      </w:pPr>
      <w:r w:rsidRPr="001823C4">
        <w:rPr>
          <w:color w:val="000000"/>
          <w:szCs w:val="24"/>
        </w:rPr>
        <w:t xml:space="preserve">Menanam, memelihara, memiliki, menyimpan, menguasai, menyediakan narkotika golongan I dalam bentuk tanaman, dan bukan tanaman, narkotika golongan II. </w:t>
      </w:r>
    </w:p>
    <w:p w:rsidR="003F568C" w:rsidRPr="001823C4" w:rsidRDefault="003F568C" w:rsidP="003F568C">
      <w:pPr>
        <w:pStyle w:val="BodyTextIndent"/>
        <w:numPr>
          <w:ilvl w:val="7"/>
          <w:numId w:val="20"/>
        </w:numPr>
        <w:tabs>
          <w:tab w:val="clear" w:pos="0"/>
          <w:tab w:val="num" w:pos="720"/>
        </w:tabs>
        <w:autoSpaceDE w:val="0"/>
        <w:autoSpaceDN w:val="0"/>
        <w:adjustRightInd w:val="0"/>
        <w:spacing w:line="444" w:lineRule="auto"/>
        <w:ind w:left="720" w:hanging="357"/>
        <w:rPr>
          <w:color w:val="000000"/>
          <w:szCs w:val="24"/>
        </w:rPr>
      </w:pPr>
      <w:r w:rsidRPr="001823C4">
        <w:rPr>
          <w:color w:val="000000"/>
          <w:szCs w:val="24"/>
        </w:rPr>
        <w:t xml:space="preserve">Pengadaan dan peredaran narkotika golongan I, II, dan golongan III yang tidak menaati ketentuan perundang-undangan yang berlaku, yaitu : </w:t>
      </w:r>
    </w:p>
    <w:p w:rsidR="003F568C" w:rsidRPr="001823C4" w:rsidRDefault="003F568C" w:rsidP="003F568C">
      <w:pPr>
        <w:pStyle w:val="BodyTextIndent"/>
        <w:numPr>
          <w:ilvl w:val="0"/>
          <w:numId w:val="24"/>
        </w:numPr>
        <w:tabs>
          <w:tab w:val="clear" w:pos="0"/>
        </w:tabs>
        <w:autoSpaceDE w:val="0"/>
        <w:autoSpaceDN w:val="0"/>
        <w:adjustRightInd w:val="0"/>
        <w:spacing w:line="444" w:lineRule="auto"/>
        <w:rPr>
          <w:color w:val="000000"/>
          <w:szCs w:val="24"/>
        </w:rPr>
      </w:pPr>
      <w:r w:rsidRPr="001823C4">
        <w:rPr>
          <w:color w:val="000000"/>
          <w:szCs w:val="24"/>
        </w:rPr>
        <w:t xml:space="preserve">Memproduksi, mengimpor, mengekspor, atau menyalurkan narkotika golongan I, narkotika golongan II, narkotika golongan III. </w:t>
      </w:r>
    </w:p>
    <w:p w:rsidR="003F568C" w:rsidRPr="001823C4" w:rsidRDefault="003F568C" w:rsidP="003F568C">
      <w:pPr>
        <w:pStyle w:val="BodyTextIndent"/>
        <w:numPr>
          <w:ilvl w:val="0"/>
          <w:numId w:val="24"/>
        </w:numPr>
        <w:tabs>
          <w:tab w:val="clear" w:pos="0"/>
        </w:tabs>
        <w:autoSpaceDE w:val="0"/>
        <w:autoSpaceDN w:val="0"/>
        <w:adjustRightInd w:val="0"/>
        <w:spacing w:line="444" w:lineRule="auto"/>
        <w:ind w:hanging="357"/>
        <w:rPr>
          <w:color w:val="000000"/>
          <w:szCs w:val="24"/>
        </w:rPr>
      </w:pPr>
      <w:r w:rsidRPr="001823C4">
        <w:rPr>
          <w:color w:val="000000"/>
          <w:szCs w:val="24"/>
        </w:rPr>
        <w:t xml:space="preserve">Menawarkan untuk dijual, menjual, membeli, menerima, menjadi perantara dalam jual beli, menukar atau menyerahkan narkotika golongan I, narkotika golongan II, narkotika golongan III. </w:t>
      </w:r>
    </w:p>
    <w:p w:rsidR="003F568C" w:rsidRPr="001823C4" w:rsidRDefault="003F568C" w:rsidP="003F568C">
      <w:pPr>
        <w:pStyle w:val="BodyTextIndent"/>
        <w:numPr>
          <w:ilvl w:val="0"/>
          <w:numId w:val="24"/>
        </w:numPr>
        <w:tabs>
          <w:tab w:val="clear" w:pos="0"/>
        </w:tabs>
        <w:autoSpaceDE w:val="0"/>
        <w:autoSpaceDN w:val="0"/>
        <w:adjustRightInd w:val="0"/>
        <w:spacing w:line="456" w:lineRule="auto"/>
        <w:ind w:hanging="357"/>
        <w:rPr>
          <w:color w:val="000000"/>
          <w:szCs w:val="24"/>
        </w:rPr>
      </w:pPr>
      <w:r w:rsidRPr="001823C4">
        <w:rPr>
          <w:color w:val="000000"/>
          <w:szCs w:val="24"/>
        </w:rPr>
        <w:t xml:space="preserve">Membawa, mengirim, mengangkut, atau mentransit narkotika golongan I, narkotika golongan II, narkotika golongan III. </w:t>
      </w:r>
    </w:p>
    <w:p w:rsidR="003F568C" w:rsidRPr="001823C4" w:rsidRDefault="003F568C" w:rsidP="003F568C">
      <w:pPr>
        <w:pStyle w:val="BodyTextIndent"/>
        <w:numPr>
          <w:ilvl w:val="0"/>
          <w:numId w:val="24"/>
        </w:numPr>
        <w:tabs>
          <w:tab w:val="clear" w:pos="0"/>
        </w:tabs>
        <w:autoSpaceDE w:val="0"/>
        <w:autoSpaceDN w:val="0"/>
        <w:adjustRightInd w:val="0"/>
        <w:spacing w:line="456" w:lineRule="auto"/>
        <w:ind w:hanging="357"/>
        <w:rPr>
          <w:color w:val="000000"/>
          <w:szCs w:val="24"/>
        </w:rPr>
      </w:pPr>
      <w:r w:rsidRPr="001823C4">
        <w:rPr>
          <w:color w:val="000000"/>
          <w:szCs w:val="24"/>
        </w:rPr>
        <w:lastRenderedPageBreak/>
        <w:t xml:space="preserve">Menggunakan narkotika golongan I terhadap orang lain, atau memberikan narkotika untuk digunakan orang lain, narkotika golongan I, narkotika golongan II, narkotika golongan III. </w:t>
      </w:r>
    </w:p>
    <w:p w:rsidR="003F568C" w:rsidRPr="001823C4" w:rsidRDefault="003F568C" w:rsidP="003F568C">
      <w:pPr>
        <w:pStyle w:val="BodyTextIndent"/>
        <w:numPr>
          <w:ilvl w:val="0"/>
          <w:numId w:val="24"/>
        </w:numPr>
        <w:tabs>
          <w:tab w:val="clear" w:pos="0"/>
        </w:tabs>
        <w:autoSpaceDE w:val="0"/>
        <w:autoSpaceDN w:val="0"/>
        <w:adjustRightInd w:val="0"/>
        <w:spacing w:line="456" w:lineRule="auto"/>
        <w:rPr>
          <w:color w:val="000000"/>
          <w:szCs w:val="24"/>
        </w:rPr>
      </w:pPr>
      <w:r w:rsidRPr="001823C4">
        <w:rPr>
          <w:color w:val="000000"/>
          <w:szCs w:val="24"/>
        </w:rPr>
        <w:t>Setiap penyalahguna narkotika golongan I, narkotika golongan II, dan narkotika golongan III bagi diri sendiri.</w:t>
      </w:r>
      <w:r w:rsidRPr="001823C4">
        <w:rPr>
          <w:rStyle w:val="FootnoteReference"/>
          <w:color w:val="000000"/>
        </w:rPr>
        <w:footnoteReference w:id="8"/>
      </w:r>
    </w:p>
    <w:p w:rsidR="003F568C" w:rsidRPr="001823C4" w:rsidRDefault="003F568C" w:rsidP="003F568C">
      <w:pPr>
        <w:pStyle w:val="BodyTextIndent"/>
        <w:numPr>
          <w:ilvl w:val="6"/>
          <w:numId w:val="20"/>
        </w:numPr>
        <w:tabs>
          <w:tab w:val="clear" w:pos="0"/>
          <w:tab w:val="num" w:pos="360"/>
        </w:tabs>
        <w:autoSpaceDE w:val="0"/>
        <w:autoSpaceDN w:val="0"/>
        <w:adjustRightInd w:val="0"/>
        <w:spacing w:line="456" w:lineRule="auto"/>
        <w:ind w:left="357" w:hanging="357"/>
        <w:rPr>
          <w:color w:val="000000"/>
          <w:szCs w:val="24"/>
        </w:rPr>
      </w:pPr>
      <w:r w:rsidRPr="001823C4">
        <w:rPr>
          <w:color w:val="000000"/>
          <w:szCs w:val="24"/>
        </w:rPr>
        <w:t>Tindak Pidana Orang Tua/ Wali dari Pecandu Narkotika yang Belum Cukup Umur.</w:t>
      </w:r>
      <w:r w:rsidRPr="001823C4">
        <w:rPr>
          <w:rStyle w:val="FootnoteReference"/>
          <w:color w:val="000000"/>
        </w:rPr>
        <w:footnoteReference w:id="9"/>
      </w:r>
      <w:r w:rsidRPr="001823C4">
        <w:rPr>
          <w:color w:val="000000"/>
          <w:szCs w:val="24"/>
        </w:rPr>
        <w:t xml:space="preserve"> Tindak Pidana yang berkaitan dengan orang tua atau wali dari pecandu yang belum cukup umur yang sengaja tidak melaporkan adanya tindak Pidana Pasal 111 sampai dengan Pasal 129. </w:t>
      </w:r>
    </w:p>
    <w:p w:rsidR="003F568C" w:rsidRPr="001823C4" w:rsidRDefault="003F568C" w:rsidP="003F568C">
      <w:pPr>
        <w:pStyle w:val="BodyTextIndent"/>
        <w:numPr>
          <w:ilvl w:val="6"/>
          <w:numId w:val="20"/>
        </w:numPr>
        <w:tabs>
          <w:tab w:val="clear" w:pos="0"/>
          <w:tab w:val="num" w:pos="360"/>
        </w:tabs>
        <w:autoSpaceDE w:val="0"/>
        <w:autoSpaceDN w:val="0"/>
        <w:adjustRightInd w:val="0"/>
        <w:spacing w:line="456" w:lineRule="auto"/>
        <w:ind w:left="357" w:hanging="357"/>
        <w:rPr>
          <w:color w:val="000000"/>
          <w:szCs w:val="24"/>
        </w:rPr>
      </w:pPr>
      <w:r w:rsidRPr="001823C4">
        <w:rPr>
          <w:color w:val="000000"/>
          <w:szCs w:val="24"/>
        </w:rPr>
        <w:t>Tindak Pidana yang Dilakukan oleh Korporasi.</w:t>
      </w:r>
      <w:r w:rsidRPr="001823C4">
        <w:rPr>
          <w:rStyle w:val="FootnoteReference"/>
          <w:color w:val="000000"/>
        </w:rPr>
        <w:footnoteReference w:id="10"/>
      </w:r>
      <w:r w:rsidRPr="001823C4">
        <w:rPr>
          <w:color w:val="000000"/>
          <w:szCs w:val="24"/>
        </w:rPr>
        <w:t xml:space="preserve"> Dalam hal tindak Pidana dalam Pasal 111 sampai dengan Pasal 126 dan Pasal 129 yang dilakukan oleh Korporasi atau dilakukan secara terorganisasi. </w:t>
      </w:r>
    </w:p>
    <w:p w:rsidR="003F568C" w:rsidRPr="001823C4" w:rsidRDefault="003F568C" w:rsidP="003F568C">
      <w:pPr>
        <w:pStyle w:val="BodyTextIndent"/>
        <w:numPr>
          <w:ilvl w:val="6"/>
          <w:numId w:val="20"/>
        </w:numPr>
        <w:tabs>
          <w:tab w:val="clear" w:pos="0"/>
          <w:tab w:val="num" w:pos="360"/>
        </w:tabs>
        <w:autoSpaceDE w:val="0"/>
        <w:autoSpaceDN w:val="0"/>
        <w:adjustRightInd w:val="0"/>
        <w:spacing w:line="456" w:lineRule="auto"/>
        <w:ind w:left="357" w:hanging="357"/>
        <w:rPr>
          <w:color w:val="000000"/>
          <w:szCs w:val="24"/>
        </w:rPr>
      </w:pPr>
      <w:r w:rsidRPr="001823C4">
        <w:rPr>
          <w:color w:val="000000"/>
          <w:szCs w:val="24"/>
        </w:rPr>
        <w:t>Tindak Pidana bagi Orang yang Tidak Melaporkan Adanya Tindak Pidana Narkotika.</w:t>
      </w:r>
      <w:r w:rsidRPr="001823C4">
        <w:rPr>
          <w:rStyle w:val="FootnoteReference"/>
          <w:color w:val="000000"/>
        </w:rPr>
        <w:footnoteReference w:id="11"/>
      </w:r>
      <w:r w:rsidRPr="001823C4">
        <w:rPr>
          <w:color w:val="000000"/>
          <w:szCs w:val="24"/>
        </w:rPr>
        <w:t xml:space="preserve"> Setiap orang yang sengaja tidak melaporkan adanya tindak pidana Pasal 111 sampai dengan Pasal 129. </w:t>
      </w:r>
    </w:p>
    <w:p w:rsidR="003F568C" w:rsidRPr="001823C4" w:rsidRDefault="003F568C" w:rsidP="003F568C">
      <w:pPr>
        <w:pStyle w:val="BodyTextIndent"/>
        <w:numPr>
          <w:ilvl w:val="6"/>
          <w:numId w:val="20"/>
        </w:numPr>
        <w:tabs>
          <w:tab w:val="clear" w:pos="0"/>
          <w:tab w:val="num" w:pos="360"/>
        </w:tabs>
        <w:autoSpaceDE w:val="0"/>
        <w:autoSpaceDN w:val="0"/>
        <w:adjustRightInd w:val="0"/>
        <w:spacing w:line="456" w:lineRule="auto"/>
        <w:ind w:left="357" w:hanging="357"/>
        <w:rPr>
          <w:color w:val="000000"/>
          <w:szCs w:val="24"/>
        </w:rPr>
      </w:pPr>
      <w:r w:rsidRPr="001823C4">
        <w:rPr>
          <w:color w:val="000000"/>
          <w:szCs w:val="24"/>
        </w:rPr>
        <w:t>Tindak Pidana terhadap Percobaan dan Pemufakatan Jahat Melakukan Tindak Pidana Narkotika dan Prekursor.</w:t>
      </w:r>
      <w:r w:rsidRPr="001823C4">
        <w:rPr>
          <w:rStyle w:val="FootnoteReference"/>
          <w:color w:val="000000"/>
        </w:rPr>
        <w:footnoteReference w:id="12"/>
      </w:r>
      <w:r w:rsidRPr="001823C4">
        <w:rPr>
          <w:color w:val="000000"/>
          <w:szCs w:val="24"/>
        </w:rPr>
        <w:t xml:space="preserve"> Percobaan atau pemufakatan jahat untuk melakukan tindak pidana narkotika dan prekusor narkotika dalam Pasal 111 sampai degan Pasal 126 dan Pasal 129 dipidana pidana penjara dan pidana </w:t>
      </w:r>
      <w:r w:rsidRPr="001823C4">
        <w:rPr>
          <w:color w:val="000000"/>
          <w:szCs w:val="24"/>
        </w:rPr>
        <w:lastRenderedPageBreak/>
        <w:t xml:space="preserve">denda maksimumnya ditambah sepertiga, tapi pemberatan pidana tersebut tidak berlaku bagi tindak pidana yang diancam dengan pidana mati, pidana penjara seumur hidup atau pidana penjara 20 tahun. </w:t>
      </w:r>
    </w:p>
    <w:p w:rsidR="003F568C" w:rsidRPr="001823C4" w:rsidRDefault="003F568C" w:rsidP="003F568C">
      <w:pPr>
        <w:pStyle w:val="BodyTextIndent"/>
        <w:numPr>
          <w:ilvl w:val="6"/>
          <w:numId w:val="20"/>
        </w:numPr>
        <w:tabs>
          <w:tab w:val="clear" w:pos="0"/>
          <w:tab w:val="num" w:pos="360"/>
        </w:tabs>
        <w:autoSpaceDE w:val="0"/>
        <w:autoSpaceDN w:val="0"/>
        <w:adjustRightInd w:val="0"/>
        <w:spacing w:line="456" w:lineRule="auto"/>
        <w:ind w:left="357" w:hanging="357"/>
        <w:rPr>
          <w:color w:val="000000"/>
          <w:szCs w:val="24"/>
        </w:rPr>
      </w:pPr>
      <w:r w:rsidRPr="001823C4">
        <w:rPr>
          <w:color w:val="000000"/>
          <w:szCs w:val="24"/>
        </w:rPr>
        <w:t>Tindak Pidana berkaitan dengan Pemanfaatan Anak.</w:t>
      </w:r>
      <w:r w:rsidRPr="001823C4">
        <w:rPr>
          <w:rStyle w:val="FootnoteReference"/>
          <w:color w:val="000000"/>
        </w:rPr>
        <w:footnoteReference w:id="13"/>
      </w:r>
      <w:r w:rsidRPr="001823C4">
        <w:rPr>
          <w:color w:val="000000"/>
          <w:szCs w:val="24"/>
        </w:rPr>
        <w:t xml:space="preserve"> Menyuruh, membujuk, memaksa dengan kekerasan, tipu muslihat, membujuk anak yang belum cukup umur untuk melakukan tindak pidana dalam Pasal 111 sampai dengan Pasal 126 dan Pasal 129. </w:t>
      </w:r>
    </w:p>
    <w:p w:rsidR="003F568C" w:rsidRPr="001823C4" w:rsidRDefault="003F568C" w:rsidP="003F568C">
      <w:pPr>
        <w:pStyle w:val="BodyTextIndent"/>
        <w:numPr>
          <w:ilvl w:val="6"/>
          <w:numId w:val="20"/>
        </w:numPr>
        <w:tabs>
          <w:tab w:val="clear" w:pos="0"/>
          <w:tab w:val="num" w:pos="360"/>
        </w:tabs>
        <w:autoSpaceDE w:val="0"/>
        <w:autoSpaceDN w:val="0"/>
        <w:adjustRightInd w:val="0"/>
        <w:spacing w:line="456" w:lineRule="auto"/>
        <w:ind w:left="360"/>
        <w:rPr>
          <w:color w:val="000000"/>
          <w:szCs w:val="24"/>
        </w:rPr>
      </w:pPr>
      <w:r w:rsidRPr="001823C4">
        <w:rPr>
          <w:color w:val="000000"/>
          <w:szCs w:val="24"/>
        </w:rPr>
        <w:t>Tindak Pidana bagi Pecandu Narkotika dan Keluarganya yang Tidak Melaporkan Diri.</w:t>
      </w:r>
      <w:r w:rsidRPr="001823C4">
        <w:rPr>
          <w:rStyle w:val="FootnoteReference"/>
          <w:color w:val="000000"/>
        </w:rPr>
        <w:footnoteReference w:id="14"/>
      </w:r>
      <w:r w:rsidRPr="001823C4">
        <w:rPr>
          <w:color w:val="000000"/>
          <w:szCs w:val="24"/>
        </w:rPr>
        <w:t xml:space="preserve"> Pecandu narkotika yang sudak cukup umur dan dengan sengaja tidak melaporkan diri atau keluarga dari pecandu narkotika yang dengan sengaja tidak melaporkan pecandu narkotika tersebut. </w:t>
      </w:r>
    </w:p>
    <w:p w:rsidR="003F568C" w:rsidRPr="001823C4" w:rsidRDefault="003F568C" w:rsidP="003F568C">
      <w:pPr>
        <w:pStyle w:val="BodyTextIndent"/>
        <w:numPr>
          <w:ilvl w:val="6"/>
          <w:numId w:val="20"/>
        </w:numPr>
        <w:tabs>
          <w:tab w:val="clear" w:pos="0"/>
          <w:tab w:val="num" w:pos="360"/>
        </w:tabs>
        <w:autoSpaceDE w:val="0"/>
        <w:autoSpaceDN w:val="0"/>
        <w:adjustRightInd w:val="0"/>
        <w:spacing w:line="456" w:lineRule="auto"/>
        <w:ind w:left="360" w:hanging="357"/>
        <w:rPr>
          <w:color w:val="000000"/>
          <w:szCs w:val="24"/>
        </w:rPr>
      </w:pPr>
      <w:r w:rsidRPr="001823C4">
        <w:rPr>
          <w:color w:val="000000"/>
          <w:szCs w:val="24"/>
        </w:rPr>
        <w:t>Tindak Pidana terhadap Hasil-Hasil Tindak Pidana Narkotika dan/atau Prekusor Narkotika.</w:t>
      </w:r>
      <w:r w:rsidRPr="001823C4">
        <w:rPr>
          <w:rStyle w:val="FootnoteReference"/>
          <w:color w:val="000000"/>
        </w:rPr>
        <w:footnoteReference w:id="15"/>
      </w:r>
      <w:r w:rsidRPr="001823C4">
        <w:rPr>
          <w:color w:val="000000"/>
          <w:szCs w:val="24"/>
        </w:rPr>
        <w:t>:</w:t>
      </w:r>
    </w:p>
    <w:p w:rsidR="003F568C" w:rsidRPr="001823C4" w:rsidRDefault="003F568C" w:rsidP="003F568C">
      <w:pPr>
        <w:pStyle w:val="BodyTextIndent"/>
        <w:numPr>
          <w:ilvl w:val="7"/>
          <w:numId w:val="20"/>
        </w:numPr>
        <w:tabs>
          <w:tab w:val="clear" w:pos="0"/>
          <w:tab w:val="num" w:pos="720"/>
        </w:tabs>
        <w:autoSpaceDE w:val="0"/>
        <w:autoSpaceDN w:val="0"/>
        <w:adjustRightInd w:val="0"/>
        <w:spacing w:line="456" w:lineRule="auto"/>
        <w:ind w:left="720" w:hanging="357"/>
        <w:rPr>
          <w:color w:val="000000"/>
          <w:szCs w:val="24"/>
        </w:rPr>
      </w:pPr>
      <w:r w:rsidRPr="001823C4">
        <w:rPr>
          <w:color w:val="000000"/>
          <w:szCs w:val="24"/>
        </w:rPr>
        <w:t>Menempatkan, membayarkan, atau membelanjakan, menitipkan, menukarkan, menyembunyikan atau menyamarkan, menginvestasikan, menyimpan, menghibahkan, mewariskan, dan/atau mentransfer uang, harta, dan benda, atau asset baik dalam bentuk benda bergerak maupun tidak bergerak, berwujud atau tidak berwujud, yang berasal dari tindak pidana narkotika dan/atau tindak pidana prekusor narkotika</w:t>
      </w:r>
    </w:p>
    <w:p w:rsidR="003F568C" w:rsidRPr="001823C4" w:rsidRDefault="003F568C" w:rsidP="003F568C">
      <w:pPr>
        <w:pStyle w:val="BodyTextIndent"/>
        <w:numPr>
          <w:ilvl w:val="7"/>
          <w:numId w:val="20"/>
        </w:numPr>
        <w:tabs>
          <w:tab w:val="clear" w:pos="0"/>
          <w:tab w:val="num" w:pos="720"/>
        </w:tabs>
        <w:autoSpaceDE w:val="0"/>
        <w:autoSpaceDN w:val="0"/>
        <w:adjustRightInd w:val="0"/>
        <w:ind w:left="720" w:hanging="357"/>
        <w:rPr>
          <w:color w:val="000000"/>
          <w:szCs w:val="24"/>
        </w:rPr>
      </w:pPr>
      <w:r w:rsidRPr="001823C4">
        <w:rPr>
          <w:color w:val="000000"/>
          <w:szCs w:val="24"/>
        </w:rPr>
        <w:t xml:space="preserve">Menerima penempatan, pembayaran, atau pembelanjaan, penitipan, penukaran, penyembunyian, atau penyamaran investasi, simpanan atau </w:t>
      </w:r>
      <w:r w:rsidRPr="001823C4">
        <w:rPr>
          <w:color w:val="000000"/>
          <w:szCs w:val="24"/>
        </w:rPr>
        <w:lastRenderedPageBreak/>
        <w:t xml:space="preserve">transfer, hibah, waris, harta atau uang, benda atau asset, baik dalam bentuk benda bergerak maupun tidak bergerak, berwujud maupun tidak berwujud yang diketahui berdasar dari tindak pidana narkotika dan/atau tindak pidana prekusor narkotika. </w:t>
      </w:r>
    </w:p>
    <w:p w:rsidR="003F568C" w:rsidRPr="001823C4" w:rsidRDefault="003F568C" w:rsidP="003F568C">
      <w:pPr>
        <w:pStyle w:val="BodyTextIndent"/>
        <w:numPr>
          <w:ilvl w:val="6"/>
          <w:numId w:val="20"/>
        </w:numPr>
        <w:tabs>
          <w:tab w:val="clear" w:pos="0"/>
          <w:tab w:val="num" w:pos="360"/>
        </w:tabs>
        <w:autoSpaceDE w:val="0"/>
        <w:autoSpaceDN w:val="0"/>
        <w:adjustRightInd w:val="0"/>
        <w:ind w:left="360" w:hanging="357"/>
        <w:rPr>
          <w:color w:val="000000"/>
          <w:szCs w:val="24"/>
        </w:rPr>
      </w:pPr>
      <w:r w:rsidRPr="001823C4">
        <w:rPr>
          <w:color w:val="000000"/>
          <w:szCs w:val="24"/>
        </w:rPr>
        <w:t xml:space="preserve">Tindak pidana narkotika yang dilakukan oleh para pejabat yang berkaitan dengan narkotika, meliputi : </w:t>
      </w:r>
    </w:p>
    <w:p w:rsidR="003F568C" w:rsidRPr="001823C4" w:rsidRDefault="003F568C" w:rsidP="003F568C">
      <w:pPr>
        <w:pStyle w:val="BodyTextIndent"/>
        <w:numPr>
          <w:ilvl w:val="7"/>
          <w:numId w:val="20"/>
        </w:numPr>
        <w:tabs>
          <w:tab w:val="clear" w:pos="0"/>
          <w:tab w:val="num" w:pos="720"/>
        </w:tabs>
        <w:autoSpaceDE w:val="0"/>
        <w:autoSpaceDN w:val="0"/>
        <w:adjustRightInd w:val="0"/>
        <w:spacing w:line="516" w:lineRule="auto"/>
        <w:ind w:left="720" w:hanging="357"/>
        <w:rPr>
          <w:color w:val="000000"/>
          <w:szCs w:val="24"/>
        </w:rPr>
      </w:pPr>
      <w:r w:rsidRPr="001823C4">
        <w:rPr>
          <w:color w:val="000000"/>
          <w:szCs w:val="24"/>
        </w:rPr>
        <w:t>Pengurus industri farmasi yang tidak melaksanakan kewajiban menurut Pasal 45.</w:t>
      </w:r>
    </w:p>
    <w:p w:rsidR="003F568C" w:rsidRPr="001823C4" w:rsidRDefault="003F568C" w:rsidP="003F568C">
      <w:pPr>
        <w:pStyle w:val="BodyTextIndent"/>
        <w:numPr>
          <w:ilvl w:val="7"/>
          <w:numId w:val="20"/>
        </w:numPr>
        <w:tabs>
          <w:tab w:val="clear" w:pos="0"/>
          <w:tab w:val="num" w:pos="720"/>
        </w:tabs>
        <w:autoSpaceDE w:val="0"/>
        <w:autoSpaceDN w:val="0"/>
        <w:adjustRightInd w:val="0"/>
        <w:spacing w:line="516" w:lineRule="auto"/>
        <w:ind w:left="720" w:hanging="357"/>
        <w:rPr>
          <w:color w:val="000000"/>
          <w:szCs w:val="24"/>
        </w:rPr>
      </w:pPr>
      <w:r w:rsidRPr="001823C4">
        <w:rPr>
          <w:color w:val="000000"/>
          <w:szCs w:val="24"/>
        </w:rPr>
        <w:t>Pimpian rumah sakit, pusat kesehatan masyarakat, balai pengobatan, sarana penyimpanan persediaan farmasi milik pemerintah, dan apotek yang mengedarkan narkotika golongan II dan III bukan untuk kepentingan masyarakat.</w:t>
      </w:r>
      <w:r w:rsidRPr="001823C4">
        <w:rPr>
          <w:rStyle w:val="FootnoteReference"/>
          <w:color w:val="000000"/>
        </w:rPr>
        <w:footnoteReference w:id="16"/>
      </w:r>
    </w:p>
    <w:p w:rsidR="003F568C" w:rsidRPr="001823C4" w:rsidRDefault="003F568C" w:rsidP="003F568C">
      <w:pPr>
        <w:pStyle w:val="BodyTextIndent"/>
        <w:numPr>
          <w:ilvl w:val="7"/>
          <w:numId w:val="20"/>
        </w:numPr>
        <w:tabs>
          <w:tab w:val="clear" w:pos="0"/>
          <w:tab w:val="num" w:pos="720"/>
        </w:tabs>
        <w:autoSpaceDE w:val="0"/>
        <w:autoSpaceDN w:val="0"/>
        <w:adjustRightInd w:val="0"/>
        <w:ind w:left="720"/>
        <w:rPr>
          <w:color w:val="000000"/>
          <w:szCs w:val="24"/>
        </w:rPr>
      </w:pPr>
      <w:r w:rsidRPr="001823C4">
        <w:rPr>
          <w:color w:val="000000"/>
          <w:szCs w:val="24"/>
        </w:rPr>
        <w:t>Pimpinan, lembaga ilmu pengetahuan yang menanam, membeli, menyimpan atau menguasai tanaman narkotika bukan untuk kepentingan ilmu pengetahuan.</w:t>
      </w:r>
      <w:r w:rsidRPr="001823C4">
        <w:rPr>
          <w:rStyle w:val="FootnoteReference"/>
          <w:color w:val="000000"/>
        </w:rPr>
        <w:footnoteReference w:id="17"/>
      </w:r>
    </w:p>
    <w:p w:rsidR="003F568C" w:rsidRPr="001823C4" w:rsidRDefault="003F568C" w:rsidP="003F568C">
      <w:pPr>
        <w:pStyle w:val="BodyTextIndent"/>
        <w:numPr>
          <w:ilvl w:val="7"/>
          <w:numId w:val="20"/>
        </w:numPr>
        <w:tabs>
          <w:tab w:val="clear" w:pos="0"/>
          <w:tab w:val="num" w:pos="720"/>
        </w:tabs>
        <w:autoSpaceDE w:val="0"/>
        <w:autoSpaceDN w:val="0"/>
        <w:adjustRightInd w:val="0"/>
        <w:spacing w:line="456" w:lineRule="auto"/>
        <w:ind w:left="714" w:hanging="357"/>
        <w:rPr>
          <w:color w:val="000000"/>
          <w:szCs w:val="24"/>
        </w:rPr>
      </w:pPr>
      <w:r w:rsidRPr="001823C4">
        <w:rPr>
          <w:color w:val="000000"/>
          <w:szCs w:val="24"/>
        </w:rPr>
        <w:t>Pimpinan industri farmasi tertentu yang memproduksi narkotika golongan I bukan untuk kepentingan lembaga ilmu pengetahuan.</w:t>
      </w:r>
      <w:r w:rsidRPr="001823C4">
        <w:rPr>
          <w:rStyle w:val="FootnoteReference"/>
          <w:color w:val="000000"/>
        </w:rPr>
        <w:footnoteReference w:id="18"/>
      </w:r>
    </w:p>
    <w:p w:rsidR="003F568C" w:rsidRPr="001823C4" w:rsidRDefault="003F568C" w:rsidP="003F568C">
      <w:pPr>
        <w:pStyle w:val="BodyTextIndent"/>
        <w:numPr>
          <w:ilvl w:val="7"/>
          <w:numId w:val="20"/>
        </w:numPr>
        <w:tabs>
          <w:tab w:val="clear" w:pos="0"/>
          <w:tab w:val="num" w:pos="720"/>
        </w:tabs>
        <w:autoSpaceDE w:val="0"/>
        <w:autoSpaceDN w:val="0"/>
        <w:adjustRightInd w:val="0"/>
        <w:spacing w:line="456" w:lineRule="auto"/>
        <w:ind w:left="714" w:hanging="357"/>
        <w:rPr>
          <w:color w:val="000000"/>
          <w:szCs w:val="24"/>
        </w:rPr>
      </w:pPr>
      <w:r w:rsidRPr="001823C4">
        <w:rPr>
          <w:color w:val="000000"/>
          <w:szCs w:val="24"/>
        </w:rPr>
        <w:lastRenderedPageBreak/>
        <w:t>Pimpinan pedagang besar farmasi yang mengedarkan narkotika golongan I yaitu bukan untuk kepentingan pengembangan ilmu pengetahuan atau mengedarkan narkotika golongan II dan III bukan untuk kepentingan pelayanan kesehatan dan/atau bukan untuk kepentingan pengembangan ilmu pengetahuan.</w:t>
      </w:r>
      <w:r w:rsidRPr="001823C4">
        <w:rPr>
          <w:rStyle w:val="FootnoteReference"/>
          <w:color w:val="000000"/>
        </w:rPr>
        <w:footnoteReference w:id="19"/>
      </w:r>
    </w:p>
    <w:p w:rsidR="003F568C" w:rsidRPr="001823C4" w:rsidRDefault="003F568C" w:rsidP="003F568C">
      <w:pPr>
        <w:pStyle w:val="BodyTextIndent"/>
        <w:numPr>
          <w:ilvl w:val="7"/>
          <w:numId w:val="20"/>
        </w:numPr>
        <w:tabs>
          <w:tab w:val="clear" w:pos="0"/>
          <w:tab w:val="num" w:pos="720"/>
        </w:tabs>
        <w:autoSpaceDE w:val="0"/>
        <w:autoSpaceDN w:val="0"/>
        <w:adjustRightInd w:val="0"/>
        <w:spacing w:line="456" w:lineRule="auto"/>
        <w:ind w:left="714" w:hanging="357"/>
        <w:rPr>
          <w:color w:val="000000"/>
          <w:szCs w:val="24"/>
        </w:rPr>
      </w:pPr>
      <w:r w:rsidRPr="001823C4">
        <w:rPr>
          <w:color w:val="000000"/>
          <w:szCs w:val="24"/>
        </w:rPr>
        <w:t xml:space="preserve">Nahkoda atau kapten penerbang yang secara melawan hukum tidak melaksanakan ketentuan dalam Pasal 27 atau Pasal 28 (Pasal 139). </w:t>
      </w:r>
    </w:p>
    <w:p w:rsidR="003F568C" w:rsidRPr="001823C4" w:rsidRDefault="003F568C" w:rsidP="003F568C">
      <w:pPr>
        <w:pStyle w:val="BodyTextIndent"/>
        <w:numPr>
          <w:ilvl w:val="7"/>
          <w:numId w:val="20"/>
        </w:numPr>
        <w:tabs>
          <w:tab w:val="clear" w:pos="0"/>
          <w:tab w:val="num" w:pos="720"/>
        </w:tabs>
        <w:autoSpaceDE w:val="0"/>
        <w:autoSpaceDN w:val="0"/>
        <w:adjustRightInd w:val="0"/>
        <w:spacing w:line="456" w:lineRule="auto"/>
        <w:ind w:left="714" w:hanging="357"/>
        <w:rPr>
          <w:color w:val="000000"/>
          <w:szCs w:val="24"/>
        </w:rPr>
      </w:pPr>
      <w:r w:rsidRPr="001823C4">
        <w:rPr>
          <w:color w:val="000000"/>
          <w:szCs w:val="24"/>
        </w:rPr>
        <w:t xml:space="preserve">Penyidik Pengawai Negeri Sipil yang secara melawan hukum tidak melaksanakan ketentuan dalam Pasal 88 dan Pasal 89 (Pasal 140 ayat (1)). </w:t>
      </w:r>
    </w:p>
    <w:p w:rsidR="003F568C" w:rsidRPr="001823C4" w:rsidRDefault="003F568C" w:rsidP="003F568C">
      <w:pPr>
        <w:pStyle w:val="BodyTextIndent"/>
        <w:numPr>
          <w:ilvl w:val="7"/>
          <w:numId w:val="20"/>
        </w:numPr>
        <w:tabs>
          <w:tab w:val="clear" w:pos="0"/>
          <w:tab w:val="num" w:pos="720"/>
        </w:tabs>
        <w:autoSpaceDE w:val="0"/>
        <w:autoSpaceDN w:val="0"/>
        <w:adjustRightInd w:val="0"/>
        <w:spacing w:line="456" w:lineRule="auto"/>
        <w:ind w:left="714" w:hanging="357"/>
        <w:rPr>
          <w:color w:val="000000"/>
          <w:szCs w:val="24"/>
        </w:rPr>
      </w:pPr>
      <w:r w:rsidRPr="001823C4">
        <w:rPr>
          <w:color w:val="000000"/>
          <w:szCs w:val="24"/>
        </w:rPr>
        <w:t xml:space="preserve">Penyidik Kepolisian Negara Republik Indonesia dan penyidik BNN yang tidak melaksanakan ketentuan dalam Pasal 87, Pasal 89, Pasal 90, Pasal 91 ayat (2), dan ayat (3), dan Pasal 92 ayat (1), ayat (2), ayat (3) dan ayat (4) (Pasal 140 ayat (2)). </w:t>
      </w:r>
    </w:p>
    <w:p w:rsidR="003F568C" w:rsidRPr="001823C4" w:rsidRDefault="003F568C" w:rsidP="003F568C">
      <w:pPr>
        <w:pStyle w:val="BodyTextIndent"/>
        <w:numPr>
          <w:ilvl w:val="7"/>
          <w:numId w:val="20"/>
        </w:numPr>
        <w:tabs>
          <w:tab w:val="clear" w:pos="0"/>
          <w:tab w:val="num" w:pos="720"/>
        </w:tabs>
        <w:autoSpaceDE w:val="0"/>
        <w:autoSpaceDN w:val="0"/>
        <w:adjustRightInd w:val="0"/>
        <w:spacing w:line="456" w:lineRule="auto"/>
        <w:ind w:left="720" w:hanging="357"/>
        <w:rPr>
          <w:color w:val="000000"/>
          <w:szCs w:val="24"/>
        </w:rPr>
      </w:pPr>
      <w:r w:rsidRPr="001823C4">
        <w:rPr>
          <w:color w:val="000000"/>
          <w:szCs w:val="24"/>
        </w:rPr>
        <w:t xml:space="preserve">Kepala Kejaksaan Negeri yang secara melawan hukum tidak melaksanakan ketentuan dalam Pasal 91 ayat (1) pidana penjara dan pidana denda (Pasal 141). </w:t>
      </w:r>
    </w:p>
    <w:p w:rsidR="003F568C" w:rsidRPr="001823C4" w:rsidRDefault="003F568C" w:rsidP="003F568C">
      <w:pPr>
        <w:pStyle w:val="BodyTextIndent"/>
        <w:numPr>
          <w:ilvl w:val="7"/>
          <w:numId w:val="20"/>
        </w:numPr>
        <w:tabs>
          <w:tab w:val="clear" w:pos="0"/>
          <w:tab w:val="num" w:pos="720"/>
        </w:tabs>
        <w:autoSpaceDE w:val="0"/>
        <w:autoSpaceDN w:val="0"/>
        <w:adjustRightInd w:val="0"/>
        <w:spacing w:line="456" w:lineRule="auto"/>
        <w:ind w:left="720" w:hanging="357"/>
        <w:rPr>
          <w:color w:val="000000"/>
          <w:szCs w:val="24"/>
        </w:rPr>
      </w:pPr>
      <w:r w:rsidRPr="001823C4">
        <w:rPr>
          <w:color w:val="000000"/>
          <w:szCs w:val="24"/>
        </w:rPr>
        <w:t>Petugas Laboratorium yang memalsukan hasil pengujian atau secara melawan hukum tidak melakukan kewajiban tidak melaporkan hasil pengujiannya kepada penyidik atau penuntut umum, dipidana dengan pidana penjara dan pidana denda.</w:t>
      </w:r>
      <w:r w:rsidRPr="001823C4">
        <w:rPr>
          <w:rStyle w:val="FootnoteReference"/>
          <w:color w:val="000000"/>
        </w:rPr>
        <w:footnoteReference w:id="20"/>
      </w:r>
    </w:p>
    <w:p w:rsidR="003F568C" w:rsidRPr="001823C4" w:rsidRDefault="003F568C" w:rsidP="003F568C">
      <w:pPr>
        <w:pStyle w:val="BodyTextIndent"/>
        <w:numPr>
          <w:ilvl w:val="7"/>
          <w:numId w:val="20"/>
        </w:numPr>
        <w:tabs>
          <w:tab w:val="clear" w:pos="0"/>
          <w:tab w:val="num" w:pos="720"/>
        </w:tabs>
        <w:autoSpaceDE w:val="0"/>
        <w:autoSpaceDN w:val="0"/>
        <w:adjustRightInd w:val="0"/>
        <w:spacing w:line="456" w:lineRule="auto"/>
        <w:ind w:left="720" w:hanging="357"/>
        <w:rPr>
          <w:color w:val="000000"/>
          <w:szCs w:val="24"/>
        </w:rPr>
      </w:pPr>
      <w:r w:rsidRPr="001823C4">
        <w:rPr>
          <w:color w:val="000000"/>
          <w:szCs w:val="24"/>
        </w:rPr>
        <w:lastRenderedPageBreak/>
        <w:t xml:space="preserve">Ketentuan lain dalam rangka pemeriksaan terhadap tindak pidana narkotik, meliputi: </w:t>
      </w:r>
    </w:p>
    <w:p w:rsidR="003F568C" w:rsidRPr="001823C4" w:rsidRDefault="003F568C" w:rsidP="003F568C">
      <w:pPr>
        <w:pStyle w:val="BodyTextIndent"/>
        <w:numPr>
          <w:ilvl w:val="0"/>
          <w:numId w:val="14"/>
        </w:numPr>
        <w:tabs>
          <w:tab w:val="clear" w:pos="0"/>
        </w:tabs>
        <w:autoSpaceDE w:val="0"/>
        <w:autoSpaceDN w:val="0"/>
        <w:adjustRightInd w:val="0"/>
        <w:spacing w:line="456" w:lineRule="auto"/>
        <w:ind w:hanging="357"/>
        <w:rPr>
          <w:color w:val="000000"/>
          <w:szCs w:val="24"/>
        </w:rPr>
      </w:pPr>
      <w:r w:rsidRPr="001823C4">
        <w:rPr>
          <w:color w:val="000000"/>
          <w:szCs w:val="24"/>
        </w:rPr>
        <w:t>Menghalang-halangi atau mempersulit penyidikan serta penuntutan dan pemeriksaan perkara tindak pidana narkotika dan/atau tindak pidana prekusor narkotika di muka sidang pengadilan.</w:t>
      </w:r>
      <w:r w:rsidRPr="001823C4">
        <w:rPr>
          <w:rStyle w:val="FootnoteReference"/>
          <w:color w:val="000000"/>
        </w:rPr>
        <w:footnoteReference w:id="21"/>
      </w:r>
    </w:p>
    <w:p w:rsidR="003F568C" w:rsidRPr="001823C4" w:rsidRDefault="003F568C" w:rsidP="003F568C">
      <w:pPr>
        <w:pStyle w:val="BodyTextIndent"/>
        <w:numPr>
          <w:ilvl w:val="0"/>
          <w:numId w:val="14"/>
        </w:numPr>
        <w:tabs>
          <w:tab w:val="clear" w:pos="0"/>
        </w:tabs>
        <w:autoSpaceDE w:val="0"/>
        <w:autoSpaceDN w:val="0"/>
        <w:adjustRightInd w:val="0"/>
        <w:spacing w:line="456" w:lineRule="auto"/>
        <w:ind w:hanging="357"/>
        <w:rPr>
          <w:color w:val="000000"/>
          <w:szCs w:val="24"/>
        </w:rPr>
      </w:pPr>
      <w:r w:rsidRPr="001823C4">
        <w:rPr>
          <w:color w:val="000000"/>
          <w:szCs w:val="24"/>
        </w:rPr>
        <w:t>Narkotika dan prekusor narkotika serta hasil-hasil yang diperoleh dari tindak pidana prekusor narkotika dan/atau tindak pidana prekusor narkotika, baik berupa asset dalam bentuk benda bergerak maupun tidak bergerak, berwujud atau tidak berwujud serta barang-barang atau peralatan yang digunakan untuk melakukan tindak pidana narkotika dan tindak pidana prekusor narkotika dirampas untuk negara.</w:t>
      </w:r>
    </w:p>
    <w:p w:rsidR="003F568C" w:rsidRPr="001823C4" w:rsidRDefault="003F568C" w:rsidP="003F568C">
      <w:pPr>
        <w:pStyle w:val="BodyTextIndent"/>
        <w:numPr>
          <w:ilvl w:val="0"/>
          <w:numId w:val="14"/>
        </w:numPr>
        <w:tabs>
          <w:tab w:val="clear" w:pos="0"/>
        </w:tabs>
        <w:autoSpaceDE w:val="0"/>
        <w:autoSpaceDN w:val="0"/>
        <w:adjustRightInd w:val="0"/>
        <w:rPr>
          <w:color w:val="000000"/>
          <w:szCs w:val="24"/>
        </w:rPr>
      </w:pPr>
      <w:r w:rsidRPr="001823C4">
        <w:rPr>
          <w:color w:val="000000"/>
          <w:szCs w:val="24"/>
        </w:rPr>
        <w:t>Saksi yang memberikan keterangan tidak benar dalam pemeriksaan perkara tindak pidana narkotika dan prekusor narkotika di muka pengadilan dipidana dengan pidana penjara dan pidana denda.</w:t>
      </w:r>
      <w:r w:rsidRPr="001823C4">
        <w:rPr>
          <w:rStyle w:val="FootnoteReference"/>
          <w:color w:val="000000"/>
        </w:rPr>
        <w:footnoteReference w:id="22"/>
      </w:r>
    </w:p>
    <w:p w:rsidR="003F568C" w:rsidRPr="001823C4" w:rsidRDefault="003F568C" w:rsidP="003F568C">
      <w:pPr>
        <w:numPr>
          <w:ilvl w:val="4"/>
          <w:numId w:val="8"/>
        </w:numPr>
        <w:spacing w:line="516" w:lineRule="auto"/>
        <w:ind w:left="360"/>
        <w:jc w:val="both"/>
        <w:rPr>
          <w:b/>
          <w:color w:val="000000"/>
        </w:rPr>
      </w:pPr>
      <w:r w:rsidRPr="001823C4">
        <w:rPr>
          <w:b/>
        </w:rPr>
        <w:t>Penegakan Hukum Terhadap Pecandu Narkotika Menurut Undang-Undang Nomor 35 Tahun 2009 Tentang Narkotika</w:t>
      </w:r>
    </w:p>
    <w:p w:rsidR="003F568C" w:rsidRPr="001823C4" w:rsidRDefault="003F568C" w:rsidP="003F568C">
      <w:pPr>
        <w:spacing w:line="516" w:lineRule="auto"/>
        <w:ind w:firstLine="720"/>
        <w:jc w:val="both"/>
      </w:pPr>
      <w:r w:rsidRPr="001823C4">
        <w:rPr>
          <w:color w:val="000000"/>
        </w:rPr>
        <w:t>Undang-Undang No. 35 Tahun 2009 tentang Narkotika</w:t>
      </w:r>
      <w:r w:rsidRPr="001823C4">
        <w:t xml:space="preserve"> memiliki kencenderungan mengkriminalisasi orang, baik produsen, distributor, konsumen dan masyarakat dengan mencantumkan ketentuan pidana sebanyak 39 pasal dari 150 pasal yang diatur dalam undang-undang tersebut. </w:t>
      </w:r>
      <w:r w:rsidRPr="001823C4">
        <w:rPr>
          <w:color w:val="000000"/>
        </w:rPr>
        <w:t>Undang-Undang No. 35 Tahun 2009 tentang Narkotika</w:t>
      </w:r>
      <w:r w:rsidRPr="001823C4">
        <w:t xml:space="preserve"> menggunakan pendekatan pidana untuk melakukan </w:t>
      </w:r>
      <w:r w:rsidRPr="001823C4">
        <w:lastRenderedPageBreak/>
        <w:t>pengawasan dan pencegahan terhadap penyalahgunaan narkotika. Penggunaan pidana masih dianggap sebagai suatu upaya untuk menakut-nakuti agar tidak terjadinya penggunaan narkotika.</w:t>
      </w:r>
      <w:r w:rsidRPr="001823C4">
        <w:rPr>
          <w:rStyle w:val="FootnoteReference"/>
        </w:rPr>
        <w:footnoteReference w:id="23"/>
      </w:r>
    </w:p>
    <w:p w:rsidR="003F568C" w:rsidRPr="001823C4" w:rsidRDefault="003F568C" w:rsidP="003F568C">
      <w:pPr>
        <w:spacing w:line="480" w:lineRule="auto"/>
        <w:ind w:firstLine="720"/>
        <w:jc w:val="both"/>
        <w:rPr>
          <w:color w:val="000000"/>
        </w:rPr>
      </w:pPr>
      <w:r w:rsidRPr="001823C4">
        <w:rPr>
          <w:color w:val="000000"/>
        </w:rPr>
        <w:t xml:space="preserve">Ketentuan pidana yang diatur di dalam Undang-Undang No. 35 Tahun 2009 tentang Narkotikasebagai berikut : </w:t>
      </w:r>
    </w:p>
    <w:p w:rsidR="003F568C" w:rsidRPr="001823C4" w:rsidRDefault="003F568C" w:rsidP="003F568C">
      <w:pPr>
        <w:numPr>
          <w:ilvl w:val="5"/>
          <w:numId w:val="16"/>
        </w:numPr>
        <w:ind w:left="1080"/>
        <w:jc w:val="both"/>
        <w:rPr>
          <w:color w:val="000000"/>
        </w:rPr>
      </w:pPr>
      <w:r w:rsidRPr="001823C4">
        <w:rPr>
          <w:color w:val="000000"/>
        </w:rPr>
        <w:t>Tidak mementingkan unsur kesengajaan dalam tindak pidana narkotika</w:t>
      </w:r>
    </w:p>
    <w:p w:rsidR="003F568C" w:rsidRPr="001823C4" w:rsidRDefault="003F568C" w:rsidP="003F568C">
      <w:pPr>
        <w:ind w:left="1080"/>
        <w:jc w:val="both"/>
        <w:rPr>
          <w:color w:val="000000"/>
        </w:rPr>
      </w:pPr>
      <w:r w:rsidRPr="001823C4">
        <w:rPr>
          <w:color w:val="000000"/>
        </w:rPr>
        <w:t>Penggunaan kata “setiap orang tanpa hak dan melawan hukum” dalam beberapa pasal Undang-Undang No. 35 Tahun 2009 tentang Narkotika dengan tidak memperdulikan unsur kesengajaan, dapat menjerat orang-orang yang memang sebenarnya tidak mempunyai niatan melakukan tindak pidana narkotika, baik karena adanya paksaan, desakan, ataupun ketidaktahuan.</w:t>
      </w:r>
    </w:p>
    <w:p w:rsidR="003F568C" w:rsidRPr="001823C4" w:rsidRDefault="003F568C" w:rsidP="003F568C">
      <w:pPr>
        <w:numPr>
          <w:ilvl w:val="5"/>
          <w:numId w:val="16"/>
        </w:numPr>
        <w:ind w:left="1080"/>
        <w:jc w:val="both"/>
        <w:rPr>
          <w:color w:val="000000"/>
        </w:rPr>
      </w:pPr>
      <w:r w:rsidRPr="001823C4">
        <w:rPr>
          <w:color w:val="000000"/>
        </w:rPr>
        <w:t>Penggunaan sistem pidana minimal</w:t>
      </w:r>
    </w:p>
    <w:p w:rsidR="003F568C" w:rsidRPr="001823C4" w:rsidRDefault="003F568C" w:rsidP="003F568C">
      <w:pPr>
        <w:ind w:left="1080"/>
        <w:jc w:val="both"/>
        <w:rPr>
          <w:color w:val="000000"/>
        </w:rPr>
      </w:pPr>
      <w:r w:rsidRPr="001823C4">
        <w:rPr>
          <w:color w:val="000000"/>
        </w:rPr>
        <w:t>Penggunaan sistem pidana minimal dalam Undang-Undang No. 35 Tahun 2009 tentang Narkotika memperkuat asumsi bahwa undang-undang tersebut memang diberlakukan untuk memidanakan masyarakat yang berhubungan dengan narkotika. Penggunaan pidana minimal juga akan menutup hakim dalam menjatuhkan putusan walaupun di dalam prakteknya, hakim dapat menjatuhkan putusan kurang dari pidana minimal dan hal tersebut diperbolehkan oleh Ketua Mahkamah Agung.</w:t>
      </w:r>
    </w:p>
    <w:p w:rsidR="003F568C" w:rsidRPr="001823C4" w:rsidRDefault="003F568C" w:rsidP="003F568C">
      <w:pPr>
        <w:numPr>
          <w:ilvl w:val="5"/>
          <w:numId w:val="16"/>
        </w:numPr>
        <w:ind w:left="1080"/>
        <w:jc w:val="both"/>
        <w:rPr>
          <w:color w:val="000000"/>
        </w:rPr>
      </w:pPr>
      <w:r w:rsidRPr="001823C4">
        <w:rPr>
          <w:color w:val="000000"/>
        </w:rPr>
        <w:t xml:space="preserve">Kriminalisasi bagi orang tua dan masyarakat; </w:t>
      </w:r>
    </w:p>
    <w:p w:rsidR="003F568C" w:rsidRPr="001823C4" w:rsidRDefault="003F568C" w:rsidP="003F568C">
      <w:pPr>
        <w:ind w:left="1080"/>
        <w:jc w:val="both"/>
        <w:rPr>
          <w:color w:val="000000"/>
        </w:rPr>
      </w:pPr>
      <w:r w:rsidRPr="001823C4">
        <w:rPr>
          <w:color w:val="000000"/>
        </w:rPr>
        <w:t>Undang-Undang No. 35 Tahun 2009 tentang Narkotika memberikan ancaman hukuman pidana (6 bulan kurungan) bagi orang tua yang sengaja tidak melaporkan anaknya yang menggunakan narkotika untuk mendapatkan rehabilitasi. Meskipun unsur “kesengajaan tidak melapor” tersebut harus dibuktikan terlebih dahulu, unsur tersebut tidak mengecualikan orang tua yang tidak mengetahui bahwa zat yang dikonsumsi anaknya adalah narkotika.</w:t>
      </w:r>
    </w:p>
    <w:p w:rsidR="003F568C" w:rsidRPr="001823C4" w:rsidRDefault="003F568C" w:rsidP="003F568C">
      <w:pPr>
        <w:numPr>
          <w:ilvl w:val="5"/>
          <w:numId w:val="16"/>
        </w:numPr>
        <w:ind w:left="1080"/>
        <w:jc w:val="both"/>
        <w:rPr>
          <w:color w:val="000000"/>
        </w:rPr>
      </w:pPr>
      <w:r w:rsidRPr="001823C4">
        <w:rPr>
          <w:color w:val="000000"/>
        </w:rPr>
        <w:t xml:space="preserve">Persamaan hukuman bagi percobaan dan tindak pidana selesai; </w:t>
      </w:r>
    </w:p>
    <w:p w:rsidR="003F568C" w:rsidRPr="001823C4" w:rsidRDefault="003F568C" w:rsidP="003F568C">
      <w:pPr>
        <w:ind w:left="1080"/>
        <w:jc w:val="both"/>
        <w:rPr>
          <w:color w:val="000000"/>
        </w:rPr>
      </w:pPr>
      <w:r w:rsidRPr="001823C4">
        <w:rPr>
          <w:color w:val="000000"/>
        </w:rPr>
        <w:t xml:space="preserve">Undang-Undang No. 35 Tahun 2009 tentang Narkotika menyamakan hukuman pidana bagi pelaku tidak pidana selesai dengan pelaku tidak pidana percobaan. Tindak Pidana Narkotika adalah suatu </w:t>
      </w:r>
      <w:r w:rsidRPr="001823C4">
        <w:t xml:space="preserve">kejahatan karena perbuatan tersebut memiliki efek yang buruk. Delik percobaan mensyaratkan suatu tindak pidana tersebut terjadi, sehingga akibat tindak pidana tersebut tidak selesai, sehingga seharusnya pemidanaan </w:t>
      </w:r>
      <w:r w:rsidRPr="001823C4">
        <w:lastRenderedPageBreak/>
        <w:t>antara pelaku tidak pidana percobaan dan pelaku tidak pidana selesai harus dibedakan</w:t>
      </w:r>
      <w:r w:rsidRPr="001823C4">
        <w:rPr>
          <w:rStyle w:val="FootnoteReference"/>
          <w:color w:val="000000"/>
        </w:rPr>
        <w:footnoteReference w:id="24"/>
      </w:r>
    </w:p>
    <w:p w:rsidR="003F568C" w:rsidRPr="001823C4" w:rsidRDefault="003F568C" w:rsidP="003F568C">
      <w:pPr>
        <w:ind w:firstLine="720"/>
        <w:jc w:val="both"/>
      </w:pPr>
    </w:p>
    <w:p w:rsidR="003F568C" w:rsidRPr="001823C4" w:rsidRDefault="003F568C" w:rsidP="003F568C">
      <w:pPr>
        <w:spacing w:line="444" w:lineRule="auto"/>
        <w:ind w:firstLine="720"/>
        <w:jc w:val="both"/>
      </w:pPr>
      <w:r w:rsidRPr="001823C4">
        <w:t xml:space="preserve">Secara garis besar ketentuan pidana dalam </w:t>
      </w:r>
      <w:r w:rsidRPr="001823C4">
        <w:rPr>
          <w:color w:val="000000"/>
        </w:rPr>
        <w:t xml:space="preserve">Undang-Undang No. 35 Tahun 2009 tentang Narkotika </w:t>
      </w:r>
      <w:r w:rsidRPr="001823C4">
        <w:t>sebagai berikut :</w:t>
      </w:r>
    </w:p>
    <w:p w:rsidR="003F568C" w:rsidRPr="001823C4" w:rsidRDefault="003F568C" w:rsidP="003F568C">
      <w:pPr>
        <w:numPr>
          <w:ilvl w:val="3"/>
          <w:numId w:val="23"/>
        </w:numPr>
        <w:autoSpaceDE w:val="0"/>
        <w:autoSpaceDN w:val="0"/>
        <w:adjustRightInd w:val="0"/>
        <w:spacing w:line="444" w:lineRule="auto"/>
        <w:ind w:left="360"/>
        <w:jc w:val="both"/>
        <w:rPr>
          <w:color w:val="000000"/>
        </w:rPr>
      </w:pPr>
      <w:r w:rsidRPr="001823C4">
        <w:rPr>
          <w:bCs/>
          <w:color w:val="000000"/>
        </w:rPr>
        <w:t xml:space="preserve">Penanam </w:t>
      </w:r>
    </w:p>
    <w:p w:rsidR="003F568C" w:rsidRPr="001823C4" w:rsidRDefault="003F568C" w:rsidP="003F568C">
      <w:pPr>
        <w:autoSpaceDE w:val="0"/>
        <w:autoSpaceDN w:val="0"/>
        <w:adjustRightInd w:val="0"/>
        <w:spacing w:line="444" w:lineRule="auto"/>
        <w:ind w:firstLine="720"/>
        <w:jc w:val="both"/>
        <w:rPr>
          <w:color w:val="000000"/>
        </w:rPr>
      </w:pPr>
      <w:r w:rsidRPr="001823C4">
        <w:t>Menanam, memelihara, memiliki, menyimpan, menguasai, atau menyediakan Narkotika Golongan I, Golongan II dan Golongan III, dikenakan ketentuan pidana :</w:t>
      </w:r>
    </w:p>
    <w:p w:rsidR="003F568C" w:rsidRPr="001823C4" w:rsidRDefault="003F568C" w:rsidP="003F568C">
      <w:pPr>
        <w:numPr>
          <w:ilvl w:val="1"/>
          <w:numId w:val="14"/>
        </w:numPr>
        <w:autoSpaceDE w:val="0"/>
        <w:autoSpaceDN w:val="0"/>
        <w:adjustRightInd w:val="0"/>
        <w:spacing w:line="480" w:lineRule="auto"/>
        <w:ind w:left="360"/>
        <w:jc w:val="both"/>
        <w:rPr>
          <w:color w:val="000000"/>
        </w:rPr>
      </w:pPr>
      <w:r w:rsidRPr="001823C4">
        <w:rPr>
          <w:color w:val="000000"/>
        </w:rPr>
        <w:t>Golongan I. Diancam pidana paling singkat empat tahun dan paling lama seumur hidup, denda paling sedikit delapan ratus juta rupiah dan paling banyak delapan miliar rupiah dalam bentuk tanaman dan bukan tanaman,  apabila beratnya melebihi satu kilogram atau melebihi lima batang pohon (dalam bentuk tanaman) dan melebihi lima gram (bukan tanaman), maka denda maksimum ditambah sepertiga.</w:t>
      </w:r>
      <w:r w:rsidRPr="001823C4">
        <w:rPr>
          <w:rStyle w:val="FootnoteReference"/>
          <w:color w:val="000000"/>
        </w:rPr>
        <w:footnoteReference w:id="25"/>
      </w:r>
    </w:p>
    <w:p w:rsidR="003F568C" w:rsidRPr="001823C4" w:rsidRDefault="003F568C" w:rsidP="003F568C">
      <w:pPr>
        <w:numPr>
          <w:ilvl w:val="1"/>
          <w:numId w:val="14"/>
        </w:numPr>
        <w:autoSpaceDE w:val="0"/>
        <w:autoSpaceDN w:val="0"/>
        <w:adjustRightInd w:val="0"/>
        <w:spacing w:line="480" w:lineRule="auto"/>
        <w:ind w:left="360"/>
        <w:jc w:val="both"/>
        <w:rPr>
          <w:color w:val="000000"/>
        </w:rPr>
      </w:pPr>
      <w:r w:rsidRPr="001823C4">
        <w:rPr>
          <w:color w:val="000000"/>
        </w:rPr>
        <w:t>Golongan II. Dipidana dengan pidana penjara paling singkat tiga tahun dan paling lama lima belas tahun, denda paling sedikit enam ratus juta rupiah dan paling banyak lima miliar rupiah, apabila beratnya melebihi lima gram, maka pidana denda maksimum ditambah sepertiga.</w:t>
      </w:r>
      <w:r w:rsidRPr="001823C4">
        <w:rPr>
          <w:rStyle w:val="FootnoteReference"/>
          <w:color w:val="000000"/>
        </w:rPr>
        <w:footnoteReference w:id="26"/>
      </w:r>
    </w:p>
    <w:p w:rsidR="003F568C" w:rsidRPr="001823C4" w:rsidRDefault="003F568C" w:rsidP="003F568C">
      <w:pPr>
        <w:numPr>
          <w:ilvl w:val="1"/>
          <w:numId w:val="14"/>
        </w:numPr>
        <w:autoSpaceDE w:val="0"/>
        <w:autoSpaceDN w:val="0"/>
        <w:adjustRightInd w:val="0"/>
        <w:spacing w:line="480" w:lineRule="auto"/>
        <w:ind w:left="360"/>
        <w:jc w:val="both"/>
        <w:rPr>
          <w:color w:val="000000"/>
        </w:rPr>
      </w:pPr>
      <w:r w:rsidRPr="001823C4">
        <w:rPr>
          <w:color w:val="000000"/>
        </w:rPr>
        <w:t xml:space="preserve">Golongan III. Dipidana penjara paling singkat dua tahun dan paling lama sepuluh tahun. Denda paling sedikit empat ratus juta rupiah dan paling banyak </w:t>
      </w:r>
      <w:r w:rsidRPr="001823C4">
        <w:rPr>
          <w:color w:val="000000"/>
        </w:rPr>
        <w:lastRenderedPageBreak/>
        <w:t>tiga miliar rupiah, apabila beratnya melebihi lima gram, maka pidana denda maksimum ditambah sepertiga.</w:t>
      </w:r>
      <w:r w:rsidRPr="001823C4">
        <w:rPr>
          <w:rStyle w:val="FootnoteReference"/>
          <w:color w:val="000000"/>
        </w:rPr>
        <w:footnoteReference w:id="27"/>
      </w:r>
    </w:p>
    <w:p w:rsidR="003F568C" w:rsidRPr="001823C4" w:rsidRDefault="003F568C" w:rsidP="003F568C">
      <w:pPr>
        <w:numPr>
          <w:ilvl w:val="3"/>
          <w:numId w:val="23"/>
        </w:numPr>
        <w:autoSpaceDE w:val="0"/>
        <w:autoSpaceDN w:val="0"/>
        <w:adjustRightInd w:val="0"/>
        <w:spacing w:line="480" w:lineRule="auto"/>
        <w:ind w:left="360"/>
        <w:jc w:val="both"/>
        <w:rPr>
          <w:color w:val="000000"/>
        </w:rPr>
      </w:pPr>
      <w:r w:rsidRPr="001823C4">
        <w:rPr>
          <w:color w:val="000000"/>
        </w:rPr>
        <w:t>Pengedar</w:t>
      </w:r>
    </w:p>
    <w:p w:rsidR="003F568C" w:rsidRPr="001823C4" w:rsidRDefault="003F568C" w:rsidP="003F568C">
      <w:pPr>
        <w:autoSpaceDE w:val="0"/>
        <w:autoSpaceDN w:val="0"/>
        <w:adjustRightInd w:val="0"/>
        <w:spacing w:line="480" w:lineRule="auto"/>
        <w:ind w:firstLine="720"/>
        <w:jc w:val="both"/>
      </w:pPr>
      <w:r w:rsidRPr="001823C4">
        <w:t>Membawa, mengirim, mengangkut atau mentransito, menawarkan untuk dijual, menjual, membeli, menerima, menjadi perantara dalam jual beli, menukar atau menyerahkan Narkotika Golongan I, Golongan II, dan Golongan III. Dikenakan ketentuan pidana :</w:t>
      </w:r>
    </w:p>
    <w:p w:rsidR="003F568C" w:rsidRPr="001823C4" w:rsidRDefault="003F568C" w:rsidP="003F568C">
      <w:pPr>
        <w:numPr>
          <w:ilvl w:val="0"/>
          <w:numId w:val="39"/>
        </w:numPr>
        <w:autoSpaceDE w:val="0"/>
        <w:autoSpaceDN w:val="0"/>
        <w:adjustRightInd w:val="0"/>
        <w:spacing w:line="480" w:lineRule="auto"/>
        <w:ind w:left="360"/>
        <w:jc w:val="both"/>
        <w:rPr>
          <w:color w:val="000000"/>
        </w:rPr>
      </w:pPr>
      <w:r w:rsidRPr="001823C4">
        <w:rPr>
          <w:color w:val="000000"/>
        </w:rPr>
        <w:t>Golongan I. Diancam pidana penjara paling singkat empat tahun dan maksimum pidana penjara seumur hidup atau pidana mati. Denda paling sedikit delapan ratus juta rupiah dan paling banyak sepuluh miliar rupiah, apabila beratnya melebihi satu kilogram atau melibihi lima batang pohon  (untuk tanaman) dan melebihi lima gram (bukan tanaman), maka pidana denda maksimum ditambah sepertiga.</w:t>
      </w:r>
      <w:r w:rsidRPr="001823C4">
        <w:rPr>
          <w:rStyle w:val="FootnoteReference"/>
          <w:color w:val="000000"/>
        </w:rPr>
        <w:footnoteReference w:id="28"/>
      </w:r>
    </w:p>
    <w:p w:rsidR="003F568C" w:rsidRPr="001823C4" w:rsidRDefault="003F568C" w:rsidP="003F568C">
      <w:pPr>
        <w:numPr>
          <w:ilvl w:val="1"/>
          <w:numId w:val="20"/>
        </w:numPr>
        <w:autoSpaceDE w:val="0"/>
        <w:autoSpaceDN w:val="0"/>
        <w:adjustRightInd w:val="0"/>
        <w:spacing w:line="432" w:lineRule="auto"/>
        <w:ind w:left="360"/>
        <w:jc w:val="both"/>
        <w:rPr>
          <w:color w:val="000000"/>
        </w:rPr>
      </w:pPr>
      <w:r w:rsidRPr="001823C4">
        <w:rPr>
          <w:color w:val="000000"/>
        </w:rPr>
        <w:t>Golongan II. Diancam pidana penjara paling singkat tiga tahun dan maksimum pidana penjara seumur hidup atau pidana mati. Denda paling sedikit enam ratus juta rupiah dan paling banyak delapan miliar rupiah. Apabila beratnya melebihi lima gram, maka pidana denda maksimum ditambah sepertiga.</w:t>
      </w:r>
      <w:r w:rsidRPr="001823C4">
        <w:rPr>
          <w:rStyle w:val="FootnoteReference"/>
          <w:color w:val="000000"/>
        </w:rPr>
        <w:footnoteReference w:id="29"/>
      </w:r>
    </w:p>
    <w:p w:rsidR="003F568C" w:rsidRPr="001823C4" w:rsidRDefault="003F568C" w:rsidP="003F568C">
      <w:pPr>
        <w:numPr>
          <w:ilvl w:val="1"/>
          <w:numId w:val="20"/>
        </w:numPr>
        <w:autoSpaceDE w:val="0"/>
        <w:autoSpaceDN w:val="0"/>
        <w:adjustRightInd w:val="0"/>
        <w:spacing w:line="480" w:lineRule="auto"/>
        <w:ind w:left="360"/>
        <w:jc w:val="both"/>
        <w:rPr>
          <w:color w:val="000000"/>
        </w:rPr>
      </w:pPr>
      <w:r w:rsidRPr="001823C4">
        <w:rPr>
          <w:color w:val="000000"/>
        </w:rPr>
        <w:t xml:space="preserve">Golongan III. Diancam dengan pidana penjara paling singkat dua tahun dan paling lama lima belas tahun. Denda paling sedikit enam ratus juta rupiah dan </w:t>
      </w:r>
      <w:r w:rsidRPr="001823C4">
        <w:rPr>
          <w:color w:val="000000"/>
        </w:rPr>
        <w:lastRenderedPageBreak/>
        <w:t>paling banyak lima miliar rupiah. Apabila beratnya melebihi lima gram, maka pidana denda maksimum ditambah sepertiga.</w:t>
      </w:r>
      <w:r w:rsidRPr="001823C4">
        <w:rPr>
          <w:rStyle w:val="FootnoteReference"/>
          <w:color w:val="000000"/>
        </w:rPr>
        <w:footnoteReference w:id="30"/>
      </w:r>
    </w:p>
    <w:p w:rsidR="003F568C" w:rsidRPr="001823C4" w:rsidRDefault="003F568C" w:rsidP="003F568C">
      <w:pPr>
        <w:numPr>
          <w:ilvl w:val="3"/>
          <w:numId w:val="23"/>
        </w:numPr>
        <w:autoSpaceDE w:val="0"/>
        <w:autoSpaceDN w:val="0"/>
        <w:adjustRightInd w:val="0"/>
        <w:spacing w:line="480" w:lineRule="auto"/>
        <w:ind w:left="360"/>
        <w:rPr>
          <w:color w:val="000000"/>
        </w:rPr>
      </w:pPr>
      <w:r w:rsidRPr="001823C4">
        <w:rPr>
          <w:color w:val="000000"/>
        </w:rPr>
        <w:t>Produsen</w:t>
      </w:r>
    </w:p>
    <w:p w:rsidR="003F568C" w:rsidRPr="001823C4" w:rsidRDefault="003F568C" w:rsidP="003F568C">
      <w:pPr>
        <w:autoSpaceDE w:val="0"/>
        <w:autoSpaceDN w:val="0"/>
        <w:adjustRightInd w:val="0"/>
        <w:spacing w:line="504" w:lineRule="auto"/>
        <w:ind w:firstLine="720"/>
        <w:jc w:val="both"/>
        <w:rPr>
          <w:color w:val="000000"/>
        </w:rPr>
      </w:pPr>
      <w:r w:rsidRPr="001823C4">
        <w:rPr>
          <w:color w:val="000000"/>
        </w:rPr>
        <w:t xml:space="preserve">Memproduksi, mengimpor, mengekspor, atau menyalurkan Narkotika Golongan I, Golongan II, dan Golongan III, dikenakan dengan pidana : </w:t>
      </w:r>
    </w:p>
    <w:p w:rsidR="003F568C" w:rsidRPr="001823C4" w:rsidRDefault="003F568C" w:rsidP="003F568C">
      <w:pPr>
        <w:numPr>
          <w:ilvl w:val="1"/>
          <w:numId w:val="22"/>
        </w:numPr>
        <w:tabs>
          <w:tab w:val="clear" w:pos="2520"/>
          <w:tab w:val="num" w:pos="360"/>
        </w:tabs>
        <w:autoSpaceDE w:val="0"/>
        <w:autoSpaceDN w:val="0"/>
        <w:adjustRightInd w:val="0"/>
        <w:spacing w:line="516" w:lineRule="auto"/>
        <w:ind w:left="357" w:hanging="357"/>
        <w:jc w:val="both"/>
        <w:rPr>
          <w:color w:val="000000"/>
        </w:rPr>
      </w:pPr>
      <w:r w:rsidRPr="001823C4">
        <w:rPr>
          <w:color w:val="000000"/>
        </w:rPr>
        <w:t>Golongan I. Dipidana dengan pidana penjara paling singkat lima tahun dan maksimum pidana penjara seumur hidup atau pidana mati. Pidana denda paling sedikit satu miliar rupiah dan paling banyak sepuluh miliar rupiah. Apabila beratnya melebihi satu kilogram atau melebihi lima batang pohon (dalam bentuk tanaman) dan melebihi lima gram (dalam bentuk bukan tanaman), maka pidana dengan maksimum ditambah sepertiga.</w:t>
      </w:r>
      <w:r w:rsidRPr="001823C4">
        <w:rPr>
          <w:rStyle w:val="FootnoteReference"/>
          <w:color w:val="000000"/>
        </w:rPr>
        <w:footnoteReference w:id="31"/>
      </w:r>
    </w:p>
    <w:p w:rsidR="003F568C" w:rsidRPr="001823C4" w:rsidRDefault="003F568C" w:rsidP="003F568C">
      <w:pPr>
        <w:numPr>
          <w:ilvl w:val="1"/>
          <w:numId w:val="22"/>
        </w:numPr>
        <w:tabs>
          <w:tab w:val="clear" w:pos="2520"/>
          <w:tab w:val="num" w:pos="360"/>
        </w:tabs>
        <w:autoSpaceDE w:val="0"/>
        <w:autoSpaceDN w:val="0"/>
        <w:adjustRightInd w:val="0"/>
        <w:spacing w:line="516" w:lineRule="auto"/>
        <w:ind w:left="357" w:hanging="357"/>
        <w:jc w:val="both"/>
        <w:rPr>
          <w:color w:val="000000"/>
        </w:rPr>
      </w:pPr>
      <w:r w:rsidRPr="001823C4">
        <w:rPr>
          <w:color w:val="000000"/>
        </w:rPr>
        <w:t>Golongan II. Dipidana dengan pidana penjara paling singkat empat tahun dan maksimum pidana penjara seumur hidup atau pidana mati. Denda paling sedikit delapan ratus juta rupiah dan paling banyak delapan miliar rupiah. Apabila beratnya melebihi lima gram, maka pidana denda maksimum ditambah sepertiga.</w:t>
      </w:r>
      <w:r w:rsidRPr="001823C4">
        <w:rPr>
          <w:rStyle w:val="FootnoteReference"/>
          <w:color w:val="000000"/>
        </w:rPr>
        <w:footnoteReference w:id="32"/>
      </w:r>
    </w:p>
    <w:p w:rsidR="003F568C" w:rsidRPr="001823C4" w:rsidRDefault="003F568C" w:rsidP="003F568C">
      <w:pPr>
        <w:numPr>
          <w:ilvl w:val="1"/>
          <w:numId w:val="22"/>
        </w:numPr>
        <w:tabs>
          <w:tab w:val="clear" w:pos="2520"/>
          <w:tab w:val="num" w:pos="360"/>
        </w:tabs>
        <w:autoSpaceDE w:val="0"/>
        <w:autoSpaceDN w:val="0"/>
        <w:adjustRightInd w:val="0"/>
        <w:spacing w:line="480" w:lineRule="auto"/>
        <w:ind w:left="357" w:hanging="357"/>
        <w:jc w:val="both"/>
        <w:rPr>
          <w:color w:val="000000"/>
        </w:rPr>
      </w:pPr>
      <w:r w:rsidRPr="001823C4">
        <w:rPr>
          <w:color w:val="000000"/>
        </w:rPr>
        <w:t xml:space="preserve">Golongan III. Dipidana dengan pidana penjara paling singkat tiga tahun dan paling lama sepuluh tahun. Pidana denda paling sedikit enam ratus juta rupiah </w:t>
      </w:r>
      <w:r w:rsidRPr="001823C4">
        <w:rPr>
          <w:color w:val="000000"/>
        </w:rPr>
        <w:lastRenderedPageBreak/>
        <w:t>dan paling banyak lima miliar rupiah. Apabila beratnya melebihi lima gram, maka pidana denda maksimum ditambah sepertiga.</w:t>
      </w:r>
      <w:r w:rsidRPr="001823C4">
        <w:rPr>
          <w:rStyle w:val="FootnoteReference"/>
          <w:color w:val="000000"/>
        </w:rPr>
        <w:footnoteReference w:id="33"/>
      </w:r>
    </w:p>
    <w:p w:rsidR="003F568C" w:rsidRPr="001823C4" w:rsidRDefault="003F568C" w:rsidP="003F568C">
      <w:pPr>
        <w:numPr>
          <w:ilvl w:val="0"/>
          <w:numId w:val="22"/>
        </w:numPr>
        <w:tabs>
          <w:tab w:val="clear" w:pos="1800"/>
          <w:tab w:val="num" w:pos="360"/>
        </w:tabs>
        <w:autoSpaceDE w:val="0"/>
        <w:autoSpaceDN w:val="0"/>
        <w:adjustRightInd w:val="0"/>
        <w:spacing w:line="480" w:lineRule="auto"/>
        <w:ind w:left="360"/>
        <w:jc w:val="both"/>
        <w:rPr>
          <w:color w:val="000000"/>
        </w:rPr>
      </w:pPr>
      <w:r w:rsidRPr="001823C4">
        <w:rPr>
          <w:color w:val="000000"/>
        </w:rPr>
        <w:t>Pengguna</w:t>
      </w:r>
    </w:p>
    <w:p w:rsidR="003F568C" w:rsidRPr="001823C4" w:rsidRDefault="003F568C" w:rsidP="003F568C">
      <w:pPr>
        <w:spacing w:line="480" w:lineRule="auto"/>
        <w:ind w:firstLine="720"/>
        <w:jc w:val="both"/>
        <w:rPr>
          <w:color w:val="000000"/>
        </w:rPr>
      </w:pPr>
      <w:r w:rsidRPr="001823C4">
        <w:rPr>
          <w:color w:val="000000"/>
        </w:rPr>
        <w:t xml:space="preserve">Menggunakan Narkotika Golongan I, Golongan II, atau Golongan III terhadap orang lain atau memberikan Narkotika Golongan I, Golongan II, atau Golongan III untuk digunakan orang lain. Diancam dengan pidana : </w:t>
      </w:r>
    </w:p>
    <w:p w:rsidR="003F568C" w:rsidRPr="001823C4" w:rsidRDefault="003F568C" w:rsidP="003F568C">
      <w:pPr>
        <w:numPr>
          <w:ilvl w:val="1"/>
          <w:numId w:val="22"/>
        </w:numPr>
        <w:tabs>
          <w:tab w:val="clear" w:pos="2520"/>
          <w:tab w:val="num" w:pos="360"/>
        </w:tabs>
        <w:spacing w:line="480" w:lineRule="auto"/>
        <w:ind w:left="360"/>
        <w:jc w:val="both"/>
        <w:rPr>
          <w:color w:val="000000"/>
        </w:rPr>
      </w:pPr>
      <w:r w:rsidRPr="001823C4">
        <w:rPr>
          <w:color w:val="000000"/>
        </w:rPr>
        <w:t>Golongan I. Dipidana dengan pidana penjara paling singkat lima tahun dan maksimum pidana penjara seumur hidup atau pidana mati. Denda paling sedikit satu miliar rupiah, dan paling banyak sepuluh miliar rupiah. Apabilamengakibatkan orang lain mati atau cacat permanen, maka pidana denda maksimum ditambah sepertiga.</w:t>
      </w:r>
      <w:r w:rsidRPr="001823C4">
        <w:rPr>
          <w:rStyle w:val="FootnoteReference"/>
          <w:color w:val="000000"/>
        </w:rPr>
        <w:footnoteReference w:id="34"/>
      </w:r>
    </w:p>
    <w:p w:rsidR="003F568C" w:rsidRPr="001823C4" w:rsidRDefault="003F568C" w:rsidP="003F568C">
      <w:pPr>
        <w:numPr>
          <w:ilvl w:val="1"/>
          <w:numId w:val="22"/>
        </w:numPr>
        <w:tabs>
          <w:tab w:val="clear" w:pos="2520"/>
          <w:tab w:val="num" w:pos="360"/>
        </w:tabs>
        <w:spacing w:line="504" w:lineRule="auto"/>
        <w:ind w:left="360"/>
        <w:jc w:val="both"/>
        <w:rPr>
          <w:color w:val="000000"/>
        </w:rPr>
      </w:pPr>
      <w:r w:rsidRPr="001823C4">
        <w:rPr>
          <w:color w:val="000000"/>
        </w:rPr>
        <w:t>Golongan II. Dipidana dengan pidana penjara paling singkat empat tahun dan maksimum pidana penjara seumur hidup atau pidana mati. Apabila mengakibatkan orang lain mati atau cacat permanen, maka pidana denda maksimum ditambah sepertiga.</w:t>
      </w:r>
    </w:p>
    <w:p w:rsidR="003F568C" w:rsidRPr="001823C4" w:rsidRDefault="003F568C" w:rsidP="003F568C">
      <w:pPr>
        <w:numPr>
          <w:ilvl w:val="1"/>
          <w:numId w:val="22"/>
        </w:numPr>
        <w:tabs>
          <w:tab w:val="clear" w:pos="2520"/>
          <w:tab w:val="num" w:pos="360"/>
        </w:tabs>
        <w:spacing w:line="504" w:lineRule="auto"/>
        <w:ind w:left="360"/>
        <w:jc w:val="both"/>
        <w:rPr>
          <w:color w:val="000000"/>
        </w:rPr>
      </w:pPr>
      <w:r w:rsidRPr="001823C4">
        <w:rPr>
          <w:color w:val="000000"/>
        </w:rPr>
        <w:t>Golongan III. Dipidana dengan pidana penjara paling singkat tiga tahun dan paling lama lima belas tahun. Dengan paling sedikit enam ratus juta rupiah dan paling banyak lima miliar rupiah. Apabila mengakibatkan orang lain mati atau cacat permanen, maka pidana denda maksimum ditambah sepertiga.</w:t>
      </w:r>
      <w:r w:rsidRPr="001823C4">
        <w:rPr>
          <w:rStyle w:val="FootnoteReference"/>
          <w:color w:val="000000"/>
        </w:rPr>
        <w:footnoteReference w:id="35"/>
      </w:r>
    </w:p>
    <w:p w:rsidR="003F568C" w:rsidRPr="001823C4" w:rsidRDefault="003F568C" w:rsidP="003F568C">
      <w:pPr>
        <w:numPr>
          <w:ilvl w:val="0"/>
          <w:numId w:val="22"/>
        </w:numPr>
        <w:tabs>
          <w:tab w:val="clear" w:pos="1800"/>
          <w:tab w:val="num" w:pos="360"/>
        </w:tabs>
        <w:spacing w:line="480" w:lineRule="auto"/>
        <w:ind w:left="360"/>
        <w:jc w:val="both"/>
        <w:rPr>
          <w:color w:val="000000"/>
        </w:rPr>
      </w:pPr>
      <w:r w:rsidRPr="001823C4">
        <w:rPr>
          <w:color w:val="000000"/>
        </w:rPr>
        <w:lastRenderedPageBreak/>
        <w:t>Prekusor</w:t>
      </w:r>
    </w:p>
    <w:p w:rsidR="003F568C" w:rsidRPr="001823C4" w:rsidRDefault="003F568C" w:rsidP="003F568C">
      <w:pPr>
        <w:spacing w:line="480" w:lineRule="auto"/>
        <w:ind w:firstLine="720"/>
        <w:jc w:val="both"/>
      </w:pPr>
      <w:r w:rsidRPr="001823C4">
        <w:t xml:space="preserve">Prekursor narkotika adalah zat atau bahan pemula atau bahan kimia yang dapat digunakan dalam pembuatan Narkotika yang dibedakan dalam tabel sebagaimana terlampir dalam </w:t>
      </w:r>
      <w:r w:rsidRPr="001823C4">
        <w:rPr>
          <w:color w:val="000000"/>
        </w:rPr>
        <w:t>Undang-Undang No. 35 Tahun 2009 tentang Narkotika</w:t>
      </w:r>
      <w:r w:rsidRPr="001823C4">
        <w:t>.</w:t>
      </w:r>
      <w:r w:rsidRPr="001823C4">
        <w:rPr>
          <w:rStyle w:val="FootnoteReference"/>
          <w:color w:val="000000"/>
        </w:rPr>
        <w:footnoteReference w:id="36"/>
      </w:r>
      <w:r w:rsidRPr="001823C4">
        <w:t xml:space="preserve"> Memiliki, menyimpan, menguasai, atau menyediakan. Memproduksi, mengimpor, mengekspor, atau menyalurkan. Menawarkan untuk dijual, menjual, membeli, menerima, menjadi perantara dalam jual beli, menukar, atau menyerahkan. Membawa, mengirim, mengangkut, atau mentransito prekursor narkotika untuk pembuatan narkotika. Dipidana dengan pidana penjara paling singkat empat tahun dan paling lama dua puluh tahun. Denda paling banyak Rp. 5.000.000.000,- (lima miliar rupiah).</w:t>
      </w:r>
      <w:r w:rsidRPr="001823C4">
        <w:rPr>
          <w:rStyle w:val="FootnoteReference"/>
          <w:color w:val="000000"/>
        </w:rPr>
        <w:footnoteReference w:id="37"/>
      </w:r>
    </w:p>
    <w:p w:rsidR="003F568C" w:rsidRPr="001823C4" w:rsidRDefault="003F568C" w:rsidP="003F568C">
      <w:pPr>
        <w:autoSpaceDE w:val="0"/>
        <w:autoSpaceDN w:val="0"/>
        <w:adjustRightInd w:val="0"/>
        <w:spacing w:line="480" w:lineRule="auto"/>
        <w:ind w:firstLine="720"/>
        <w:jc w:val="both"/>
        <w:rPr>
          <w:color w:val="000000"/>
        </w:rPr>
      </w:pPr>
      <w:r w:rsidRPr="001823C4">
        <w:t xml:space="preserve">Upaya penanggulangan tindak pidana narkotika yang dilakukan berdasarkan upaya </w:t>
      </w:r>
      <w:r w:rsidRPr="001823C4">
        <w:rPr>
          <w:i/>
        </w:rPr>
        <w:t>penal</w:t>
      </w:r>
      <w:r w:rsidRPr="001823C4">
        <w:t xml:space="preserve"> dan </w:t>
      </w:r>
      <w:r w:rsidRPr="001823C4">
        <w:rPr>
          <w:i/>
        </w:rPr>
        <w:t>non-penal policy</w:t>
      </w:r>
      <w:r w:rsidRPr="001823C4">
        <w:t>, pastilah terdapat kendala-kendala yang dihadapi di lapangan terkait dengan penegakan hukum tindak pidana narkotika di kalangan mahasiswa. Adapun hambatan-hambatan tersebut, sebagai berikut :</w:t>
      </w:r>
    </w:p>
    <w:p w:rsidR="003F568C" w:rsidRPr="001823C4" w:rsidRDefault="003F568C" w:rsidP="003F568C">
      <w:pPr>
        <w:numPr>
          <w:ilvl w:val="0"/>
          <w:numId w:val="30"/>
        </w:numPr>
        <w:autoSpaceDE w:val="0"/>
        <w:autoSpaceDN w:val="0"/>
        <w:adjustRightInd w:val="0"/>
        <w:spacing w:line="480" w:lineRule="auto"/>
        <w:ind w:left="360"/>
        <w:jc w:val="both"/>
        <w:rPr>
          <w:color w:val="000000"/>
        </w:rPr>
      </w:pPr>
      <w:r w:rsidRPr="001823C4">
        <w:rPr>
          <w:bCs/>
          <w:color w:val="000000"/>
        </w:rPr>
        <w:t xml:space="preserve">Hambatan upaya secara </w:t>
      </w:r>
      <w:r w:rsidRPr="001823C4">
        <w:rPr>
          <w:bCs/>
          <w:i/>
          <w:iCs/>
          <w:color w:val="000000"/>
        </w:rPr>
        <w:t xml:space="preserve">non-penal policy </w:t>
      </w:r>
      <w:r w:rsidRPr="001823C4">
        <w:rPr>
          <w:bCs/>
          <w:color w:val="000000"/>
        </w:rPr>
        <w:t xml:space="preserve">dalam penanggulangan tindak pidana narkotika </w:t>
      </w:r>
    </w:p>
    <w:p w:rsidR="003F568C" w:rsidRPr="001823C4" w:rsidRDefault="003F568C" w:rsidP="003F568C">
      <w:pPr>
        <w:autoSpaceDE w:val="0"/>
        <w:autoSpaceDN w:val="0"/>
        <w:adjustRightInd w:val="0"/>
        <w:spacing w:line="480" w:lineRule="auto"/>
        <w:ind w:firstLine="720"/>
        <w:jc w:val="both"/>
        <w:rPr>
          <w:i/>
          <w:iCs/>
        </w:rPr>
      </w:pPr>
      <w:r w:rsidRPr="001823C4">
        <w:rPr>
          <w:color w:val="000000"/>
        </w:rPr>
        <w:t>B</w:t>
      </w:r>
      <w:r w:rsidRPr="001823C4">
        <w:t xml:space="preserve">erangkat dari pembahasan sebelumnya mengenai upaya penanggulangan tindak pidana narkotika secara </w:t>
      </w:r>
      <w:r w:rsidRPr="001823C4">
        <w:rPr>
          <w:i/>
          <w:iCs/>
        </w:rPr>
        <w:t xml:space="preserve">non-penal policy </w:t>
      </w:r>
      <w:r w:rsidRPr="001823C4">
        <w:t xml:space="preserve">yang terbagi dalam 2 (dua) upaya, yaitu : upaya </w:t>
      </w:r>
      <w:r w:rsidRPr="001823C4">
        <w:rPr>
          <w:i/>
          <w:iCs/>
        </w:rPr>
        <w:t xml:space="preserve">pre-emtif </w:t>
      </w:r>
      <w:r w:rsidRPr="001823C4">
        <w:t xml:space="preserve">dan upaya </w:t>
      </w:r>
      <w:r w:rsidRPr="001823C4">
        <w:rPr>
          <w:i/>
          <w:iCs/>
        </w:rPr>
        <w:t xml:space="preserve">preventif. </w:t>
      </w:r>
      <w:r w:rsidRPr="001823C4">
        <w:t xml:space="preserve">Berdasarkan upaya </w:t>
      </w:r>
      <w:r w:rsidRPr="001823C4">
        <w:rPr>
          <w:i/>
          <w:iCs/>
        </w:rPr>
        <w:t xml:space="preserve">pre-emtif </w:t>
      </w:r>
      <w:r w:rsidRPr="001823C4">
        <w:lastRenderedPageBreak/>
        <w:t>dalam penanggulangan tindak pidana narkotika, maka hambatan-hambatan yang dihadapi yaitu :</w:t>
      </w:r>
    </w:p>
    <w:p w:rsidR="003F568C" w:rsidRPr="001823C4" w:rsidRDefault="003F568C" w:rsidP="003F568C">
      <w:pPr>
        <w:numPr>
          <w:ilvl w:val="4"/>
          <w:numId w:val="25"/>
        </w:numPr>
        <w:autoSpaceDE w:val="0"/>
        <w:autoSpaceDN w:val="0"/>
        <w:adjustRightInd w:val="0"/>
        <w:spacing w:line="480" w:lineRule="auto"/>
        <w:ind w:left="360"/>
        <w:jc w:val="both"/>
        <w:rPr>
          <w:color w:val="000000"/>
        </w:rPr>
      </w:pPr>
      <w:r w:rsidRPr="001823C4">
        <w:rPr>
          <w:bCs/>
          <w:color w:val="000000"/>
        </w:rPr>
        <w:t xml:space="preserve">Hambatan upaya </w:t>
      </w:r>
      <w:r w:rsidRPr="001823C4">
        <w:rPr>
          <w:bCs/>
          <w:i/>
          <w:iCs/>
          <w:color w:val="000000"/>
        </w:rPr>
        <w:t xml:space="preserve">pre-emtif </w:t>
      </w:r>
    </w:p>
    <w:p w:rsidR="003F568C" w:rsidRPr="001823C4" w:rsidRDefault="003F568C" w:rsidP="003F568C">
      <w:pPr>
        <w:autoSpaceDE w:val="0"/>
        <w:autoSpaceDN w:val="0"/>
        <w:adjustRightInd w:val="0"/>
        <w:spacing w:line="480" w:lineRule="auto"/>
        <w:ind w:firstLine="720"/>
        <w:jc w:val="both"/>
      </w:pPr>
      <w:r w:rsidRPr="001823C4">
        <w:t xml:space="preserve">Hambatan dalam melaksanakan upaya </w:t>
      </w:r>
      <w:r w:rsidRPr="001823C4">
        <w:rPr>
          <w:i/>
          <w:iCs/>
        </w:rPr>
        <w:t xml:space="preserve">pre-emtif </w:t>
      </w:r>
      <w:r w:rsidRPr="001823C4">
        <w:t>dalam penanggulangan tindak pidana narkotika antara lain :</w:t>
      </w:r>
      <w:r w:rsidRPr="001823C4">
        <w:rPr>
          <w:rStyle w:val="FootnoteReference"/>
        </w:rPr>
        <w:footnoteReference w:id="38"/>
      </w:r>
    </w:p>
    <w:p w:rsidR="003F568C" w:rsidRPr="001823C4" w:rsidRDefault="003F568C" w:rsidP="003F568C">
      <w:pPr>
        <w:numPr>
          <w:ilvl w:val="0"/>
          <w:numId w:val="27"/>
        </w:numPr>
        <w:autoSpaceDE w:val="0"/>
        <w:autoSpaceDN w:val="0"/>
        <w:adjustRightInd w:val="0"/>
        <w:spacing w:line="480" w:lineRule="auto"/>
        <w:ind w:left="360"/>
        <w:jc w:val="both"/>
        <w:rPr>
          <w:color w:val="000000"/>
        </w:rPr>
      </w:pPr>
      <w:r w:rsidRPr="001823C4">
        <w:rPr>
          <w:color w:val="000000"/>
        </w:rPr>
        <w:t xml:space="preserve">Masih banyak laporan yang belum direspon, mengingat laporan yang masuk sangat banyak. </w:t>
      </w:r>
    </w:p>
    <w:p w:rsidR="003F568C" w:rsidRPr="001823C4" w:rsidRDefault="003F568C" w:rsidP="003F568C">
      <w:pPr>
        <w:numPr>
          <w:ilvl w:val="0"/>
          <w:numId w:val="27"/>
        </w:numPr>
        <w:autoSpaceDE w:val="0"/>
        <w:autoSpaceDN w:val="0"/>
        <w:adjustRightInd w:val="0"/>
        <w:spacing w:line="480" w:lineRule="auto"/>
        <w:ind w:left="360"/>
        <w:jc w:val="both"/>
        <w:rPr>
          <w:color w:val="000000"/>
        </w:rPr>
      </w:pPr>
      <w:r w:rsidRPr="001823C4">
        <w:rPr>
          <w:color w:val="000000"/>
        </w:rPr>
        <w:t xml:space="preserve">Kurang pedulinya masyarakat dalam lingkungannya yang masih bersifat acuh ketika mengetahui adanya tindak pidana narkotika. </w:t>
      </w:r>
    </w:p>
    <w:p w:rsidR="003F568C" w:rsidRPr="001823C4" w:rsidRDefault="003F568C" w:rsidP="003F568C">
      <w:pPr>
        <w:numPr>
          <w:ilvl w:val="0"/>
          <w:numId w:val="27"/>
        </w:numPr>
        <w:autoSpaceDE w:val="0"/>
        <w:autoSpaceDN w:val="0"/>
        <w:adjustRightInd w:val="0"/>
        <w:spacing w:line="480" w:lineRule="auto"/>
        <w:ind w:left="360"/>
        <w:jc w:val="both"/>
        <w:rPr>
          <w:color w:val="000000"/>
        </w:rPr>
      </w:pPr>
      <w:r w:rsidRPr="001823C4">
        <w:rPr>
          <w:color w:val="000000"/>
        </w:rPr>
        <w:t xml:space="preserve">Rasa takut apabila melaporkan (perlindungan terhadap masyarakat yang melapor); </w:t>
      </w:r>
    </w:p>
    <w:p w:rsidR="003F568C" w:rsidRPr="001823C4" w:rsidRDefault="003F568C" w:rsidP="003F568C">
      <w:pPr>
        <w:numPr>
          <w:ilvl w:val="0"/>
          <w:numId w:val="27"/>
        </w:numPr>
        <w:autoSpaceDE w:val="0"/>
        <w:autoSpaceDN w:val="0"/>
        <w:adjustRightInd w:val="0"/>
        <w:spacing w:line="516" w:lineRule="auto"/>
        <w:ind w:left="360"/>
        <w:jc w:val="both"/>
        <w:rPr>
          <w:color w:val="000000"/>
        </w:rPr>
      </w:pPr>
      <w:r w:rsidRPr="001823C4">
        <w:rPr>
          <w:color w:val="000000"/>
        </w:rPr>
        <w:t xml:space="preserve">Masih kurangnya kepedulian/respon dari petugas itu sendiri sehingga dalam menindaklanjuti informasi tersebut masih dirasa kurang maksimal, sehingga menimbulkan kekecewaan dari masyarakat dan enggan untuk melaporkan kembali, apabila ada informasi tentang tindak pidana narkotika. </w:t>
      </w:r>
    </w:p>
    <w:p w:rsidR="003F568C" w:rsidRPr="001823C4" w:rsidRDefault="003F568C" w:rsidP="003F568C">
      <w:pPr>
        <w:numPr>
          <w:ilvl w:val="4"/>
          <w:numId w:val="25"/>
        </w:numPr>
        <w:autoSpaceDE w:val="0"/>
        <w:autoSpaceDN w:val="0"/>
        <w:adjustRightInd w:val="0"/>
        <w:spacing w:line="516" w:lineRule="auto"/>
        <w:ind w:left="360"/>
        <w:jc w:val="both"/>
        <w:rPr>
          <w:color w:val="000000"/>
        </w:rPr>
      </w:pPr>
      <w:r w:rsidRPr="001823C4">
        <w:rPr>
          <w:bCs/>
          <w:color w:val="000000"/>
        </w:rPr>
        <w:t xml:space="preserve">Hambatan upaya </w:t>
      </w:r>
      <w:r w:rsidRPr="001823C4">
        <w:rPr>
          <w:bCs/>
          <w:i/>
          <w:iCs/>
          <w:color w:val="000000"/>
        </w:rPr>
        <w:t xml:space="preserve">preventif </w:t>
      </w:r>
    </w:p>
    <w:p w:rsidR="003F568C" w:rsidRPr="001823C4" w:rsidRDefault="003F568C" w:rsidP="003F568C">
      <w:pPr>
        <w:autoSpaceDE w:val="0"/>
        <w:autoSpaceDN w:val="0"/>
        <w:adjustRightInd w:val="0"/>
        <w:spacing w:line="516" w:lineRule="auto"/>
        <w:ind w:firstLine="720"/>
        <w:jc w:val="both"/>
      </w:pPr>
      <w:r w:rsidRPr="001823C4">
        <w:t xml:space="preserve">Upaya </w:t>
      </w:r>
      <w:r w:rsidRPr="001823C4">
        <w:rPr>
          <w:i/>
          <w:iCs/>
        </w:rPr>
        <w:t xml:space="preserve">preventif </w:t>
      </w:r>
      <w:r w:rsidRPr="001823C4">
        <w:t>dalam penanggulangan tindak pidana narkotika yaitu :</w:t>
      </w:r>
    </w:p>
    <w:p w:rsidR="003F568C" w:rsidRPr="001823C4" w:rsidRDefault="003F568C" w:rsidP="003F568C">
      <w:pPr>
        <w:numPr>
          <w:ilvl w:val="0"/>
          <w:numId w:val="28"/>
        </w:numPr>
        <w:autoSpaceDE w:val="0"/>
        <w:autoSpaceDN w:val="0"/>
        <w:adjustRightInd w:val="0"/>
        <w:spacing w:line="516" w:lineRule="auto"/>
        <w:ind w:left="360"/>
        <w:jc w:val="both"/>
        <w:rPr>
          <w:color w:val="000000"/>
        </w:rPr>
      </w:pPr>
      <w:r w:rsidRPr="001823C4">
        <w:rPr>
          <w:color w:val="000000"/>
        </w:rPr>
        <w:t xml:space="preserve">Melaksanakan razia di perbatasan pintu masuk. </w:t>
      </w:r>
    </w:p>
    <w:p w:rsidR="003F568C" w:rsidRPr="001823C4" w:rsidRDefault="003F568C" w:rsidP="003F568C">
      <w:pPr>
        <w:numPr>
          <w:ilvl w:val="0"/>
          <w:numId w:val="28"/>
        </w:numPr>
        <w:autoSpaceDE w:val="0"/>
        <w:autoSpaceDN w:val="0"/>
        <w:adjustRightInd w:val="0"/>
        <w:spacing w:line="516" w:lineRule="auto"/>
        <w:ind w:left="360"/>
        <w:jc w:val="both"/>
        <w:rPr>
          <w:color w:val="000000"/>
        </w:rPr>
      </w:pPr>
      <w:r w:rsidRPr="001823C4">
        <w:rPr>
          <w:color w:val="000000"/>
        </w:rPr>
        <w:t xml:space="preserve">Memperketat pengawasan daerah rawan penanaman pohon ganja. </w:t>
      </w:r>
    </w:p>
    <w:p w:rsidR="003F568C" w:rsidRPr="001823C4" w:rsidRDefault="003F568C" w:rsidP="003F568C">
      <w:pPr>
        <w:numPr>
          <w:ilvl w:val="0"/>
          <w:numId w:val="28"/>
        </w:numPr>
        <w:autoSpaceDE w:val="0"/>
        <w:autoSpaceDN w:val="0"/>
        <w:adjustRightInd w:val="0"/>
        <w:spacing w:line="516" w:lineRule="auto"/>
        <w:ind w:left="360"/>
        <w:jc w:val="both"/>
        <w:rPr>
          <w:color w:val="000000"/>
        </w:rPr>
      </w:pPr>
      <w:r w:rsidRPr="001823C4">
        <w:rPr>
          <w:color w:val="000000"/>
        </w:rPr>
        <w:t xml:space="preserve">Melaksanakan razia di tempat-tempat hiburan malam karena tempat-tempat hiburan malam merupakan salah satu sarana dan prasarana bagi para </w:t>
      </w:r>
      <w:r w:rsidRPr="001823C4">
        <w:rPr>
          <w:color w:val="000000"/>
        </w:rPr>
        <w:lastRenderedPageBreak/>
        <w:t xml:space="preserve">penyalahgunaan dan peredaran gelap Narkotika Jenis Pil Ecstasy dan Narkotika Jenis Shabu. </w:t>
      </w:r>
    </w:p>
    <w:p w:rsidR="003F568C" w:rsidRPr="001823C4" w:rsidRDefault="003F568C" w:rsidP="003F568C">
      <w:pPr>
        <w:numPr>
          <w:ilvl w:val="0"/>
          <w:numId w:val="28"/>
        </w:numPr>
        <w:autoSpaceDE w:val="0"/>
        <w:autoSpaceDN w:val="0"/>
        <w:adjustRightInd w:val="0"/>
        <w:spacing w:line="516" w:lineRule="auto"/>
        <w:ind w:left="360"/>
        <w:jc w:val="both"/>
        <w:rPr>
          <w:color w:val="000000"/>
        </w:rPr>
      </w:pPr>
      <w:r w:rsidRPr="001823C4">
        <w:rPr>
          <w:color w:val="000000"/>
        </w:rPr>
        <w:t>Melakukan pengawasan terhadap bahan-bahan (</w:t>
      </w:r>
      <w:r w:rsidRPr="001823C4">
        <w:rPr>
          <w:i/>
          <w:iCs/>
          <w:color w:val="000000"/>
        </w:rPr>
        <w:t xml:space="preserve">Prekursor) </w:t>
      </w:r>
      <w:r w:rsidRPr="001823C4">
        <w:rPr>
          <w:color w:val="000000"/>
        </w:rPr>
        <w:t xml:space="preserve">Narkotika. </w:t>
      </w:r>
    </w:p>
    <w:p w:rsidR="003F568C" w:rsidRPr="001823C4" w:rsidRDefault="003F568C" w:rsidP="003F568C">
      <w:pPr>
        <w:numPr>
          <w:ilvl w:val="0"/>
          <w:numId w:val="28"/>
        </w:numPr>
        <w:autoSpaceDE w:val="0"/>
        <w:autoSpaceDN w:val="0"/>
        <w:adjustRightInd w:val="0"/>
        <w:spacing w:line="480" w:lineRule="auto"/>
        <w:ind w:left="360"/>
        <w:jc w:val="both"/>
        <w:rPr>
          <w:color w:val="000000"/>
        </w:rPr>
      </w:pPr>
      <w:r w:rsidRPr="001823C4">
        <w:rPr>
          <w:color w:val="000000"/>
        </w:rPr>
        <w:t xml:space="preserve">Melakukan pengawasan terhadap produksi dan distribusi Narkotika legal (farmasi dan apotik). </w:t>
      </w:r>
    </w:p>
    <w:p w:rsidR="003F568C" w:rsidRPr="001823C4" w:rsidRDefault="003F568C" w:rsidP="003F568C">
      <w:pPr>
        <w:numPr>
          <w:ilvl w:val="0"/>
          <w:numId w:val="28"/>
        </w:numPr>
        <w:autoSpaceDE w:val="0"/>
        <w:autoSpaceDN w:val="0"/>
        <w:adjustRightInd w:val="0"/>
        <w:spacing w:line="480" w:lineRule="auto"/>
        <w:ind w:left="360"/>
        <w:jc w:val="both"/>
        <w:rPr>
          <w:color w:val="000000"/>
        </w:rPr>
      </w:pPr>
      <w:r w:rsidRPr="001823C4">
        <w:rPr>
          <w:color w:val="000000"/>
        </w:rPr>
        <w:t>Melakukan pengawasan terhadap importir Narkotika.</w:t>
      </w:r>
    </w:p>
    <w:p w:rsidR="003F568C" w:rsidRPr="001823C4" w:rsidRDefault="003F568C" w:rsidP="003F568C">
      <w:pPr>
        <w:autoSpaceDE w:val="0"/>
        <w:autoSpaceDN w:val="0"/>
        <w:adjustRightInd w:val="0"/>
        <w:spacing w:line="480" w:lineRule="auto"/>
        <w:ind w:firstLine="720"/>
        <w:jc w:val="both"/>
      </w:pPr>
      <w:r w:rsidRPr="001823C4">
        <w:t xml:space="preserve">Upaya </w:t>
      </w:r>
      <w:r w:rsidRPr="001823C4">
        <w:rPr>
          <w:i/>
          <w:iCs/>
        </w:rPr>
        <w:t xml:space="preserve">preventif </w:t>
      </w:r>
      <w:r w:rsidRPr="001823C4">
        <w:t>penanggulangan tindak pidana narkotika tidak terlepas dari adanya hambatan yang dihadapi, yaitu :</w:t>
      </w:r>
    </w:p>
    <w:p w:rsidR="003F568C" w:rsidRPr="001823C4" w:rsidRDefault="003F568C" w:rsidP="003F568C">
      <w:pPr>
        <w:numPr>
          <w:ilvl w:val="0"/>
          <w:numId w:val="29"/>
        </w:numPr>
        <w:autoSpaceDE w:val="0"/>
        <w:autoSpaceDN w:val="0"/>
        <w:adjustRightInd w:val="0"/>
        <w:spacing w:line="480" w:lineRule="auto"/>
        <w:ind w:left="360"/>
        <w:jc w:val="both"/>
        <w:rPr>
          <w:color w:val="000000"/>
        </w:rPr>
      </w:pPr>
      <w:r w:rsidRPr="001823C4">
        <w:rPr>
          <w:color w:val="000000"/>
        </w:rPr>
        <w:t xml:space="preserve">Kurangnya koordinasi dan kerjasama dengan Badan Pengawasan Obat-obatan dan Makanan (BPOM) terkait dengan pengawasan peredaran bahan-bahan dasar pembuatan narkotika serta pengawasan terhadap produksi dan distribusi narkotika yang legal (farmasi dan apotik). </w:t>
      </w:r>
    </w:p>
    <w:p w:rsidR="003F568C" w:rsidRPr="001823C4" w:rsidRDefault="003F568C" w:rsidP="003F568C">
      <w:pPr>
        <w:numPr>
          <w:ilvl w:val="0"/>
          <w:numId w:val="29"/>
        </w:numPr>
        <w:autoSpaceDE w:val="0"/>
        <w:autoSpaceDN w:val="0"/>
        <w:adjustRightInd w:val="0"/>
        <w:spacing w:line="480" w:lineRule="auto"/>
        <w:ind w:left="360"/>
        <w:jc w:val="both"/>
        <w:rPr>
          <w:color w:val="000000"/>
        </w:rPr>
      </w:pPr>
      <w:r w:rsidRPr="001823C4">
        <w:rPr>
          <w:color w:val="000000"/>
        </w:rPr>
        <w:t xml:space="preserve">Kurangnya koordinasi dan kerjasama antara pihak Satuan Narkoba Polres Asahan dengan instansi-instansi terkait lainnya, seperti kerjasama dengan Dinas Pariwisata untuk melakukan razia-razia di tempat-tempat hiburan malam. </w:t>
      </w:r>
    </w:p>
    <w:p w:rsidR="003F568C" w:rsidRPr="001823C4" w:rsidRDefault="003F568C" w:rsidP="003F568C">
      <w:pPr>
        <w:autoSpaceDE w:val="0"/>
        <w:autoSpaceDN w:val="0"/>
        <w:adjustRightInd w:val="0"/>
        <w:spacing w:line="480" w:lineRule="auto"/>
        <w:ind w:firstLine="720"/>
        <w:jc w:val="both"/>
      </w:pPr>
      <w:r w:rsidRPr="001823C4">
        <w:t>Dengan tidak adanya koordinasi dan kerjasama tersebut, menyebabkan banyaknya hambatan-hambatan yang ditemukan di lapangan.</w:t>
      </w:r>
    </w:p>
    <w:p w:rsidR="003F568C" w:rsidRPr="001823C4" w:rsidRDefault="003F568C" w:rsidP="003F568C">
      <w:pPr>
        <w:numPr>
          <w:ilvl w:val="1"/>
          <w:numId w:val="25"/>
        </w:numPr>
        <w:autoSpaceDE w:val="0"/>
        <w:autoSpaceDN w:val="0"/>
        <w:adjustRightInd w:val="0"/>
        <w:spacing w:line="516" w:lineRule="auto"/>
        <w:ind w:left="360"/>
        <w:jc w:val="both"/>
        <w:rPr>
          <w:color w:val="000000"/>
        </w:rPr>
      </w:pPr>
      <w:r w:rsidRPr="001823C4">
        <w:rPr>
          <w:bCs/>
          <w:color w:val="000000"/>
        </w:rPr>
        <w:t xml:space="preserve">Hambatan Upaya Secara </w:t>
      </w:r>
      <w:r w:rsidRPr="001823C4">
        <w:rPr>
          <w:bCs/>
          <w:i/>
          <w:iCs/>
          <w:color w:val="000000"/>
        </w:rPr>
        <w:t xml:space="preserve">Penal Policy </w:t>
      </w:r>
      <w:r w:rsidRPr="001823C4">
        <w:rPr>
          <w:bCs/>
          <w:color w:val="000000"/>
        </w:rPr>
        <w:t xml:space="preserve">Dalam Penanggulangan Tindak Pidana Narkotika </w:t>
      </w:r>
    </w:p>
    <w:p w:rsidR="003F568C" w:rsidRPr="001823C4" w:rsidRDefault="003F568C" w:rsidP="003F568C">
      <w:pPr>
        <w:autoSpaceDE w:val="0"/>
        <w:autoSpaceDN w:val="0"/>
        <w:adjustRightInd w:val="0"/>
        <w:spacing w:line="480" w:lineRule="auto"/>
        <w:ind w:firstLine="720"/>
        <w:jc w:val="both"/>
      </w:pPr>
      <w:r w:rsidRPr="001823C4">
        <w:t xml:space="preserve">Tindak pidana narkotika tidak lagi dilakukan secara perseorangan, melainkan melibatkan banyak orang yang secara bersama-sama, bahkan </w:t>
      </w:r>
      <w:r w:rsidRPr="001823C4">
        <w:lastRenderedPageBreak/>
        <w:t>merupakan satu sindikatyang terorganisasi dengan jaringan yang luas yang bekerja secara rapi dan sangat rahasia baik di tingkat nasional maupun internasional.</w:t>
      </w:r>
      <w:r w:rsidRPr="001823C4">
        <w:rPr>
          <w:rStyle w:val="FootnoteReference"/>
        </w:rPr>
        <w:footnoteReference w:id="39"/>
      </w:r>
      <w:r w:rsidRPr="001823C4">
        <w:t xml:space="preserve"> Dalam melakukan upaya </w:t>
      </w:r>
      <w:r w:rsidRPr="001823C4">
        <w:rPr>
          <w:i/>
          <w:iCs/>
        </w:rPr>
        <w:t xml:space="preserve">penal </w:t>
      </w:r>
      <w:r w:rsidRPr="001823C4">
        <w:t>terkait penanggulangan tindak pidana narkotika, biasanya satuan narkoba hanya melakukkan upaya represif, yaitu upaya penegakan hukum. Penegakan hukum dilakukan dengan cara melakukan penyelidikan dan penyidikan tindak pidana.</w:t>
      </w:r>
    </w:p>
    <w:p w:rsidR="003F568C" w:rsidRPr="001823C4" w:rsidRDefault="003F568C" w:rsidP="003F568C">
      <w:pPr>
        <w:numPr>
          <w:ilvl w:val="3"/>
          <w:numId w:val="25"/>
        </w:numPr>
        <w:autoSpaceDE w:val="0"/>
        <w:autoSpaceDN w:val="0"/>
        <w:adjustRightInd w:val="0"/>
        <w:spacing w:line="480" w:lineRule="auto"/>
        <w:ind w:left="360"/>
        <w:jc w:val="both"/>
        <w:rPr>
          <w:color w:val="000000"/>
        </w:rPr>
      </w:pPr>
      <w:r w:rsidRPr="001823C4">
        <w:rPr>
          <w:bCs/>
          <w:color w:val="000000"/>
        </w:rPr>
        <w:t xml:space="preserve">Hambatan internal </w:t>
      </w:r>
    </w:p>
    <w:p w:rsidR="003F568C" w:rsidRPr="001823C4" w:rsidRDefault="003F568C" w:rsidP="003F568C">
      <w:pPr>
        <w:autoSpaceDE w:val="0"/>
        <w:autoSpaceDN w:val="0"/>
        <w:adjustRightInd w:val="0"/>
        <w:spacing w:line="480" w:lineRule="auto"/>
        <w:ind w:firstLine="720"/>
        <w:jc w:val="both"/>
      </w:pPr>
      <w:r w:rsidRPr="001823C4">
        <w:t>Adapun hambatan yang dihadapi dalam menanggulangi tindak pidana narkotika yaitu : hambatan keterbatasan personil penyidik, hambatan keterbatasan anggaran, dan hambatan kemampuan penyidik dalam proses penyidikan terhadap tindak pidana narkotika secara rinci sebagai berikut :</w:t>
      </w:r>
    </w:p>
    <w:p w:rsidR="003F568C" w:rsidRPr="001823C4" w:rsidRDefault="003F568C" w:rsidP="003F568C">
      <w:pPr>
        <w:numPr>
          <w:ilvl w:val="3"/>
          <w:numId w:val="26"/>
        </w:numPr>
        <w:tabs>
          <w:tab w:val="clear" w:pos="2880"/>
          <w:tab w:val="num" w:pos="360"/>
        </w:tabs>
        <w:autoSpaceDE w:val="0"/>
        <w:autoSpaceDN w:val="0"/>
        <w:adjustRightInd w:val="0"/>
        <w:spacing w:line="480" w:lineRule="auto"/>
        <w:ind w:left="360"/>
        <w:jc w:val="both"/>
        <w:rPr>
          <w:color w:val="000000"/>
        </w:rPr>
      </w:pPr>
      <w:r w:rsidRPr="001823C4">
        <w:rPr>
          <w:color w:val="000000"/>
        </w:rPr>
        <w:t>Sangat sulit menerapkan konstruksi Pasal 127 Undang-Undang Nomor 35 Tahun 2009 tentang Narkotika secara tunggal karena  Jaksa selalu meminta agar penyidik juga mencantumkan Pasal 112 sehingga tersangka tergiring ke kategori menyimpan, memiliki sehingga memungkinkan untuk ditahan dan bukannya direhabilitasi.</w:t>
      </w:r>
    </w:p>
    <w:p w:rsidR="003F568C" w:rsidRPr="001823C4" w:rsidRDefault="003F568C" w:rsidP="003F568C">
      <w:pPr>
        <w:numPr>
          <w:ilvl w:val="3"/>
          <w:numId w:val="26"/>
        </w:numPr>
        <w:tabs>
          <w:tab w:val="clear" w:pos="2880"/>
          <w:tab w:val="num" w:pos="360"/>
        </w:tabs>
        <w:autoSpaceDE w:val="0"/>
        <w:autoSpaceDN w:val="0"/>
        <w:adjustRightInd w:val="0"/>
        <w:spacing w:line="480" w:lineRule="auto"/>
        <w:ind w:left="360"/>
        <w:jc w:val="both"/>
        <w:rPr>
          <w:color w:val="000000"/>
        </w:rPr>
      </w:pPr>
      <w:r w:rsidRPr="001823C4">
        <w:rPr>
          <w:color w:val="000000"/>
        </w:rPr>
        <w:t xml:space="preserve">Kegiatan tiap fungsi yang ada dalam struktur Polisi masih belum optimal dan kurang terpadu bahkan cenderung bersifat ekslusif. Kadangkala mereka beranggapan bahwa keberhasilan tugas dianggap sukses jika mereka mampu melaksanakan tugas-tugasnya secara mandiri atau dengan kata lain tidak memerlukan bantuan dan dukungan dari fungsi yang lain. Hal ini </w:t>
      </w:r>
      <w:r w:rsidRPr="001823C4">
        <w:rPr>
          <w:color w:val="000000"/>
        </w:rPr>
        <w:lastRenderedPageBreak/>
        <w:t>menyebabkan kurangnya frekuensi koordinasi antar fungsi dalam kegiatan rutin masing-masing sehingga hasil yang dicapai secara keseluruhan belum optimal. Kurang koordinasi antar fungsi ini dapat disebabkan karena ketidaktahuan anggota akan manfaat koordinasi.</w:t>
      </w:r>
    </w:p>
    <w:p w:rsidR="003F568C" w:rsidRPr="001823C4" w:rsidRDefault="003F568C" w:rsidP="003F568C">
      <w:pPr>
        <w:numPr>
          <w:ilvl w:val="3"/>
          <w:numId w:val="26"/>
        </w:numPr>
        <w:tabs>
          <w:tab w:val="clear" w:pos="2880"/>
          <w:tab w:val="num" w:pos="360"/>
        </w:tabs>
        <w:autoSpaceDE w:val="0"/>
        <w:autoSpaceDN w:val="0"/>
        <w:adjustRightInd w:val="0"/>
        <w:spacing w:line="480" w:lineRule="auto"/>
        <w:ind w:left="360"/>
        <w:jc w:val="both"/>
        <w:rPr>
          <w:color w:val="000000"/>
        </w:rPr>
      </w:pPr>
      <w:r w:rsidRPr="001823C4">
        <w:rPr>
          <w:color w:val="000000"/>
        </w:rPr>
        <w:t>Secara umum kualitas personil Polisi dalam menghadapi modus operandi penyalahgunaan dan peredaran gelap narkotika yang dilakukan para sindikat pengedar narkotika (mafia) masih relatif rendah. Hal ini disebabkan karena kurangnya anggota memperoleh kesempatan mengikuti pendidikan kejuruan, kursus-kursus dan latihan ketrampilan lainnya sehingga menjadikan kendala dalam melaksanakan tugas operasional dilapangan. Modus operandi kejahatan termasuk kejahatan narkotika makin canggih sejalan dengan perkembangan ilmu pengetahuan dan teknologi, sedangkan personil Polisi yang menguasai ilmu pengetahuan dan teknologi masih sangat terbatas. Kemampuan bahasa penyelidik, penyidik polisi khususnya Fungsi Reserse Narkoba masih kurang, terutama kemampuan bahasa Inggris, China mengingat para pengedar narkoba di wilayah hukum Polda Sumut terutama warga negara Afrika, China dan lain lain.</w:t>
      </w:r>
    </w:p>
    <w:p w:rsidR="003F568C" w:rsidRPr="001823C4" w:rsidRDefault="003F568C" w:rsidP="003F568C">
      <w:pPr>
        <w:numPr>
          <w:ilvl w:val="3"/>
          <w:numId w:val="26"/>
        </w:numPr>
        <w:tabs>
          <w:tab w:val="clear" w:pos="2880"/>
          <w:tab w:val="num" w:pos="360"/>
        </w:tabs>
        <w:autoSpaceDE w:val="0"/>
        <w:autoSpaceDN w:val="0"/>
        <w:adjustRightInd w:val="0"/>
        <w:spacing w:line="504" w:lineRule="auto"/>
        <w:ind w:left="357" w:hanging="357"/>
        <w:jc w:val="both"/>
        <w:rPr>
          <w:color w:val="000000"/>
        </w:rPr>
      </w:pPr>
      <w:r w:rsidRPr="001823C4">
        <w:rPr>
          <w:color w:val="000000"/>
        </w:rPr>
        <w:t>Selain kualitas personil, mentalitas personil polisi juga masih banyak yang perlu diperbaiki agar tidak terlibat terhadap penyalahgunaan dan peredaran gelap narkoba ataupun membacking para pengedar narkoba.</w:t>
      </w:r>
    </w:p>
    <w:p w:rsidR="003F568C" w:rsidRPr="001823C4" w:rsidRDefault="003F568C" w:rsidP="003F568C">
      <w:pPr>
        <w:numPr>
          <w:ilvl w:val="3"/>
          <w:numId w:val="26"/>
        </w:numPr>
        <w:tabs>
          <w:tab w:val="clear" w:pos="2880"/>
          <w:tab w:val="num" w:pos="360"/>
        </w:tabs>
        <w:autoSpaceDE w:val="0"/>
        <w:autoSpaceDN w:val="0"/>
        <w:adjustRightInd w:val="0"/>
        <w:spacing w:line="504" w:lineRule="auto"/>
        <w:ind w:left="357" w:hanging="357"/>
        <w:jc w:val="both"/>
        <w:rPr>
          <w:color w:val="000000"/>
        </w:rPr>
      </w:pPr>
      <w:r w:rsidRPr="001823C4">
        <w:rPr>
          <w:color w:val="000000"/>
        </w:rPr>
        <w:t>Kurangnya sarana dan prasarana yang dimiliki polisi merupakan kendala dalam mengejar dan menangkap kelompok pengedar.</w:t>
      </w:r>
    </w:p>
    <w:p w:rsidR="003F568C" w:rsidRPr="001823C4" w:rsidRDefault="003F568C" w:rsidP="003F568C">
      <w:pPr>
        <w:numPr>
          <w:ilvl w:val="3"/>
          <w:numId w:val="26"/>
        </w:numPr>
        <w:tabs>
          <w:tab w:val="clear" w:pos="2880"/>
          <w:tab w:val="num" w:pos="360"/>
        </w:tabs>
        <w:autoSpaceDE w:val="0"/>
        <w:autoSpaceDN w:val="0"/>
        <w:adjustRightInd w:val="0"/>
        <w:spacing w:line="504" w:lineRule="auto"/>
        <w:ind w:left="357" w:hanging="357"/>
        <w:jc w:val="both"/>
        <w:rPr>
          <w:color w:val="000000"/>
        </w:rPr>
      </w:pPr>
      <w:r w:rsidRPr="001823C4">
        <w:rPr>
          <w:color w:val="000000"/>
        </w:rPr>
        <w:lastRenderedPageBreak/>
        <w:t>Minimnya anggaran untuk pengungkapan kasus narkotika. Untuk melaksanakan penyelidikan dan penyidikan kejahatan narkotika khususnya untuk menangkap seorang pengedar, memerlukan waktu yang sangat panjang atau lama. Sering kali harus melakukan pembelian secara terselubung (</w:t>
      </w:r>
      <w:r w:rsidRPr="001823C4">
        <w:rPr>
          <w:i/>
          <w:iCs/>
          <w:color w:val="000000"/>
        </w:rPr>
        <w:t>teknik undercover buy</w:t>
      </w:r>
      <w:r w:rsidRPr="001823C4">
        <w:rPr>
          <w:color w:val="000000"/>
        </w:rPr>
        <w:t>) dan melakukan beberapa kali agar dapat berhubungan langsung dengan pengedar atau bandar narkotika, karena kalau hanya sekali pengedar tidak akan menemui dan menyuruh kurir untuk mengantarkan barang / narkotika pesanan. Hal ini tentunya memerlukan biaya yang sangat besar apalagi harga narkotika sangat mahal.</w:t>
      </w:r>
    </w:p>
    <w:p w:rsidR="003F568C" w:rsidRPr="001823C4" w:rsidRDefault="003F568C" w:rsidP="003F568C">
      <w:pPr>
        <w:numPr>
          <w:ilvl w:val="3"/>
          <w:numId w:val="26"/>
        </w:numPr>
        <w:tabs>
          <w:tab w:val="clear" w:pos="2880"/>
          <w:tab w:val="num" w:pos="360"/>
        </w:tabs>
        <w:autoSpaceDE w:val="0"/>
        <w:autoSpaceDN w:val="0"/>
        <w:adjustRightInd w:val="0"/>
        <w:spacing w:line="504" w:lineRule="auto"/>
        <w:ind w:left="357" w:hanging="357"/>
        <w:jc w:val="both"/>
        <w:rPr>
          <w:color w:val="000000"/>
        </w:rPr>
      </w:pPr>
      <w:r w:rsidRPr="001823C4">
        <w:rPr>
          <w:color w:val="000000"/>
        </w:rPr>
        <w:t xml:space="preserve">Belum adanya keterpaduan fungsi, dalam hal melaksanakan sosialisasi bahaya penyalahgunaan dan peredaran gelap Narkoba serta pemanfaatan peran serta masyarakat antara Fungsi Bimbingan masyarakat (Binmas) dan fungsi Reserse Narkoba. </w:t>
      </w:r>
    </w:p>
    <w:p w:rsidR="003F568C" w:rsidRPr="001823C4" w:rsidRDefault="003F568C" w:rsidP="003F568C">
      <w:pPr>
        <w:autoSpaceDE w:val="0"/>
        <w:autoSpaceDN w:val="0"/>
        <w:adjustRightInd w:val="0"/>
        <w:spacing w:line="480" w:lineRule="auto"/>
        <w:ind w:firstLine="720"/>
        <w:jc w:val="both"/>
      </w:pPr>
      <w:r w:rsidRPr="001823C4">
        <w:t>Hambatan dalam upaya penanggulangan dan pemberantasan narkotika, terjadi karena kurangnya kualitas atau kemampuan penyidik. Mengungkap pelaku yang terlibat dalam jaringan internasional, polisi harus berhadapan dengan warga negara asing. Sementara penguasaan bahasa asing oleh Penyidik Polri masih sangat terbatas. Kurangnya sumber daya aparat penegak hukum juga dapat dilihat dari rendahnya pengetahuan tentang pemberantasan tindak pidana narkotika danketidaktahuan dalam mengungkap pelaku yang telah menggunakan modus-modus yang semakin canggih.</w:t>
      </w:r>
    </w:p>
    <w:p w:rsidR="003F568C" w:rsidRPr="001823C4" w:rsidRDefault="003F568C" w:rsidP="003F568C">
      <w:pPr>
        <w:numPr>
          <w:ilvl w:val="1"/>
          <w:numId w:val="26"/>
        </w:numPr>
        <w:tabs>
          <w:tab w:val="clear" w:pos="1440"/>
          <w:tab w:val="num" w:pos="360"/>
        </w:tabs>
        <w:autoSpaceDE w:val="0"/>
        <w:autoSpaceDN w:val="0"/>
        <w:adjustRightInd w:val="0"/>
        <w:spacing w:line="480" w:lineRule="auto"/>
        <w:ind w:left="360"/>
        <w:jc w:val="both"/>
        <w:rPr>
          <w:color w:val="000000"/>
        </w:rPr>
      </w:pPr>
      <w:r w:rsidRPr="001823C4">
        <w:rPr>
          <w:bCs/>
          <w:color w:val="000000"/>
        </w:rPr>
        <w:t xml:space="preserve">Hambatan eksternal </w:t>
      </w:r>
    </w:p>
    <w:p w:rsidR="003F568C" w:rsidRPr="001823C4" w:rsidRDefault="003F568C" w:rsidP="003F568C">
      <w:pPr>
        <w:autoSpaceDE w:val="0"/>
        <w:autoSpaceDN w:val="0"/>
        <w:adjustRightInd w:val="0"/>
        <w:spacing w:line="480" w:lineRule="auto"/>
        <w:ind w:firstLine="720"/>
        <w:jc w:val="both"/>
        <w:rPr>
          <w:color w:val="000000"/>
        </w:rPr>
      </w:pPr>
      <w:r w:rsidRPr="001823C4">
        <w:rPr>
          <w:color w:val="000000"/>
        </w:rPr>
        <w:lastRenderedPageBreak/>
        <w:t xml:space="preserve">Adapun hambatan eksternal yang dihadapi meliputi : </w:t>
      </w:r>
    </w:p>
    <w:p w:rsidR="003F568C" w:rsidRPr="001823C4" w:rsidRDefault="003F568C" w:rsidP="003F568C">
      <w:pPr>
        <w:numPr>
          <w:ilvl w:val="3"/>
          <w:numId w:val="26"/>
        </w:numPr>
        <w:tabs>
          <w:tab w:val="clear" w:pos="2880"/>
        </w:tabs>
        <w:autoSpaceDE w:val="0"/>
        <w:autoSpaceDN w:val="0"/>
        <w:adjustRightInd w:val="0"/>
        <w:spacing w:line="480" w:lineRule="auto"/>
        <w:ind w:left="360"/>
        <w:jc w:val="both"/>
        <w:rPr>
          <w:color w:val="000000"/>
        </w:rPr>
      </w:pPr>
      <w:r w:rsidRPr="001823C4">
        <w:rPr>
          <w:color w:val="000000"/>
        </w:rPr>
        <w:t xml:space="preserve">Adanya rasa takut masyarakat melaporkan tentang kegiatan penyalahgunaan dan peredaran gelap narkoba; </w:t>
      </w:r>
    </w:p>
    <w:p w:rsidR="003F568C" w:rsidRPr="001823C4" w:rsidRDefault="003F568C" w:rsidP="003F568C">
      <w:pPr>
        <w:numPr>
          <w:ilvl w:val="3"/>
          <w:numId w:val="26"/>
        </w:numPr>
        <w:tabs>
          <w:tab w:val="clear" w:pos="2880"/>
          <w:tab w:val="num" w:pos="360"/>
        </w:tabs>
        <w:autoSpaceDE w:val="0"/>
        <w:autoSpaceDN w:val="0"/>
        <w:adjustRightInd w:val="0"/>
        <w:spacing w:line="480" w:lineRule="auto"/>
        <w:ind w:left="360"/>
        <w:jc w:val="both"/>
        <w:rPr>
          <w:color w:val="000000"/>
        </w:rPr>
      </w:pPr>
      <w:r w:rsidRPr="001823C4">
        <w:rPr>
          <w:color w:val="000000"/>
        </w:rPr>
        <w:t xml:space="preserve">Maraknya tempat-tempat hiburan di Kota Kisaran yang banyak dikunjungi kawula muda dan remaja; </w:t>
      </w:r>
    </w:p>
    <w:p w:rsidR="003F568C" w:rsidRPr="001823C4" w:rsidRDefault="003F568C" w:rsidP="003F568C">
      <w:pPr>
        <w:numPr>
          <w:ilvl w:val="3"/>
          <w:numId w:val="26"/>
        </w:numPr>
        <w:tabs>
          <w:tab w:val="clear" w:pos="2880"/>
          <w:tab w:val="num" w:pos="360"/>
        </w:tabs>
        <w:autoSpaceDE w:val="0"/>
        <w:autoSpaceDN w:val="0"/>
        <w:adjustRightInd w:val="0"/>
        <w:spacing w:line="480" w:lineRule="auto"/>
        <w:ind w:left="360"/>
        <w:jc w:val="both"/>
        <w:rPr>
          <w:color w:val="000000"/>
        </w:rPr>
      </w:pPr>
      <w:r w:rsidRPr="001823C4">
        <w:rPr>
          <w:color w:val="000000"/>
        </w:rPr>
        <w:t xml:space="preserve">Perlunya dilakukan pembuatan Nota Kesepahaman (M.o.U) antara pihak instansi pemerintah, kampus, sekolah-sekolah khususnya fungsi Satuan Narkoba dalam rangka kerjasama untuk melakukan pencegahan pemberantasan penyalahgunaan dan peredaran gelap narkotika di lingkungan masyarakat, sehingga dapat mempermudah petugas satuan narkoba melakukan upaya-upaya non-penal dan penal terhadap para pelaku tindak pidana narkotika. </w:t>
      </w:r>
    </w:p>
    <w:p w:rsidR="003F568C" w:rsidRPr="001823C4" w:rsidRDefault="003F568C" w:rsidP="003F568C">
      <w:pPr>
        <w:autoSpaceDE w:val="0"/>
        <w:autoSpaceDN w:val="0"/>
        <w:adjustRightInd w:val="0"/>
        <w:ind w:left="360"/>
        <w:jc w:val="both"/>
        <w:rPr>
          <w:color w:val="000000"/>
        </w:rPr>
      </w:pPr>
    </w:p>
    <w:p w:rsidR="003F568C" w:rsidRPr="001823C4" w:rsidRDefault="003F568C" w:rsidP="003F568C">
      <w:pPr>
        <w:numPr>
          <w:ilvl w:val="2"/>
          <w:numId w:val="26"/>
        </w:numPr>
        <w:tabs>
          <w:tab w:val="clear" w:pos="2340"/>
          <w:tab w:val="num" w:pos="360"/>
        </w:tabs>
        <w:autoSpaceDE w:val="0"/>
        <w:autoSpaceDN w:val="0"/>
        <w:adjustRightInd w:val="0"/>
        <w:spacing w:line="480" w:lineRule="auto"/>
        <w:ind w:left="360"/>
        <w:jc w:val="both"/>
        <w:rPr>
          <w:b/>
          <w:color w:val="000000"/>
        </w:rPr>
      </w:pPr>
      <w:r w:rsidRPr="001823C4">
        <w:rPr>
          <w:b/>
        </w:rPr>
        <w:t>Pertimbangan Hakim Dalam Menjatuhkan Putusan Terhadap Pecandu Narkotika  Dalam PutusanNomor 296/Pid.Sus/2021/PN.Kis</w:t>
      </w:r>
    </w:p>
    <w:p w:rsidR="003F568C" w:rsidRPr="001823C4" w:rsidRDefault="003F568C" w:rsidP="003F568C">
      <w:pPr>
        <w:numPr>
          <w:ilvl w:val="6"/>
          <w:numId w:val="26"/>
        </w:numPr>
        <w:tabs>
          <w:tab w:val="clear" w:pos="5040"/>
          <w:tab w:val="num" w:pos="720"/>
        </w:tabs>
        <w:autoSpaceDE w:val="0"/>
        <w:autoSpaceDN w:val="0"/>
        <w:adjustRightInd w:val="0"/>
        <w:spacing w:line="480" w:lineRule="auto"/>
        <w:ind w:left="720"/>
        <w:jc w:val="both"/>
        <w:rPr>
          <w:b/>
          <w:color w:val="000000"/>
        </w:rPr>
      </w:pPr>
      <w:r w:rsidRPr="001823C4">
        <w:rPr>
          <w:b/>
          <w:color w:val="000000"/>
        </w:rPr>
        <w:t>Kronologis Kasus</w:t>
      </w:r>
    </w:p>
    <w:p w:rsidR="003F568C" w:rsidRPr="001823C4" w:rsidRDefault="003F568C" w:rsidP="003F568C">
      <w:pPr>
        <w:autoSpaceDE w:val="0"/>
        <w:autoSpaceDN w:val="0"/>
        <w:adjustRightInd w:val="0"/>
        <w:spacing w:line="480" w:lineRule="auto"/>
        <w:ind w:firstLine="720"/>
        <w:jc w:val="both"/>
      </w:pPr>
      <w:r w:rsidRPr="001823C4">
        <w:t>Terdakwa dalam</w:t>
      </w:r>
      <w:r w:rsidRPr="001823C4">
        <w:rPr>
          <w:bCs/>
        </w:rPr>
        <w:t xml:space="preserve">tindak pidana narkotika adalah Putusan  </w:t>
      </w:r>
      <w:r w:rsidRPr="001823C4">
        <w:t xml:space="preserve">Nomor 296/Pid.Sus/2021/PN.Kis adalah Rudy Alias Akiong yang pada hari Selasa tanggal 03 November 2020 sekira pukul 17.00 WIB atau setidak-tidaknya pada suatu waktu dalam tahun 2020, bertempat di Jalan Budi Utomo Kelurahan Siumbut-umbut Kec. Kisaran Timur Kab. Asahan atau setidak-tidaknya pada suatu tempat yang masih termasuk dalam daerah hukum Pengadilan Negeri Kisaran, yang tanpa hak atau melawan hukum menawarkan untuk dijual, menjual, </w:t>
      </w:r>
      <w:r w:rsidRPr="001823C4">
        <w:lastRenderedPageBreak/>
        <w:t>membeli, menerima, menjadi perantara dalam jual beli, menukar, atau menyerahkan Narkotika Golongan I dalam bentuk bukan tanaman beratnya 5 (lima) gram.</w:t>
      </w:r>
    </w:p>
    <w:p w:rsidR="003F568C" w:rsidRPr="001823C4" w:rsidRDefault="003F568C" w:rsidP="003F568C">
      <w:pPr>
        <w:spacing w:line="480" w:lineRule="auto"/>
        <w:ind w:firstLine="720"/>
        <w:jc w:val="both"/>
      </w:pPr>
      <w:r w:rsidRPr="001823C4">
        <w:t>Terdakwa ditangkap pada hari Selasa tanggal 03 November 2020 sekira pukul 17.00 wib rumah milik terdakwa yang terletak di Jalan Budi Utomo Kelurahan Siumbut-umbut Kec. Kisaran Timur Kab. Asahan. Selasa tanggal 03 November 2020 sekira pukul 08.00 wib Endra Harnowo alias Een menghubungi terdakwa dan mengatakan “Bang ada bahan?” lalu terdakwa mengatakan “kosong” lalu Endra Harnowo alias Een mengatakan “ada yang mau beli lima bang, carikanlah” lalu terdakwa mengatakan “nantilah”, kemudian terdakwa menemui Anto Robot di rumahnya dan mengatakan “ada kawaan abang jual shabu” lalu Anto Robot mengatakan “ada di Tanjung” lalu terdakwa mengatakan “hubungilah bang” lalu Anto Robot mengatakan “yaudah kau ke sana bawa uang, kau ke Teluk Nibung, nanti sampai di pertamina sebelah kiri lewat sedikit ada pabrik minyak sebelah kanan, gang perama sebelah knan sesudah pabrik kau tunggu di situ” kemudian terdakwa pergi ke Teluk Nibung.</w:t>
      </w:r>
    </w:p>
    <w:p w:rsidR="003F568C" w:rsidRPr="001823C4" w:rsidRDefault="003F568C" w:rsidP="003F568C">
      <w:pPr>
        <w:spacing w:line="480" w:lineRule="auto"/>
        <w:ind w:firstLine="720"/>
        <w:jc w:val="both"/>
      </w:pPr>
      <w:r w:rsidRPr="001823C4">
        <w:t>Sesampainya di simpang pabrik yang dimaksud terdakwa menghubungi Anto Robot dan mengatakan “Aku sudah di simpang, mana kawanmu?” lalu Anto Robot mengatakan “udah masuk aja kau nanti di dalam ada cakrok, udah di situ orang situ” kemudian terdakwa masuk ke dalam gang dan bertemu dengan Siboy lalu Siboy mengatakan “kau kawan Anto Robot?” lalu terdakwa menjawab “iya” lalu Siboy mengatakan “mau ngambil berapa?” terdakwa mengatakan “berapa harga?” lalu Siboy mengatakan “600.000”.</w:t>
      </w:r>
    </w:p>
    <w:p w:rsidR="003F568C" w:rsidRPr="001823C4" w:rsidRDefault="003F568C" w:rsidP="003F568C">
      <w:pPr>
        <w:spacing w:line="480" w:lineRule="auto"/>
        <w:ind w:firstLine="720"/>
        <w:jc w:val="both"/>
      </w:pPr>
      <w:r w:rsidRPr="001823C4">
        <w:lastRenderedPageBreak/>
        <w:t xml:space="preserve">Terdakwa mengatakan “ngambil sepuluh” kemudian terdakwa memberikan uang sebesar Rp.6.000.000,- (enam juta rupiah) kemudian Siboy memberikan satu plastik klip berisi 10 gr narkotika jenis shabu kepada terdakwa lalu terdakwa membawa shabu tersebut pulang. Kemudian sekitar pukul 12.30 wib terdakwa mengambil sebahagian narkotika jenis shabu untuk digunakan dengan menggunakan alat hisap yang terbuat dari botol plastik di kamar terdakwa, kemudian Endra Harnowo alias Een menghubungi terdakwa untuk memesan shabu, tidak berapa lama kemudian Endra Harnowo alias Een datang menemui terdakwa di rumahnya dan mengatakan “gak jadi lah bang lima, satu dulu aku bawa” kemudian terdakwa mengatakan “mana uangnya?” lalu Endra Harnowo alias Een mengatakan “nanti aku antarkan” kemudian terdakwa membagi dan memasukkan 1 (satu) gram narkotika jenis shabu ke dalam plastik klip lalu memberikan shabu tersebut kepada Endra Harnowo alias Een lalu Endra Harnowo alias Een pergi meninggalkan terdakwa. </w:t>
      </w:r>
    </w:p>
    <w:p w:rsidR="003F568C" w:rsidRPr="001823C4" w:rsidRDefault="003F568C" w:rsidP="003F568C">
      <w:pPr>
        <w:spacing w:line="456" w:lineRule="auto"/>
        <w:ind w:firstLine="720"/>
        <w:jc w:val="both"/>
      </w:pPr>
      <w:r w:rsidRPr="001823C4">
        <w:t>Terdakwa kembali membagi narkotika jenis shabu tersebut menjadi 4 (empat) plastic klip dengan menggunakan timbangan digital, kemudian terdakwa memasukkan narkotika jenis shabu tersebut ke dalam cok sambung dan menyipannya di atas lemari, kemudian sekitar pukul 14.00 wib terdakwa mengambil sebagian narkotika jenis shabu yang ada di dalam cok sambung tersebut lalu terdakwa kembali menggunakan shabu tersebut di ruang tamu rumahnya kemudian tiba-tiba datang polisi dari Polsek Air Joman langsung melakukan penangkapan terhadap terdakwa. Selanutnya terdakwa dipertemukan dengan Endra Harnowo alias Een lalu di bawa ke polsek Air Joman.</w:t>
      </w:r>
    </w:p>
    <w:p w:rsidR="003F568C" w:rsidRPr="001823C4" w:rsidRDefault="003F568C" w:rsidP="003F568C">
      <w:pPr>
        <w:spacing w:line="456" w:lineRule="auto"/>
        <w:ind w:firstLine="720"/>
        <w:jc w:val="both"/>
      </w:pPr>
      <w:r w:rsidRPr="001823C4">
        <w:lastRenderedPageBreak/>
        <w:t>Ketika dilakukan penangkapan terhadap terdakwa ditemukan barang bukti berupa satu buah cok sambung yang di dalamnya terdapat 4 (empat) bungkus narkotika jenis shabu, 20 (dua puluh) plastik klip kosong, 1 (satu) unit timbangan digital merek pocketscale, 1 (satu) unit handphone android, 1 (satu) buah alat hisap yang terbuat dari botol plastik, 1 (satu) buah kaca pirek yang di dalamnya terdapat rekatan narkotika jenis shabu yang mana barang bukti tersebut ditemukan di hadapan terdakwa pada saat ditangkap.</w:t>
      </w:r>
    </w:p>
    <w:p w:rsidR="003F568C" w:rsidRPr="001823C4" w:rsidRDefault="003F568C" w:rsidP="003F568C">
      <w:pPr>
        <w:spacing w:line="504" w:lineRule="auto"/>
        <w:ind w:firstLine="720"/>
        <w:jc w:val="both"/>
      </w:pPr>
      <w:r w:rsidRPr="001823C4">
        <w:t>Terdakwa mendapatkan narkotika jenis shabu tersebut dari Siboy pada hari Selasa tanggal 03 November 2020 sekira pukul 10.00 wib di sebuah gang yang terletak di jalan besar Teluk Nibung Kota Tanjung Balai sebanyak 10gr dengan harga Rp.600.000,- (enam ratus ribu rupiah) per gram. Dengan cara awalnya terdakwa menghubungi Anto Robot untuk mengenalkan terdakwa kepada penjual narkotika kemudian Anto Robot menyuruh terdakwa menemui Siboy yang merupakan seorang penjual narkotika di Teluk Nibung.</w:t>
      </w:r>
    </w:p>
    <w:p w:rsidR="003F568C" w:rsidRPr="001823C4" w:rsidRDefault="003F568C" w:rsidP="003F568C">
      <w:pPr>
        <w:spacing w:line="504" w:lineRule="auto"/>
        <w:ind w:firstLine="720"/>
        <w:jc w:val="both"/>
      </w:pPr>
      <w:r w:rsidRPr="001823C4">
        <w:t xml:space="preserve">Terdakwa tidak ada memiliki izin dari pihak yang berwenang untuk membeli atau menerima shabu tersebut dan berdasarkan Berita Acara Penimbangan dari Kantor Pegadaian Cabang Kisaran Nomor : 486/IL.10089/2020 tanggal 05 Nopember 2020 menyatakan bahwa 4 (empat) plastik klip berisikan butiran kristal diduga narkotika jenis shabu seberat 8,62 (delapan koma enam dua) gram dan dan berdasarkan Berita Acara Analisis Laboratorium Barang Bukti Narkotika No. LAB.: 12339/ NNF/ 2020 tanggal 10 Nopember 2020 dari Puslabfor Polri Cabang Medan yang pada kesimpulannya menyatakan bahwa </w:t>
      </w:r>
      <w:r w:rsidRPr="001823C4">
        <w:lastRenderedPageBreak/>
        <w:t>barang bukti berupa 4 (empat) plastik bening berisi kristal berwarna putih dengan berat netto 8,62 (delapan koma enam dua) gram yang diperiksa milik terdakwa An. Rudy Alias Akiong adalah benar mengandung Metamfetamina dan tedaftar Golongan I (satu) nomor urut 61 Lampiran I Undang-undang Republik Indonesia No. 35 Tahun 2009 tentang Narkotika.</w:t>
      </w:r>
    </w:p>
    <w:p w:rsidR="003F568C" w:rsidRPr="001823C4" w:rsidRDefault="003F568C" w:rsidP="003F568C">
      <w:pPr>
        <w:numPr>
          <w:ilvl w:val="6"/>
          <w:numId w:val="26"/>
        </w:numPr>
        <w:tabs>
          <w:tab w:val="clear" w:pos="5040"/>
          <w:tab w:val="num" w:pos="360"/>
        </w:tabs>
        <w:autoSpaceDE w:val="0"/>
        <w:autoSpaceDN w:val="0"/>
        <w:adjustRightInd w:val="0"/>
        <w:spacing w:line="480" w:lineRule="auto"/>
        <w:ind w:left="360"/>
        <w:jc w:val="both"/>
        <w:rPr>
          <w:b/>
        </w:rPr>
      </w:pPr>
      <w:r w:rsidRPr="001823C4">
        <w:rPr>
          <w:b/>
        </w:rPr>
        <w:t>Dakwaan Jaksa Penuntut Umum.</w:t>
      </w:r>
    </w:p>
    <w:p w:rsidR="003F568C" w:rsidRPr="001823C4" w:rsidRDefault="003F568C" w:rsidP="003F568C">
      <w:pPr>
        <w:autoSpaceDE w:val="0"/>
        <w:autoSpaceDN w:val="0"/>
        <w:adjustRightInd w:val="0"/>
        <w:spacing w:line="480" w:lineRule="auto"/>
        <w:ind w:firstLine="709"/>
        <w:jc w:val="both"/>
      </w:pPr>
      <w:r w:rsidRPr="001823C4">
        <w:t>Berdasarkan kronologis kasus di atas, maka Jaksa Penuntut Umum mendakwa terdakwa dengan dakwaan alternatif sebagai berikut :</w:t>
      </w:r>
    </w:p>
    <w:p w:rsidR="003F568C" w:rsidRPr="001823C4" w:rsidRDefault="003F568C" w:rsidP="003F568C">
      <w:pPr>
        <w:numPr>
          <w:ilvl w:val="0"/>
          <w:numId w:val="34"/>
        </w:numPr>
        <w:tabs>
          <w:tab w:val="left" w:pos="993"/>
        </w:tabs>
        <w:autoSpaceDE w:val="0"/>
        <w:autoSpaceDN w:val="0"/>
        <w:adjustRightInd w:val="0"/>
        <w:ind w:left="993"/>
        <w:jc w:val="both"/>
      </w:pPr>
      <w:r w:rsidRPr="001823C4">
        <w:t>Perbuatan terdakwa sebagaimana diatur dan diancam pidana dalam Pasal 114 Ayat (2) Undang-undang Nomor 35 Tahun 2009 tentang Narkotika.</w:t>
      </w:r>
    </w:p>
    <w:p w:rsidR="003F568C" w:rsidRPr="001823C4" w:rsidRDefault="003F568C" w:rsidP="003F568C">
      <w:pPr>
        <w:numPr>
          <w:ilvl w:val="0"/>
          <w:numId w:val="34"/>
        </w:numPr>
        <w:tabs>
          <w:tab w:val="left" w:pos="993"/>
        </w:tabs>
        <w:autoSpaceDE w:val="0"/>
        <w:autoSpaceDN w:val="0"/>
        <w:adjustRightInd w:val="0"/>
        <w:ind w:left="993"/>
        <w:jc w:val="both"/>
      </w:pPr>
      <w:r w:rsidRPr="001823C4">
        <w:t>Perbuatan terdakwa diatur dan diancam pidana dalam Pasal 112 Ayat (2) Undang-undang Nomor 35 Tahun 2009 tentang Narkotika.</w:t>
      </w:r>
    </w:p>
    <w:p w:rsidR="003F568C" w:rsidRPr="001823C4" w:rsidRDefault="003F568C" w:rsidP="003F568C">
      <w:pPr>
        <w:numPr>
          <w:ilvl w:val="0"/>
          <w:numId w:val="34"/>
        </w:numPr>
        <w:tabs>
          <w:tab w:val="left" w:pos="993"/>
        </w:tabs>
        <w:autoSpaceDE w:val="0"/>
        <w:autoSpaceDN w:val="0"/>
        <w:adjustRightInd w:val="0"/>
        <w:ind w:left="993"/>
        <w:jc w:val="both"/>
      </w:pPr>
      <w:r w:rsidRPr="001823C4">
        <w:t>Perbuatan terdakwa sebagaimana diatur dan diancam pidana dalam Pasal 127 Ayat (1) Huruf a Undang-undang Nomor 35 Tahun 2009 tentang Narkotika</w:t>
      </w:r>
    </w:p>
    <w:p w:rsidR="003F568C" w:rsidRPr="001823C4" w:rsidRDefault="003F568C" w:rsidP="003F568C">
      <w:pPr>
        <w:autoSpaceDE w:val="0"/>
        <w:autoSpaceDN w:val="0"/>
        <w:adjustRightInd w:val="0"/>
        <w:ind w:firstLine="709"/>
        <w:jc w:val="both"/>
      </w:pPr>
    </w:p>
    <w:p w:rsidR="003F568C" w:rsidRPr="001823C4" w:rsidRDefault="003F568C" w:rsidP="003F568C">
      <w:pPr>
        <w:numPr>
          <w:ilvl w:val="1"/>
          <w:numId w:val="26"/>
        </w:numPr>
        <w:tabs>
          <w:tab w:val="clear" w:pos="1440"/>
          <w:tab w:val="num" w:pos="360"/>
        </w:tabs>
        <w:autoSpaceDE w:val="0"/>
        <w:autoSpaceDN w:val="0"/>
        <w:adjustRightInd w:val="0"/>
        <w:spacing w:line="480" w:lineRule="auto"/>
        <w:ind w:left="360"/>
        <w:jc w:val="both"/>
        <w:rPr>
          <w:b/>
        </w:rPr>
      </w:pPr>
      <w:r w:rsidRPr="001823C4">
        <w:rPr>
          <w:b/>
        </w:rPr>
        <w:t>Tuntutan Jaksa Penuntut Umum.</w:t>
      </w:r>
    </w:p>
    <w:p w:rsidR="003F568C" w:rsidRPr="001823C4" w:rsidRDefault="003F568C" w:rsidP="003F568C">
      <w:pPr>
        <w:autoSpaceDE w:val="0"/>
        <w:autoSpaceDN w:val="0"/>
        <w:adjustRightInd w:val="0"/>
        <w:spacing w:line="480" w:lineRule="auto"/>
        <w:ind w:firstLine="709"/>
        <w:jc w:val="both"/>
      </w:pPr>
      <w:r w:rsidRPr="001823C4">
        <w:t>Tuntutan pidana yang diajukan oleh Penuntut Umum yang pada pokoknya sebagai berikut:</w:t>
      </w:r>
    </w:p>
    <w:p w:rsidR="003F568C" w:rsidRPr="001823C4" w:rsidRDefault="003F568C" w:rsidP="003F568C">
      <w:pPr>
        <w:numPr>
          <w:ilvl w:val="0"/>
          <w:numId w:val="35"/>
        </w:numPr>
        <w:tabs>
          <w:tab w:val="left" w:pos="1134"/>
        </w:tabs>
        <w:autoSpaceDE w:val="0"/>
        <w:autoSpaceDN w:val="0"/>
        <w:adjustRightInd w:val="0"/>
        <w:ind w:left="1134" w:hanging="425"/>
        <w:jc w:val="both"/>
      </w:pPr>
      <w:r w:rsidRPr="001823C4">
        <w:t>Menyatakan terdakwa Rudy Alias Akiong bersalah melakukan tindak pidana 'tanpa hak atau melawan hukum menawarkan untuk dijual, menjual, membeli, menerima, menjadi perantara dalam jua! beli, menukar, atau menyerahkan narkotika Golongan I bukan tanaman beratnya 5 (lima) gram sebagaimana diatur dalam Pasal 114 ayat (2) UU RI No 35 Tahun 2009 tentang Narkotika dalam Dakwaan Pertama;</w:t>
      </w:r>
    </w:p>
    <w:p w:rsidR="003F568C" w:rsidRPr="001823C4" w:rsidRDefault="003F568C" w:rsidP="003F568C">
      <w:pPr>
        <w:numPr>
          <w:ilvl w:val="0"/>
          <w:numId w:val="35"/>
        </w:numPr>
        <w:tabs>
          <w:tab w:val="left" w:pos="1134"/>
        </w:tabs>
        <w:autoSpaceDE w:val="0"/>
        <w:autoSpaceDN w:val="0"/>
        <w:adjustRightInd w:val="0"/>
        <w:ind w:left="1134" w:hanging="425"/>
        <w:jc w:val="both"/>
      </w:pPr>
      <w:r w:rsidRPr="001823C4">
        <w:t>Menjatuhkan pidana terhadap terdakwa Rudy Alias Akiong dengan pidana penjara selama 10 (sepuluh) tahun dikurangi selama terdakwa dalam masa penahanan denda sebesar Rp.1.000.000.000 (satu milyar rupiah) subsidair 6 (enam) bulan penjara,dengan perintah agar terdakwa tetap ditahan.</w:t>
      </w:r>
    </w:p>
    <w:p w:rsidR="003F568C" w:rsidRPr="001823C4" w:rsidRDefault="003F568C" w:rsidP="003F568C">
      <w:pPr>
        <w:numPr>
          <w:ilvl w:val="0"/>
          <w:numId w:val="35"/>
        </w:numPr>
        <w:tabs>
          <w:tab w:val="left" w:pos="1134"/>
        </w:tabs>
        <w:autoSpaceDE w:val="0"/>
        <w:autoSpaceDN w:val="0"/>
        <w:adjustRightInd w:val="0"/>
        <w:ind w:left="1134" w:hanging="425"/>
        <w:jc w:val="both"/>
      </w:pPr>
      <w:r w:rsidRPr="001823C4">
        <w:t>Menyatakan barang bukti berupa :</w:t>
      </w:r>
    </w:p>
    <w:p w:rsidR="003F568C" w:rsidRPr="001823C4" w:rsidRDefault="003F568C" w:rsidP="003F568C">
      <w:pPr>
        <w:numPr>
          <w:ilvl w:val="0"/>
          <w:numId w:val="37"/>
        </w:numPr>
        <w:autoSpaceDE w:val="0"/>
        <w:autoSpaceDN w:val="0"/>
        <w:adjustRightInd w:val="0"/>
        <w:ind w:left="1560" w:hanging="425"/>
        <w:jc w:val="both"/>
      </w:pPr>
      <w:r w:rsidRPr="001823C4">
        <w:lastRenderedPageBreak/>
        <w:t>1 (satu) buah cok sambung yang didalamnya berisikan 4 (empat) plastik klip berisikan narkotika jenis shabu dengan berat netto 8,62 (delapan koma enam dua) gram;</w:t>
      </w:r>
    </w:p>
    <w:p w:rsidR="003F568C" w:rsidRPr="001823C4" w:rsidRDefault="003F568C" w:rsidP="003F568C">
      <w:pPr>
        <w:numPr>
          <w:ilvl w:val="0"/>
          <w:numId w:val="37"/>
        </w:numPr>
        <w:autoSpaceDE w:val="0"/>
        <w:autoSpaceDN w:val="0"/>
        <w:adjustRightInd w:val="0"/>
        <w:ind w:left="1560" w:hanging="425"/>
        <w:jc w:val="both"/>
      </w:pPr>
      <w:r w:rsidRPr="001823C4">
        <w:t>20 (dua puluh) plastik klip kosong;</w:t>
      </w:r>
    </w:p>
    <w:p w:rsidR="003F568C" w:rsidRPr="001823C4" w:rsidRDefault="003F568C" w:rsidP="003F568C">
      <w:pPr>
        <w:numPr>
          <w:ilvl w:val="0"/>
          <w:numId w:val="37"/>
        </w:numPr>
        <w:autoSpaceDE w:val="0"/>
        <w:autoSpaceDN w:val="0"/>
        <w:adjustRightInd w:val="0"/>
        <w:ind w:left="1560" w:hanging="425"/>
        <w:jc w:val="both"/>
      </w:pPr>
      <w:r w:rsidRPr="001823C4">
        <w:t>1 (satu) unit timbangan digital merk pocket scale;</w:t>
      </w:r>
    </w:p>
    <w:p w:rsidR="003F568C" w:rsidRPr="001823C4" w:rsidRDefault="003F568C" w:rsidP="003F568C">
      <w:pPr>
        <w:numPr>
          <w:ilvl w:val="0"/>
          <w:numId w:val="37"/>
        </w:numPr>
        <w:autoSpaceDE w:val="0"/>
        <w:autoSpaceDN w:val="0"/>
        <w:adjustRightInd w:val="0"/>
        <w:ind w:left="1560" w:hanging="425"/>
        <w:jc w:val="both"/>
      </w:pPr>
      <w:r w:rsidRPr="001823C4">
        <w:t>1 (satu) unit handphone warna hijau merk Realme;</w:t>
      </w:r>
    </w:p>
    <w:p w:rsidR="003F568C" w:rsidRPr="001823C4" w:rsidRDefault="003F568C" w:rsidP="003F568C">
      <w:pPr>
        <w:autoSpaceDE w:val="0"/>
        <w:autoSpaceDN w:val="0"/>
        <w:adjustRightInd w:val="0"/>
        <w:ind w:left="1134"/>
        <w:jc w:val="both"/>
      </w:pPr>
      <w:r w:rsidRPr="001823C4">
        <w:t>Dirampas untuk dimusnahkan;</w:t>
      </w:r>
    </w:p>
    <w:p w:rsidR="003F568C" w:rsidRPr="001823C4" w:rsidRDefault="003F568C" w:rsidP="003F568C">
      <w:pPr>
        <w:numPr>
          <w:ilvl w:val="0"/>
          <w:numId w:val="35"/>
        </w:numPr>
        <w:tabs>
          <w:tab w:val="left" w:pos="1134"/>
        </w:tabs>
        <w:autoSpaceDE w:val="0"/>
        <w:autoSpaceDN w:val="0"/>
        <w:adjustRightInd w:val="0"/>
        <w:ind w:left="1134" w:hanging="425"/>
        <w:jc w:val="both"/>
        <w:rPr>
          <w:b/>
        </w:rPr>
      </w:pPr>
      <w:r w:rsidRPr="001823C4">
        <w:t>Menetapkan supaya terdakwa dibebani membayar biaya perkara sebesar Rp. 5.000,- (lima ribu rupiah).</w:t>
      </w:r>
    </w:p>
    <w:p w:rsidR="003F568C" w:rsidRPr="001823C4" w:rsidRDefault="003F568C" w:rsidP="003F568C">
      <w:pPr>
        <w:autoSpaceDE w:val="0"/>
        <w:autoSpaceDN w:val="0"/>
        <w:adjustRightInd w:val="0"/>
        <w:ind w:left="360"/>
        <w:jc w:val="both"/>
        <w:rPr>
          <w:b/>
        </w:rPr>
      </w:pPr>
    </w:p>
    <w:p w:rsidR="003F568C" w:rsidRPr="001823C4" w:rsidRDefault="003F568C" w:rsidP="003F568C">
      <w:pPr>
        <w:numPr>
          <w:ilvl w:val="1"/>
          <w:numId w:val="26"/>
        </w:numPr>
        <w:tabs>
          <w:tab w:val="clear" w:pos="1440"/>
          <w:tab w:val="num" w:pos="360"/>
        </w:tabs>
        <w:spacing w:line="480" w:lineRule="auto"/>
        <w:ind w:left="360"/>
        <w:jc w:val="both"/>
      </w:pPr>
      <w:r w:rsidRPr="001823C4">
        <w:rPr>
          <w:b/>
        </w:rPr>
        <w:t>Amar Putusan.</w:t>
      </w:r>
    </w:p>
    <w:p w:rsidR="003F568C" w:rsidRPr="001823C4" w:rsidRDefault="003F568C" w:rsidP="003F568C">
      <w:pPr>
        <w:spacing w:line="480" w:lineRule="auto"/>
        <w:ind w:firstLine="720"/>
        <w:jc w:val="both"/>
      </w:pPr>
      <w:r w:rsidRPr="001823C4">
        <w:t>Pengadilan Negeri Kisaran memberikan putusan Nomor 296/Pid.Sus/2021/PN.Kis, Senin tanggal 26 April 2021yang amar lengkapnya sebagai berikut :</w:t>
      </w:r>
    </w:p>
    <w:p w:rsidR="003F568C" w:rsidRPr="001823C4" w:rsidRDefault="003F568C" w:rsidP="003F568C">
      <w:pPr>
        <w:numPr>
          <w:ilvl w:val="0"/>
          <w:numId w:val="36"/>
        </w:numPr>
        <w:tabs>
          <w:tab w:val="left" w:pos="1134"/>
        </w:tabs>
        <w:autoSpaceDE w:val="0"/>
        <w:autoSpaceDN w:val="0"/>
        <w:adjustRightInd w:val="0"/>
        <w:ind w:left="1134" w:hanging="425"/>
        <w:jc w:val="both"/>
      </w:pPr>
      <w:r w:rsidRPr="001823C4">
        <w:t>Menyatakan terdakwa Rudy Alias Akiong tersebut di atas, terbukti secara sah dan meyakinkan bersalah melakukan tindak pidana tanpa hak menjual dan membeli Narkotika Golongan I dalam bentuk bukan tanaman yang beratnya melebihi 5 (lima) gram sebagaimana dalam dakwaan alternatif pertama;</w:t>
      </w:r>
    </w:p>
    <w:p w:rsidR="003F568C" w:rsidRPr="001823C4" w:rsidRDefault="003F568C" w:rsidP="003F568C">
      <w:pPr>
        <w:numPr>
          <w:ilvl w:val="0"/>
          <w:numId w:val="36"/>
        </w:numPr>
        <w:tabs>
          <w:tab w:val="left" w:pos="1134"/>
        </w:tabs>
        <w:autoSpaceDE w:val="0"/>
        <w:autoSpaceDN w:val="0"/>
        <w:adjustRightInd w:val="0"/>
        <w:ind w:left="1134" w:hanging="425"/>
        <w:jc w:val="both"/>
      </w:pPr>
      <w:r w:rsidRPr="001823C4">
        <w:t xml:space="preserve">Menjatuhkan pidana kepada terdakwa oleh karena itu dengan pidana penjara selama 9 (sembilan) tahun dan denda sebesar Rp1.000.000.000,00 (satu milyar rupiah) dengan ketentuan apabila denda tersebut tidak dibayar, maka diganti dengan pidana penjara selama 4 (empat bulan; </w:t>
      </w:r>
    </w:p>
    <w:p w:rsidR="003F568C" w:rsidRPr="001823C4" w:rsidRDefault="003F568C" w:rsidP="003F568C">
      <w:pPr>
        <w:numPr>
          <w:ilvl w:val="0"/>
          <w:numId w:val="36"/>
        </w:numPr>
        <w:tabs>
          <w:tab w:val="left" w:pos="1134"/>
        </w:tabs>
        <w:autoSpaceDE w:val="0"/>
        <w:autoSpaceDN w:val="0"/>
        <w:adjustRightInd w:val="0"/>
        <w:ind w:left="1134" w:hanging="425"/>
        <w:jc w:val="both"/>
      </w:pPr>
      <w:r w:rsidRPr="001823C4">
        <w:t xml:space="preserve">Menetapkan masa penangkapan dan penahanan yang telah dijalani terdakwa dikurangkan seluruhnya dari lamanya pidana yang dijatuhkan; </w:t>
      </w:r>
    </w:p>
    <w:p w:rsidR="003F568C" w:rsidRPr="001823C4" w:rsidRDefault="003F568C" w:rsidP="003F568C">
      <w:pPr>
        <w:numPr>
          <w:ilvl w:val="0"/>
          <w:numId w:val="36"/>
        </w:numPr>
        <w:tabs>
          <w:tab w:val="left" w:pos="1134"/>
        </w:tabs>
        <w:autoSpaceDE w:val="0"/>
        <w:autoSpaceDN w:val="0"/>
        <w:adjustRightInd w:val="0"/>
        <w:ind w:left="1134" w:hanging="425"/>
        <w:jc w:val="both"/>
      </w:pPr>
      <w:r w:rsidRPr="001823C4">
        <w:t>Menetapkan terdakwa tetap ditahan;</w:t>
      </w:r>
    </w:p>
    <w:p w:rsidR="003F568C" w:rsidRPr="001823C4" w:rsidRDefault="003F568C" w:rsidP="003F568C">
      <w:pPr>
        <w:numPr>
          <w:ilvl w:val="0"/>
          <w:numId w:val="36"/>
        </w:numPr>
        <w:tabs>
          <w:tab w:val="left" w:pos="1134"/>
        </w:tabs>
        <w:autoSpaceDE w:val="0"/>
        <w:autoSpaceDN w:val="0"/>
        <w:adjustRightInd w:val="0"/>
        <w:ind w:left="1134" w:hanging="425"/>
        <w:jc w:val="both"/>
      </w:pPr>
      <w:r w:rsidRPr="001823C4">
        <w:t>Menetapkan barang bukti berupa:</w:t>
      </w:r>
    </w:p>
    <w:p w:rsidR="003F568C" w:rsidRPr="001823C4" w:rsidRDefault="003F568C" w:rsidP="003F568C">
      <w:pPr>
        <w:numPr>
          <w:ilvl w:val="0"/>
          <w:numId w:val="38"/>
        </w:numPr>
        <w:autoSpaceDE w:val="0"/>
        <w:autoSpaceDN w:val="0"/>
        <w:adjustRightInd w:val="0"/>
        <w:ind w:left="1560" w:hanging="425"/>
        <w:jc w:val="both"/>
      </w:pPr>
      <w:r w:rsidRPr="001823C4">
        <w:t>1 (satu) buah cok sambung yang didalamnya berisikan 4 (empat) plastik klip berisikan narkotika jenis shabu dengan berat netto 8,62 (delapan koma enam puluh dua) gram;</w:t>
      </w:r>
    </w:p>
    <w:p w:rsidR="003F568C" w:rsidRPr="001823C4" w:rsidRDefault="003F568C" w:rsidP="003F568C">
      <w:pPr>
        <w:numPr>
          <w:ilvl w:val="0"/>
          <w:numId w:val="38"/>
        </w:numPr>
        <w:autoSpaceDE w:val="0"/>
        <w:autoSpaceDN w:val="0"/>
        <w:adjustRightInd w:val="0"/>
        <w:ind w:left="1560" w:hanging="425"/>
        <w:jc w:val="both"/>
      </w:pPr>
      <w:r w:rsidRPr="001823C4">
        <w:t>20 (dua puluh) plastik klip kosong;</w:t>
      </w:r>
    </w:p>
    <w:p w:rsidR="003F568C" w:rsidRPr="001823C4" w:rsidRDefault="003F568C" w:rsidP="003F568C">
      <w:pPr>
        <w:numPr>
          <w:ilvl w:val="0"/>
          <w:numId w:val="38"/>
        </w:numPr>
        <w:autoSpaceDE w:val="0"/>
        <w:autoSpaceDN w:val="0"/>
        <w:adjustRightInd w:val="0"/>
        <w:ind w:left="1560" w:hanging="425"/>
        <w:jc w:val="both"/>
      </w:pPr>
      <w:r w:rsidRPr="001823C4">
        <w:t>1 (satu) unit timbangan digital merk Pocket Scale;</w:t>
      </w:r>
    </w:p>
    <w:p w:rsidR="003F568C" w:rsidRPr="001823C4" w:rsidRDefault="003F568C" w:rsidP="003F568C">
      <w:pPr>
        <w:numPr>
          <w:ilvl w:val="0"/>
          <w:numId w:val="38"/>
        </w:numPr>
        <w:autoSpaceDE w:val="0"/>
        <w:autoSpaceDN w:val="0"/>
        <w:adjustRightInd w:val="0"/>
        <w:ind w:left="1560" w:hanging="425"/>
        <w:jc w:val="both"/>
      </w:pPr>
      <w:r w:rsidRPr="001823C4">
        <w:t>1 (satu) unit handphone warna hijau merk Realme;</w:t>
      </w:r>
    </w:p>
    <w:p w:rsidR="003F568C" w:rsidRPr="001823C4" w:rsidRDefault="003F568C" w:rsidP="003F568C">
      <w:pPr>
        <w:autoSpaceDE w:val="0"/>
        <w:autoSpaceDN w:val="0"/>
        <w:adjustRightInd w:val="0"/>
        <w:ind w:left="1134"/>
        <w:jc w:val="both"/>
      </w:pPr>
      <w:r w:rsidRPr="001823C4">
        <w:t>Dirampas untuk dimusnahkan;</w:t>
      </w:r>
    </w:p>
    <w:p w:rsidR="003F568C" w:rsidRPr="001823C4" w:rsidRDefault="003F568C" w:rsidP="003F568C">
      <w:pPr>
        <w:numPr>
          <w:ilvl w:val="0"/>
          <w:numId w:val="36"/>
        </w:numPr>
        <w:tabs>
          <w:tab w:val="left" w:pos="1134"/>
        </w:tabs>
        <w:autoSpaceDE w:val="0"/>
        <w:autoSpaceDN w:val="0"/>
        <w:adjustRightInd w:val="0"/>
        <w:ind w:left="1134" w:hanging="425"/>
        <w:jc w:val="both"/>
      </w:pPr>
      <w:r w:rsidRPr="001823C4">
        <w:t>Membebankan kepada terdakwa untuk membayar biaya perkara sejumlah Rp5.000,- (lima ribu rupiah).</w:t>
      </w:r>
    </w:p>
    <w:p w:rsidR="003F568C" w:rsidRPr="001823C4" w:rsidRDefault="003F568C" w:rsidP="003F568C">
      <w:pPr>
        <w:tabs>
          <w:tab w:val="left" w:pos="1134"/>
        </w:tabs>
        <w:autoSpaceDE w:val="0"/>
        <w:autoSpaceDN w:val="0"/>
        <w:adjustRightInd w:val="0"/>
        <w:ind w:left="1134"/>
        <w:jc w:val="both"/>
      </w:pPr>
    </w:p>
    <w:p w:rsidR="003F568C" w:rsidRPr="001823C4" w:rsidRDefault="003F568C" w:rsidP="003F568C">
      <w:pPr>
        <w:autoSpaceDE w:val="0"/>
        <w:autoSpaceDN w:val="0"/>
        <w:adjustRightInd w:val="0"/>
        <w:ind w:left="360"/>
        <w:jc w:val="both"/>
      </w:pPr>
    </w:p>
    <w:p w:rsidR="003F568C" w:rsidRPr="001823C4" w:rsidRDefault="003F568C" w:rsidP="003F568C">
      <w:pPr>
        <w:numPr>
          <w:ilvl w:val="1"/>
          <w:numId w:val="26"/>
        </w:numPr>
        <w:tabs>
          <w:tab w:val="clear" w:pos="1440"/>
          <w:tab w:val="num" w:pos="360"/>
        </w:tabs>
        <w:autoSpaceDE w:val="0"/>
        <w:autoSpaceDN w:val="0"/>
        <w:adjustRightInd w:val="0"/>
        <w:spacing w:line="480" w:lineRule="auto"/>
        <w:ind w:left="360"/>
        <w:jc w:val="both"/>
        <w:rPr>
          <w:b/>
        </w:rPr>
      </w:pPr>
      <w:r w:rsidRPr="001823C4">
        <w:rPr>
          <w:b/>
        </w:rPr>
        <w:t>Analisis Putusan</w:t>
      </w:r>
    </w:p>
    <w:p w:rsidR="003F568C" w:rsidRPr="001823C4" w:rsidRDefault="003F568C" w:rsidP="003F568C">
      <w:pPr>
        <w:autoSpaceDE w:val="0"/>
        <w:autoSpaceDN w:val="0"/>
        <w:adjustRightInd w:val="0"/>
        <w:spacing w:line="480" w:lineRule="auto"/>
        <w:ind w:firstLine="720"/>
        <w:jc w:val="both"/>
      </w:pPr>
      <w:r w:rsidRPr="001823C4">
        <w:lastRenderedPageBreak/>
        <w:t xml:space="preserve">Berdasarkan </w:t>
      </w:r>
      <w:r w:rsidRPr="001823C4">
        <w:rPr>
          <w:color w:val="000000"/>
        </w:rPr>
        <w:t xml:space="preserve">putusanPengadilan </w:t>
      </w:r>
      <w:r w:rsidRPr="001823C4">
        <w:t>Negeri Kisaran Nomor 296/Pid.Sus/2021/PN.Kis bahwa surat dakwaan yang diuraikan Penuntut Umum dalam perkara tersebut telah sesuai dengan ketentuan Pasal 143 ayat (2) KUHAP dan hukum pidana materiil yang didakwakan pada dakwaan ketiga yakni terdakwa melanggar Pasal  Pasal 114 ayat (2) Undang-Undang RI Nomor 35 Tahun 2009 tentang Narkotika, adalah sebagai berikut :</w:t>
      </w:r>
    </w:p>
    <w:p w:rsidR="003F568C" w:rsidRPr="001823C4" w:rsidRDefault="003F568C" w:rsidP="003F568C">
      <w:pPr>
        <w:numPr>
          <w:ilvl w:val="3"/>
          <w:numId w:val="31"/>
        </w:numPr>
        <w:tabs>
          <w:tab w:val="clear" w:pos="2520"/>
          <w:tab w:val="num" w:pos="360"/>
        </w:tabs>
        <w:autoSpaceDE w:val="0"/>
        <w:autoSpaceDN w:val="0"/>
        <w:adjustRightInd w:val="0"/>
        <w:spacing w:line="480" w:lineRule="auto"/>
        <w:ind w:left="360"/>
        <w:jc w:val="both"/>
      </w:pPr>
      <w:r w:rsidRPr="001823C4">
        <w:t>Unsur setiap orang.</w:t>
      </w:r>
    </w:p>
    <w:p w:rsidR="003F568C" w:rsidRPr="001823C4" w:rsidRDefault="003F568C" w:rsidP="003F568C">
      <w:pPr>
        <w:autoSpaceDE w:val="0"/>
        <w:autoSpaceDN w:val="0"/>
        <w:adjustRightInd w:val="0"/>
        <w:spacing w:line="480" w:lineRule="auto"/>
        <w:ind w:firstLine="720"/>
        <w:jc w:val="both"/>
      </w:pPr>
      <w:r w:rsidRPr="001823C4">
        <w:t xml:space="preserve">Unsur setiap orang adalah subjek hukum sebagai pengemban/pendukung hak dan kewajiban, meliputi subyek hukum orang/pribadi </w:t>
      </w:r>
      <w:r w:rsidRPr="001823C4">
        <w:rPr>
          <w:i/>
          <w:iCs/>
        </w:rPr>
        <w:t xml:space="preserve">(natuurlijke persoon) </w:t>
      </w:r>
      <w:r w:rsidRPr="001823C4">
        <w:t xml:space="preserve">maupun badan hukum </w:t>
      </w:r>
      <w:r w:rsidRPr="001823C4">
        <w:rPr>
          <w:i/>
          <w:iCs/>
        </w:rPr>
        <w:t xml:space="preserve">(recht persoon) </w:t>
      </w:r>
      <w:r w:rsidRPr="001823C4">
        <w:t>yang dapat dimintakan pertanggungjawaban pidana atas perbuatan yang dilakukannya. Berdasarkan fakta-fakta hasil persidangan dari keterangan saksi-saksi dan keterangan para terdakwa telah menunjuk kepada subyek hukum orang/pribadi yaitu yang setelah dicocokkan identitasnya di persidangan, ternyata para terdakwa membenarkan dan telah sesuai pula dengan identitas para terdakwa dalam surat dakwaan Penuntut Umum. Dalam perkara ini yang disangka atau didugai sebagai pelaku tindak pidana adalah terdakwa Rudy Alias Akiong lengkapnya telah dinyatakan oleh Majelis Hakim dan ternyata sama dengan identitas Terdakwa yang termuat dalam surat dakwaan dan terdakwa telah membenarkan, sehingga unsur setiap orang telah terpenuhi menurut hukum.</w:t>
      </w:r>
    </w:p>
    <w:p w:rsidR="003F568C" w:rsidRPr="001823C4" w:rsidRDefault="003F568C" w:rsidP="003F568C">
      <w:pPr>
        <w:numPr>
          <w:ilvl w:val="3"/>
          <w:numId w:val="31"/>
        </w:numPr>
        <w:tabs>
          <w:tab w:val="clear" w:pos="2520"/>
          <w:tab w:val="num" w:pos="360"/>
        </w:tabs>
        <w:autoSpaceDE w:val="0"/>
        <w:autoSpaceDN w:val="0"/>
        <w:adjustRightInd w:val="0"/>
        <w:spacing w:line="456" w:lineRule="auto"/>
        <w:ind w:left="360"/>
        <w:jc w:val="both"/>
      </w:pPr>
      <w:r w:rsidRPr="001823C4">
        <w:t>Unsur tanpa hak atau melawan hukum</w:t>
      </w:r>
      <w:r w:rsidRPr="001823C4">
        <w:rPr>
          <w:bCs/>
        </w:rPr>
        <w:t>.</w:t>
      </w:r>
    </w:p>
    <w:p w:rsidR="003F568C" w:rsidRPr="001823C4" w:rsidRDefault="003F568C" w:rsidP="003F568C">
      <w:pPr>
        <w:autoSpaceDE w:val="0"/>
        <w:autoSpaceDN w:val="0"/>
        <w:adjustRightInd w:val="0"/>
        <w:spacing w:line="456" w:lineRule="auto"/>
        <w:ind w:firstLine="720"/>
        <w:jc w:val="both"/>
      </w:pPr>
      <w:r w:rsidRPr="001823C4">
        <w:t xml:space="preserve">Tanpa hak dalam UU Nomor 35 Tahun 2009 adalah perbuatan yang dilakukan oleh seseorang tanpa izin dan atau persetujuan dari pihak yang </w:t>
      </w:r>
      <w:r w:rsidRPr="001823C4">
        <w:lastRenderedPageBreak/>
        <w:t>berwenang untuk itu, yaitu Menteri atas rekomendasi dari Badan Pengawas Obat dan Makanan atau pejabat lain yang berwenang berdasarkan Undang-Undang No. 35 Tahun 2009 tentang Narkotika dan peraturan perundang-undangan lain yang bersangkutan.</w:t>
      </w:r>
    </w:p>
    <w:p w:rsidR="003F568C" w:rsidRPr="001823C4" w:rsidRDefault="003F568C" w:rsidP="003F568C">
      <w:pPr>
        <w:autoSpaceDE w:val="0"/>
        <w:autoSpaceDN w:val="0"/>
        <w:adjustRightInd w:val="0"/>
        <w:spacing w:line="480" w:lineRule="auto"/>
        <w:ind w:firstLine="720"/>
        <w:jc w:val="both"/>
      </w:pPr>
      <w:r w:rsidRPr="001823C4">
        <w:t>Melawan hukum adalah perbuatan yang dilakukan oleh seseorang atas izin dari pihak yang berwenang untuk itu, yaitu Menteri atas rekomendasi dari Badan Pengawas Obat dan Makanan atau pejabat lain yang berwenang berdasarkan Undang-Undang No. 35 Tahun 2009 tentang Narkotika namun terjadi penyalahgunaan izin atau diluar peruntukan dari izin yang diberikan.</w:t>
      </w:r>
    </w:p>
    <w:p w:rsidR="003F568C" w:rsidRPr="001823C4" w:rsidRDefault="003F568C" w:rsidP="003F568C">
      <w:pPr>
        <w:autoSpaceDE w:val="0"/>
        <w:autoSpaceDN w:val="0"/>
        <w:adjustRightInd w:val="0"/>
        <w:spacing w:line="480" w:lineRule="auto"/>
        <w:ind w:firstLine="720"/>
        <w:jc w:val="both"/>
      </w:pPr>
      <w:r w:rsidRPr="001823C4">
        <w:t>Pasal 7 Undang-Undang Nomor 35 Tahun 2009 tentang Narkotika telah ditentukan bahwa narkotika hanya dapat digunakan untuk kepentingan pelayanan kesehatan dan atau pengembangan ilmu pengetahuan dan teknologi, sedangkan izin menggunakan Narkotika dan pengadaannya harus dilakukan oleh Menteri Kesehatan Republik Indonesia atau pejabat lainnya, sehingga apakah terdakwa ada izin atau tidaknya dalam perbuatannya, hal tersebut akan menjadi pembahasan lebih mendalam dalam unsur pokok yang didakwakan kepada terdakwa.</w:t>
      </w:r>
    </w:p>
    <w:p w:rsidR="003F568C" w:rsidRPr="001823C4" w:rsidRDefault="003F568C" w:rsidP="003F568C">
      <w:pPr>
        <w:autoSpaceDE w:val="0"/>
        <w:autoSpaceDN w:val="0"/>
        <w:adjustRightInd w:val="0"/>
        <w:spacing w:line="480" w:lineRule="auto"/>
        <w:ind w:firstLine="720"/>
        <w:jc w:val="both"/>
      </w:pPr>
      <w:r w:rsidRPr="001823C4">
        <w:t xml:space="preserve">Berdasarkan fakta-fakta hukum jelas bahwa terdakwa tidak ada izin atau surat yang menerangkan bahwa terdakwa berhak untuk untuk menjual, membeli, menerima, menjadi perantara dalam jual beli, menukar atau menyerahkan Narkotika Golongan I. Barang bukti yang diamankan dari terdakwa merupakan narkotika shabu berdasarkan Berita Acara Analisis Laboratorium Barang Bukti Narkotika No. LAB.: 12339/ NNF/ 2020 tanggal 10 Nopember 2020 dari Puslabfor Polri Cabang Medan yang pada kesimpulannya menyatakan bahwa </w:t>
      </w:r>
      <w:r w:rsidRPr="001823C4">
        <w:lastRenderedPageBreak/>
        <w:t>barang bukti berupa 4 (empat) plastik bening berisi Kristal berwarna putih dengan berat netto 8,62 (delapan koma enam dua) gram yang diperiksa milik terdakwa An. Rudy Alias Akiong adalah benar mengandung Metamfetamina dan tedaftar Golongan I (satu) nomor urut 61 Lampiran I Undang-undang Republik Indonesia No. 35 Tahun 2009 tentang Narkotika dengan demikian unsur tanpa hak atau melawan hukum tersebut telah terpenuhi pula.</w:t>
      </w:r>
    </w:p>
    <w:p w:rsidR="003F568C" w:rsidRPr="001823C4" w:rsidRDefault="003F568C" w:rsidP="003F568C">
      <w:pPr>
        <w:numPr>
          <w:ilvl w:val="3"/>
          <w:numId w:val="31"/>
        </w:numPr>
        <w:tabs>
          <w:tab w:val="clear" w:pos="2520"/>
          <w:tab w:val="num" w:pos="360"/>
        </w:tabs>
        <w:autoSpaceDE w:val="0"/>
        <w:autoSpaceDN w:val="0"/>
        <w:adjustRightInd w:val="0"/>
        <w:spacing w:line="480" w:lineRule="auto"/>
        <w:ind w:left="360"/>
        <w:jc w:val="both"/>
      </w:pPr>
      <w:r w:rsidRPr="001823C4">
        <w:t>Unsur menawarkan untuk dijual, menjual, membeli, menerima, menjadi perantara dalam jual beli, menukar atau menyerahkan Narkotika Golongan I yang beratnya melebihi 5 (lima) gram.</w:t>
      </w:r>
    </w:p>
    <w:p w:rsidR="003F568C" w:rsidRPr="001823C4" w:rsidRDefault="003F568C" w:rsidP="003F568C">
      <w:pPr>
        <w:autoSpaceDE w:val="0"/>
        <w:autoSpaceDN w:val="0"/>
        <w:adjustRightInd w:val="0"/>
        <w:spacing w:line="480" w:lineRule="auto"/>
        <w:ind w:firstLine="720"/>
        <w:jc w:val="both"/>
      </w:pPr>
      <w:r w:rsidRPr="001823C4">
        <w:t>Unsur ini dirumuskan secara alternatif, artinya jika salah satu sub unsur sudah terpenuhi, maka unsur ini dianggap telah terbukti, Berdasarkan fakta yang terungkap dipersidangan bahwa benar pada hari Selasa tanggal 3 Nopember 2020 sekira pukul 17.00 Wib terdakwa ditangkap pihak Polsek Air Joman di rumah terdakwa yang beralamat di Jalan Budi Utomo Kelurahan Siumbut-umbut Kecamatan Kisaran Timur Kabupaten Asahan karena kejahatan narkotika shabu.</w:t>
      </w:r>
    </w:p>
    <w:p w:rsidR="003F568C" w:rsidRPr="001823C4" w:rsidRDefault="003F568C" w:rsidP="003F568C">
      <w:pPr>
        <w:autoSpaceDE w:val="0"/>
        <w:autoSpaceDN w:val="0"/>
        <w:adjustRightInd w:val="0"/>
        <w:spacing w:line="480" w:lineRule="auto"/>
        <w:ind w:firstLine="720"/>
        <w:jc w:val="both"/>
      </w:pPr>
      <w:r w:rsidRPr="001823C4">
        <w:t xml:space="preserve">Penangkapan terhadap terdakwa adalah merupakan pengembangan dari tertangkapnya Endra Harnowo Alias Een yang membuang bungkusan plastik dan setelah dibuka ternyata isinya adalah narkotika, dan menurut keterangan Indra Harwono alias Een bahwa shabu tersebut dibeli dari terdakwa. Ternyata benar bahwa Terdakwa mengakui telah menjual sabu kepada Ee, dan dari terdakwa diamanakan barang bukti berupa 1 (satu) buah cok sambung yang didalamnya terdapat 4 (empat) bungkus narkotika shabu, 20 (dua puluh) plastic klip kosong, 1 (satu) unit timbangan digital merk Pocket Scale, 1 (satu) unit handphone android, </w:t>
      </w:r>
      <w:r w:rsidRPr="001823C4">
        <w:lastRenderedPageBreak/>
        <w:t>1 (satu) buah alat hisap yang terbuat dari botol plastic, 1 (satu) buah kaca pireks yang didalamnya berisikan lekatan.</w:t>
      </w:r>
    </w:p>
    <w:p w:rsidR="003F568C" w:rsidRPr="001823C4" w:rsidRDefault="003F568C" w:rsidP="003F568C">
      <w:pPr>
        <w:autoSpaceDE w:val="0"/>
        <w:autoSpaceDN w:val="0"/>
        <w:adjustRightInd w:val="0"/>
        <w:spacing w:line="480" w:lineRule="auto"/>
        <w:ind w:firstLine="720"/>
        <w:jc w:val="both"/>
      </w:pPr>
      <w:r w:rsidRPr="001823C4">
        <w:t xml:space="preserve">Terdakwa menyimpan sabu dalam cok sambung dengan maksud supaya tidak ketahuan dan narkotika shabu tersebut dibeli oleh Terdakwa dari Siboy di Teluk Nibung Tanjung Balai pada hari Selasa tanggal 3 Nopember 2020 sekira pukul 10.00 Wib sebanyak 10 (sepuluh) gram dengan harga Rp6000.000 (enam juta rupiah) untuk dijual kembali. </w:t>
      </w:r>
    </w:p>
    <w:p w:rsidR="003F568C" w:rsidRPr="001823C4" w:rsidRDefault="003F568C" w:rsidP="003F568C">
      <w:pPr>
        <w:autoSpaceDE w:val="0"/>
        <w:autoSpaceDN w:val="0"/>
        <w:adjustRightInd w:val="0"/>
        <w:spacing w:line="480" w:lineRule="auto"/>
        <w:ind w:firstLine="720"/>
        <w:jc w:val="both"/>
      </w:pPr>
      <w:r w:rsidRPr="001823C4">
        <w:t>Terdakwa telah menjual sabu kepada Endra Harnowo Alias Een di rumah Terdakwa di Jalan Budi Utomo Kelurahan Siumbut-umbut Kecamatan Kisaran Timur Kabupaten Asahan. Narkotika shabu yang ditemukan dari terdakwa beratnya melebihi 5 (lima) gram sebagaimana berdasarkan Berita Acara Penimbangan dari Kantor Pegadaian Cabang Kisaran Nomor:486/IL.10089/2020 tanggal 05 Nopember 2020. Berdasarkan pertimbangan diatas Majelis berkesimpulan bahwa unsur ketiga dalam dakwaan alternatif pertama telah terpenuhi dari perbuatan terdakwa.</w:t>
      </w:r>
    </w:p>
    <w:p w:rsidR="003F568C" w:rsidRPr="001823C4" w:rsidRDefault="003F568C" w:rsidP="003F568C">
      <w:pPr>
        <w:autoSpaceDE w:val="0"/>
        <w:autoSpaceDN w:val="0"/>
        <w:adjustRightInd w:val="0"/>
        <w:spacing w:line="480" w:lineRule="auto"/>
        <w:ind w:firstLine="720"/>
        <w:jc w:val="both"/>
      </w:pPr>
      <w:r w:rsidRPr="001823C4">
        <w:t xml:space="preserve">Ketiga dakwaan yang diajukan merupakan dakwaan alternatif dimana Hakim dapat memilih salah satu dari ketiga dakwaan yang diajukan. Indikasi adanya dakwaan alternatif adalah adanya tiga dakwaan yang diajukan oleh Jaksa Penuntut Umum (JPU) dalam surat dakwaannya yang mana Hakim dapat memilih salah satu dari dakwaan tersebut.Pemilihan salah satu dakwaan pada dakwaan alternatif tidak dapat dilakukan asal-asalan. Meski memiliki wewenang dalam persidangan, Hakim tidak dapat memutuskan dakwaan yang dipilih sesuka hatinya. Pemilihan dakwaan yang akan menjadi penguat pertimbangan hukum </w:t>
      </w:r>
      <w:r w:rsidRPr="001823C4">
        <w:lastRenderedPageBreak/>
        <w:t>dalam persidangan harus disesuaikan dengan fakta serta bukti-bukti yang diperoleh dalam proses persidangan. Tujuan Penuntut Umum menggunakan surat dakwaan alternatif ini adalah untuk menghindari pelaku tindak pidana terlepas dari pertanggungjawaban hukum, serta kedua, untuk memberi pilihan kepada hakim untuk menerapkan hukum yang paling tepat dikenakan terhadap pelaku.</w:t>
      </w:r>
    </w:p>
    <w:p w:rsidR="003F568C" w:rsidRPr="001823C4" w:rsidRDefault="003F568C" w:rsidP="003F568C">
      <w:pPr>
        <w:autoSpaceDE w:val="0"/>
        <w:autoSpaceDN w:val="0"/>
        <w:adjustRightInd w:val="0"/>
        <w:spacing w:line="480" w:lineRule="auto"/>
        <w:ind w:firstLine="720"/>
        <w:jc w:val="both"/>
      </w:pPr>
      <w:r w:rsidRPr="001823C4">
        <w:t>Seluruh unsur dari Pasal 114 ayat (2) Undang-Undang RI Nomor 35 Tahun 2009 tentang Narkotika sebagaimana dakwaan alternatif kesatu Penuntut Umum telah terpenuhi dan Majelis Hakim memperoleh keyakinan para terdakwa bersalah melakukan tindak pidana sebagaimana dalam dakwaan alternatif pertama, maka terdakwa haruslah dinyatakan telah terbukti secara sah dan meyakinkan bersalah melakukan tindak pidana tanpa hak menjual dan membeli narkotika golongan I dalam bentuk bukan tanaman yang beratnya melebihi 5 (lima) gram.</w:t>
      </w:r>
    </w:p>
    <w:p w:rsidR="003F568C" w:rsidRPr="001823C4" w:rsidRDefault="003F568C" w:rsidP="003F568C">
      <w:pPr>
        <w:autoSpaceDE w:val="0"/>
        <w:autoSpaceDN w:val="0"/>
        <w:adjustRightInd w:val="0"/>
        <w:spacing w:line="468" w:lineRule="auto"/>
        <w:ind w:firstLine="720"/>
        <w:jc w:val="both"/>
      </w:pPr>
      <w:r w:rsidRPr="001823C4">
        <w:t>Selama berlangsungnya persidangan terhadap para terdakwa tidak ditemukan alasan pemaaf dan pembenar atas perbuatan para terdakwa yang dapat menghapuskan pidana atas diri para terdakwa, karenanya para terdakwa dinyatakan mampu mempertanggungjawabkan perbuatannya. Dengan demikian para terdakwa harus dijatuhi pidana yang setimpal dengan kesalahannya seperti ditentukan dalam amar putusan ini.</w:t>
      </w:r>
    </w:p>
    <w:p w:rsidR="003F568C" w:rsidRPr="001823C4" w:rsidRDefault="003F568C" w:rsidP="003F568C">
      <w:pPr>
        <w:autoSpaceDE w:val="0"/>
        <w:autoSpaceDN w:val="0"/>
        <w:adjustRightInd w:val="0"/>
        <w:spacing w:line="468" w:lineRule="auto"/>
        <w:ind w:firstLine="720"/>
        <w:jc w:val="both"/>
      </w:pPr>
      <w:r w:rsidRPr="001823C4">
        <w:t xml:space="preserve">Penerapan hukum tindak pidana dalam putusan </w:t>
      </w:r>
      <w:r w:rsidRPr="001823C4">
        <w:rPr>
          <w:color w:val="000000"/>
        </w:rPr>
        <w:t xml:space="preserve">Pengadilan </w:t>
      </w:r>
      <w:r w:rsidRPr="001823C4">
        <w:t xml:space="preserve">Negeri Kisaran Nomor 296/Pid.Sus/2021/PN.Kis telah sesuai dengan tindak pidana yang dilakukan oleh terdakwa. Unsur-unsurnya pun telah sesuai dengan rumusan delik.  Dasar pertimbangan hakim dalam menjatuhkan putusan dapat digunakan sebagai </w:t>
      </w:r>
      <w:r w:rsidRPr="001823C4">
        <w:lastRenderedPageBreak/>
        <w:t>bahan analisis tentang orientasi yang dimiliki hakim dalam menjatuhkan putusan juga sangat penting untuk melihat bagaimana putusan yang dijatuhkan itu relevan dengan tujuan pemidanaan yang telah ditentukan. Secara umum dapat dikatakan, bahwa putusan hakim yang tidak didasarkan pada orientasi yang benar, dalam arti tidak sesuai dengan tujuan pemidanaan yang telah ditentukan, justru akan berdampak negatif terhadap proses penanggulangan kejahatan itu sendiri dan tidak akan membawa manfaat bagi terpidana.</w:t>
      </w:r>
    </w:p>
    <w:p w:rsidR="003F568C" w:rsidRPr="001823C4" w:rsidRDefault="003F568C" w:rsidP="003F568C">
      <w:pPr>
        <w:autoSpaceDE w:val="0"/>
        <w:autoSpaceDN w:val="0"/>
        <w:adjustRightInd w:val="0"/>
        <w:spacing w:line="480" w:lineRule="auto"/>
        <w:ind w:firstLine="720"/>
        <w:jc w:val="both"/>
      </w:pPr>
      <w:r w:rsidRPr="001823C4">
        <w:t>Hakim mempunyai kebebasan mandiri dalam mempertimbangkan berat ringannya sanksi pidana penjara terhadap putusan yang ditanganinya. Kebebasan hakim mutlak dan tidak dicampuri oleh pihak lain. Hal ini di sebabkan untuk menjamin agar putusan pengadilan benar-benar obyektif. Kebebasan hakim untuk menentukan berat ringannya sanksi pidana penjara juga harus berpedoman pada batasan maksimum dan juga minimum serta kebebasan yang dimiliki harus berdasarkan rasa keadilan baik terhadap terdakwa maupun masyarakat dan bertanggung jawab terhadap Tuhan Yang Maha Esa. Untuk alat bukti yang di hadirkan di dalam persidangan harus saling berkaitan antara alat bukti satu dengan alat bukti yang lainnya. Gunanya agar hakim dapat membuktikan bahwa terdakwalah yang melakukan tindak pidana tersebut. Namun apabila alat bukti yang di hadirkan di dalam persidangan berbeda tidak berkaitan dengan alat bukti satu dengan alat bukti yang lainnya hal itu dapat menimbulkan ketidakyakinan pada hakim.</w:t>
      </w:r>
      <w:r w:rsidRPr="001823C4">
        <w:rPr>
          <w:rStyle w:val="FootnoteReference"/>
        </w:rPr>
        <w:footnoteReference w:customMarkFollows="1" w:id="40"/>
        <w:t>107</w:t>
      </w:r>
    </w:p>
    <w:p w:rsidR="003F568C" w:rsidRPr="001823C4" w:rsidRDefault="003F568C" w:rsidP="003F568C">
      <w:pPr>
        <w:autoSpaceDE w:val="0"/>
        <w:autoSpaceDN w:val="0"/>
        <w:adjustRightInd w:val="0"/>
        <w:spacing w:line="480" w:lineRule="auto"/>
        <w:ind w:firstLine="720"/>
        <w:jc w:val="both"/>
      </w:pPr>
      <w:r w:rsidRPr="001823C4">
        <w:lastRenderedPageBreak/>
        <w:t>Setiap putusan pengadilan harus disertai dengan bahan pertimbangan yang menjadi dasar hukum dan alasan putusan tersebut. Hal ini ada di dalam Pasal 14 ayat 2 Undang-Undang Nomor 48 Tahun 2009 Tentang Kekuasaan Kehakiman yang berbunyi: “Dalam sidang permusyawarahan, setiap hakim wajib menyampaikan pertimbangan atau pendapat tertulis terhadap perkara yang sedang diperiksa dan menjadi bagian yang tidak terpisahkan dari putusan”</w:t>
      </w:r>
    </w:p>
    <w:p w:rsidR="003F568C" w:rsidRPr="001823C4" w:rsidRDefault="003F568C" w:rsidP="003F568C">
      <w:pPr>
        <w:autoSpaceDE w:val="0"/>
        <w:autoSpaceDN w:val="0"/>
        <w:adjustRightInd w:val="0"/>
        <w:spacing w:line="456" w:lineRule="auto"/>
        <w:ind w:firstLine="720"/>
        <w:jc w:val="both"/>
      </w:pPr>
      <w:r w:rsidRPr="001823C4">
        <w:t xml:space="preserve">Menurut pasal 1 angka 11 Undang-undang Nomor 8 Tahun 1981 mengenai Kitab Undang-undang Hukum Acara Pidana (KUHAP) menyatakan bahwa putusan pengadilan adalah pernyataan hakim yang diucapkan dalam sidang pengadilan terbuka, yang dapat berupa pemindahan atau bebas atau lepas dari segala tuntutan dalam hal serta cara yang diatur undang-undang ini. </w:t>
      </w:r>
    </w:p>
    <w:p w:rsidR="003F568C" w:rsidRPr="001823C4" w:rsidRDefault="003F568C" w:rsidP="003F568C">
      <w:pPr>
        <w:autoSpaceDE w:val="0"/>
        <w:autoSpaceDN w:val="0"/>
        <w:adjustRightInd w:val="0"/>
        <w:spacing w:line="456" w:lineRule="auto"/>
        <w:ind w:firstLine="720"/>
        <w:jc w:val="both"/>
      </w:pPr>
      <w:r w:rsidRPr="001823C4">
        <w:t>Seorang terdakwa dapat dijatuhi pidana apabila di dalam persidangan telah terbukti secara sah dan menyakinkan melakukan tindak pidana. oleh karena itu, dalam persidangan hakim harus menyebutkan perbuatan terdakwa yang mana sesuai fakta terungkap dipersidangan dan memenuhi rumusan pasal tertentu dari suatu peraturan perundang-undangan.</w:t>
      </w:r>
    </w:p>
    <w:p w:rsidR="003F568C" w:rsidRPr="001823C4" w:rsidRDefault="003F568C" w:rsidP="003F568C">
      <w:pPr>
        <w:pStyle w:val="BodyTextIndent"/>
        <w:ind w:firstLine="709"/>
        <w:rPr>
          <w:rFonts w:eastAsia="Calibri"/>
          <w:szCs w:val="24"/>
        </w:rPr>
      </w:pPr>
      <w:r w:rsidRPr="001823C4">
        <w:rPr>
          <w:szCs w:val="24"/>
        </w:rPr>
        <w:t xml:space="preserve">Hakim </w:t>
      </w:r>
      <w:r w:rsidRPr="001823C4">
        <w:rPr>
          <w:color w:val="000000"/>
          <w:szCs w:val="24"/>
        </w:rPr>
        <w:t xml:space="preserve">Pengadilan </w:t>
      </w:r>
      <w:r w:rsidRPr="001823C4">
        <w:rPr>
          <w:szCs w:val="24"/>
        </w:rPr>
        <w:t>Negeri Kisaran dalam memberikan putusan Nomor 296/Pid.Sus/2021/PN.Kis, selain berdasarkan fakta hukum juga telah mempertimbangkan hal-hal yang meringankan maupun yang memberatkan  yaitu:</w:t>
      </w:r>
    </w:p>
    <w:p w:rsidR="003F568C" w:rsidRPr="001823C4" w:rsidRDefault="003F568C" w:rsidP="003F568C">
      <w:pPr>
        <w:numPr>
          <w:ilvl w:val="1"/>
          <w:numId w:val="32"/>
        </w:numPr>
        <w:tabs>
          <w:tab w:val="clear" w:pos="1440"/>
          <w:tab w:val="num" w:pos="360"/>
        </w:tabs>
        <w:autoSpaceDE w:val="0"/>
        <w:autoSpaceDN w:val="0"/>
        <w:adjustRightInd w:val="0"/>
        <w:spacing w:line="456" w:lineRule="auto"/>
        <w:ind w:left="360"/>
        <w:jc w:val="both"/>
      </w:pPr>
      <w:r w:rsidRPr="001823C4">
        <w:t>Hal yang memberatkan adalah terdakwa tidak mendukung program pemerintah yang sedang giat memberantas narkotika.</w:t>
      </w:r>
    </w:p>
    <w:p w:rsidR="003F568C" w:rsidRPr="001823C4" w:rsidRDefault="003F568C" w:rsidP="003F568C">
      <w:pPr>
        <w:numPr>
          <w:ilvl w:val="1"/>
          <w:numId w:val="32"/>
        </w:numPr>
        <w:tabs>
          <w:tab w:val="clear" w:pos="1440"/>
          <w:tab w:val="num" w:pos="426"/>
        </w:tabs>
        <w:autoSpaceDE w:val="0"/>
        <w:autoSpaceDN w:val="0"/>
        <w:adjustRightInd w:val="0"/>
        <w:spacing w:line="456" w:lineRule="auto"/>
        <w:ind w:left="426" w:hanging="426"/>
        <w:jc w:val="both"/>
      </w:pPr>
      <w:r w:rsidRPr="001823C4">
        <w:t>Hal yang meringankan adalah terdakwa belum pernah dihukum.</w:t>
      </w:r>
    </w:p>
    <w:p w:rsidR="003F568C" w:rsidRPr="001823C4" w:rsidRDefault="003F568C" w:rsidP="003F568C">
      <w:pPr>
        <w:numPr>
          <w:ilvl w:val="7"/>
          <w:numId w:val="33"/>
        </w:numPr>
        <w:tabs>
          <w:tab w:val="clear" w:pos="5760"/>
          <w:tab w:val="num" w:pos="786"/>
        </w:tabs>
        <w:autoSpaceDE w:val="0"/>
        <w:autoSpaceDN w:val="0"/>
        <w:adjustRightInd w:val="0"/>
        <w:spacing w:line="456" w:lineRule="auto"/>
        <w:ind w:left="786"/>
        <w:jc w:val="both"/>
      </w:pPr>
      <w:r w:rsidRPr="001823C4">
        <w:t>Terdakwa sopan;</w:t>
      </w:r>
    </w:p>
    <w:p w:rsidR="003F568C" w:rsidRPr="001823C4" w:rsidRDefault="003F568C" w:rsidP="003F568C">
      <w:pPr>
        <w:numPr>
          <w:ilvl w:val="7"/>
          <w:numId w:val="33"/>
        </w:numPr>
        <w:tabs>
          <w:tab w:val="clear" w:pos="5760"/>
          <w:tab w:val="num" w:pos="786"/>
        </w:tabs>
        <w:autoSpaceDE w:val="0"/>
        <w:autoSpaceDN w:val="0"/>
        <w:adjustRightInd w:val="0"/>
        <w:spacing w:line="456" w:lineRule="auto"/>
        <w:ind w:left="786"/>
        <w:jc w:val="both"/>
      </w:pPr>
      <w:r w:rsidRPr="001823C4">
        <w:lastRenderedPageBreak/>
        <w:t>Terdakwa mengakui terus terang perbuatannya;</w:t>
      </w:r>
    </w:p>
    <w:p w:rsidR="003F568C" w:rsidRPr="001823C4" w:rsidRDefault="003F568C" w:rsidP="003F568C">
      <w:pPr>
        <w:numPr>
          <w:ilvl w:val="7"/>
          <w:numId w:val="33"/>
        </w:numPr>
        <w:tabs>
          <w:tab w:val="clear" w:pos="5760"/>
          <w:tab w:val="num" w:pos="786"/>
        </w:tabs>
        <w:autoSpaceDE w:val="0"/>
        <w:autoSpaceDN w:val="0"/>
        <w:adjustRightInd w:val="0"/>
        <w:spacing w:line="456" w:lineRule="auto"/>
        <w:ind w:left="786"/>
        <w:jc w:val="both"/>
      </w:pPr>
      <w:r w:rsidRPr="001823C4">
        <w:t>Terdakwa menyesal dan berjanji tidak akan mengulanginya lagi;</w:t>
      </w:r>
    </w:p>
    <w:p w:rsidR="003F568C" w:rsidRPr="001823C4" w:rsidRDefault="003F568C" w:rsidP="003F568C">
      <w:pPr>
        <w:numPr>
          <w:ilvl w:val="7"/>
          <w:numId w:val="33"/>
        </w:numPr>
        <w:tabs>
          <w:tab w:val="clear" w:pos="5760"/>
          <w:tab w:val="num" w:pos="786"/>
        </w:tabs>
        <w:autoSpaceDE w:val="0"/>
        <w:autoSpaceDN w:val="0"/>
        <w:adjustRightInd w:val="0"/>
        <w:spacing w:line="456" w:lineRule="auto"/>
        <w:ind w:left="786"/>
        <w:jc w:val="both"/>
      </w:pPr>
      <w:r w:rsidRPr="001823C4">
        <w:t>Terdakwa belum pernah dihukum.</w:t>
      </w:r>
    </w:p>
    <w:p w:rsidR="003F568C" w:rsidRPr="001823C4" w:rsidRDefault="003F568C" w:rsidP="003F568C">
      <w:pPr>
        <w:autoSpaceDE w:val="0"/>
        <w:autoSpaceDN w:val="0"/>
        <w:adjustRightInd w:val="0"/>
        <w:spacing w:line="456" w:lineRule="auto"/>
        <w:ind w:firstLine="720"/>
        <w:jc w:val="both"/>
      </w:pPr>
      <w:r w:rsidRPr="001823C4">
        <w:rPr>
          <w:lang w:eastAsia="id-ID"/>
        </w:rPr>
        <w:t xml:space="preserve">Menurut penulis bahwa pertimbangan hukum hakim dalam menjatuhkan putusan telah sesuai dengan ketentuan yang berlaku dan telah didasarkan pada semua fakta-fakta serta bukti-bukti yang terungkap dalam persidangan tetapi penulis tidak sependapat dengan putusan hakim yang menjatuhkan pidana terhadap pecandu dan pengguna narkotika  </w:t>
      </w:r>
      <w:r w:rsidRPr="001823C4">
        <w:t>dengan pidana penjara selama 9 (sembilan) tahun dan denda sebesar Rp.1.000.000.000,00 (satu milyar rupiah) dengan ketentuan apabila denda tersebut tidak dibayar, maka diganti dengan pidana penjara selama 4 (empat bulan). Hukuman tersebut menurut penulis terlalu berat, seharusnya terhadap pecandu dan penyalahgunaan narkotika diberikan kesempatan untuk melakukan rehabilitasi.</w:t>
      </w:r>
    </w:p>
    <w:p w:rsidR="003F568C" w:rsidRPr="001823C4" w:rsidRDefault="003F568C" w:rsidP="003F568C">
      <w:pPr>
        <w:autoSpaceDE w:val="0"/>
        <w:autoSpaceDN w:val="0"/>
        <w:adjustRightInd w:val="0"/>
        <w:spacing w:line="456" w:lineRule="auto"/>
        <w:ind w:firstLine="720"/>
        <w:jc w:val="both"/>
      </w:pPr>
      <w:r w:rsidRPr="001823C4">
        <w:t>Menurut penulis Undang-Undang Nomor 35 Tahun 2009 tentang Narkotika memiliki kekhususan yaitu bersifat pemaaf. Artinya ketika para penyalahguna narkotika ini dimaafkan maka harus melapor ke Institusi Penerima Wajib Lapor (IPWL) untuk dilakukan rehabilitasi serta pengobatan di pusat rehabilitasi yang ada. Para korban penyalahgunaan narkotika itu penting untuk menjalani program rehabilitasi secara sempurna atau berkelanjutan, tidak hanya rehabilitasi medis dan sosial akan tetapi dilanjutkan dengan pendampingan baik dari keluarga maupun institusi yang menaunginya. Dengan program rehabilitasi, maka pecandu dapat berhenti mengkonsumsi narkotika. Selanjutnya dilatih untuk mampu disiplin dan mengendalikan diri sehingga dapat mengatasi dari potensi kekambuhannya.</w:t>
      </w:r>
    </w:p>
    <w:p w:rsidR="003F568C" w:rsidRPr="001823C4" w:rsidRDefault="003F568C" w:rsidP="003F568C">
      <w:pPr>
        <w:autoSpaceDE w:val="0"/>
        <w:autoSpaceDN w:val="0"/>
        <w:adjustRightInd w:val="0"/>
        <w:spacing w:line="456" w:lineRule="auto"/>
        <w:ind w:firstLine="720"/>
        <w:jc w:val="both"/>
      </w:pPr>
      <w:r w:rsidRPr="001823C4">
        <w:lastRenderedPageBreak/>
        <w:t xml:space="preserve">Menurut penulis bahwa dalam setiap perkara narkotika sebenarnya para penegak hukum hingga pemutus perkaranya mesti berangkat dari aturan yang sama yaitu Undang-undang Nomor 35 Tahun 2009 tentang Narkotika yang merupakan regulasi khusus yang menyimpang dari sistem pemidanaan yang selama ini berlaku di Indonesia. Dikatakan khusus karena Undang-undang Nomor 35 Tahun 2009 tentang Narkotika menganut </w:t>
      </w:r>
      <w:r w:rsidRPr="001823C4">
        <w:rPr>
          <w:i/>
        </w:rPr>
        <w:t xml:space="preserve">double track system </w:t>
      </w:r>
      <w:r w:rsidRPr="001823C4">
        <w:t>pemidanaan bagi penyalahguna untuk diri sendiri dengan kewajiban bagi seluruh lembaga pengadilan di Indonesia untuk menghukum rehabilitasi, adapun pengedarnya dihukum penjara atau mati.</w:t>
      </w:r>
    </w:p>
    <w:p w:rsidR="003F568C" w:rsidRPr="001823C4" w:rsidRDefault="003F568C" w:rsidP="003F568C">
      <w:pPr>
        <w:autoSpaceDE w:val="0"/>
        <w:autoSpaceDN w:val="0"/>
        <w:adjustRightInd w:val="0"/>
        <w:spacing w:line="456" w:lineRule="auto"/>
        <w:ind w:firstLine="720"/>
        <w:jc w:val="both"/>
      </w:pPr>
      <w:r w:rsidRPr="001823C4">
        <w:t>Prakteknya di Indonesia masih saja terdapat putusan hakim terhadap penyalahguna narkotika dijatuhkan pidana penjara tidak disertai rehabilitasi. Ini tentu mengabaikan esensi dari regulasi yang sudah ada. Efek lain dari hal tersebut menyebabkan beban bagi negara yang harus membiayai terpidana narkotika selama menjalani masa pidananya di dalam lembaga pemasyarakatan.</w:t>
      </w:r>
    </w:p>
    <w:p w:rsidR="003F568C" w:rsidRPr="001823C4" w:rsidRDefault="003F568C" w:rsidP="003F568C">
      <w:pPr>
        <w:autoSpaceDE w:val="0"/>
        <w:autoSpaceDN w:val="0"/>
        <w:adjustRightInd w:val="0"/>
        <w:spacing w:line="456" w:lineRule="auto"/>
        <w:ind w:firstLine="720"/>
        <w:jc w:val="both"/>
      </w:pPr>
      <w:r w:rsidRPr="001823C4">
        <w:t xml:space="preserve">Penulis berkeyakinan bahwa rehabilitasi jauh lebih baik dari pada penjara. Jika pengguna direhabilitasi maka mereka akan pulih dari ketergantungannya dan tidak mau mengkonsumsi barang haram lagi. Pasalnya konstruksi  hukum di negeri ini menganut </w:t>
      </w:r>
      <w:r w:rsidRPr="001823C4">
        <w:rPr>
          <w:i/>
        </w:rPr>
        <w:t>double track system</w:t>
      </w:r>
      <w:r w:rsidRPr="001823C4">
        <w:t xml:space="preserve"> pemidanaan yang pada intinya, pengguna yang diputus pidana maka pidananya dijalankan untuk rehabilitasi. Rehabilitasinya tidak dilaksanakan di dalam lembaga pemasyarakatan tetapi ditempat khusus untuk rehabilitasi. Rehabilitasi merupakan salah satu cara untuk menyelamatkan korban pengguna narkotika dari ketergantungan. </w:t>
      </w:r>
    </w:p>
    <w:p w:rsidR="003F568C" w:rsidRPr="001823C4" w:rsidRDefault="003F568C" w:rsidP="003F568C">
      <w:pPr>
        <w:autoSpaceDE w:val="0"/>
        <w:autoSpaceDN w:val="0"/>
        <w:adjustRightInd w:val="0"/>
        <w:spacing w:line="456" w:lineRule="auto"/>
        <w:ind w:firstLine="720"/>
        <w:jc w:val="both"/>
      </w:pPr>
      <w:r w:rsidRPr="001823C4">
        <w:t xml:space="preserve">Pasal  54 Undang-undang Nomor 35 Tahun 2009 tentang Narkotika disebutkan bahwa pecandu narkotika dan korban penyalahguna   narkotika wajib </w:t>
      </w:r>
      <w:r w:rsidRPr="001823C4">
        <w:lastRenderedPageBreak/>
        <w:t>menjalani rehabilitasi medis dan sosial. Pasal 103 Undang-undang Nomor 35 Tahun 2009 tentang Narkotika memberi kewenangan hakim memerintahkan pecandu dan korban penyalahguna narkotika sebagai terdakwa menjalani rehabilitasi melalui putusannya jika mereka terbukti bersalah menyalahgunakan narkotika.</w:t>
      </w:r>
    </w:p>
    <w:p w:rsidR="003F568C" w:rsidRPr="001823C4" w:rsidRDefault="003F568C" w:rsidP="003F568C">
      <w:pPr>
        <w:autoSpaceDE w:val="0"/>
        <w:autoSpaceDN w:val="0"/>
        <w:adjustRightInd w:val="0"/>
        <w:spacing w:line="456" w:lineRule="auto"/>
        <w:ind w:firstLine="720"/>
        <w:jc w:val="both"/>
      </w:pPr>
      <w:r w:rsidRPr="001823C4">
        <w:t>Terkait penerapan Pasal 103 Undang-undang Nomor 35 Tahun 2009 tentang Narkotika ini, Mahkamah Agung mengeluarkan SEMA Nomor 4 Tahun 2010  </w:t>
      </w:r>
      <w:r w:rsidRPr="001823C4">
        <w:rPr>
          <w:rStyle w:val="Emphasis"/>
        </w:rPr>
        <w:t>jo </w:t>
      </w:r>
      <w:r w:rsidRPr="001823C4">
        <w:t>SEMA Nomor 3 Tahun 2011 tentang Penempatan Penyalahguna, Korban Penyalahgunaan, dan Pecandu Narkotika dalam Lembaga Rehabilitasi Medis dan Rehabilitasi Sosial. Menurut SEMA Nomor 4 Tahun 2010 yang dapat dijatuhkan tindakan rehabilitasi yakni terdakwa tertangkap tangan penyidik Polri dan BNN, saat tertangkap tangan ditemukan barang bukti pemakaian 1 hari, adanya surat keterangan uji laboratorium positif menggunakan narkotika berdasarkan permintaan penyidik; adanya surat keterangan dari psikiater pemerintah yang ditunjuk hakim; tidak terbukti yang bersangkutan terlibat dalam peredaran gelap narkotika.</w:t>
      </w:r>
    </w:p>
    <w:p w:rsidR="003F568C" w:rsidRPr="001823C4" w:rsidRDefault="003F568C" w:rsidP="003F568C">
      <w:pPr>
        <w:autoSpaceDE w:val="0"/>
        <w:autoSpaceDN w:val="0"/>
        <w:adjustRightInd w:val="0"/>
        <w:spacing w:line="456" w:lineRule="auto"/>
        <w:ind w:firstLine="720"/>
        <w:jc w:val="both"/>
      </w:pPr>
      <w:r w:rsidRPr="001823C4">
        <w:t xml:space="preserve">Menurut penulis pidana penjara bagi korban penyalahgunaan narkotika merupakan perampasan kemerdekaan dan mengandung sisi negatif sehingga tujuan pemidanaan tidak dapat diwujudkan secara maksimal sedangkan rehabilitasi dimaksudkan agar penyalahgumaan yang dikategorikan pecandu ini bebas dari ketergantungannya. Bukannya lepas atau pun bebas dari pemidanaan seperti halnya penjara, tapi pecandu dibina. Apabila dalam penjara bukannya terjadi pembinaan tetapi penyalahguna makin parah sehingga putusan hakim tidak membawa manfaat bagi penyalahguna dan kemudian orang tersebut kembali </w:t>
      </w:r>
      <w:r w:rsidRPr="001823C4">
        <w:lastRenderedPageBreak/>
        <w:t>kemasyarakat tidak akan menjadi orang yang lebih baik. Jadi menurut penulis rehabilitasi adalah hukuman yang efektif dalam menekan kasus narkotika di Indonesia.</w:t>
      </w:r>
    </w:p>
    <w:p w:rsidR="001625C8" w:rsidRPr="003F568C" w:rsidRDefault="001625C8" w:rsidP="003F568C">
      <w:bookmarkStart w:id="0" w:name="_GoBack"/>
      <w:bookmarkEnd w:id="0"/>
    </w:p>
    <w:sectPr w:rsidR="001625C8" w:rsidRPr="003F568C" w:rsidSect="00FF59A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51B" w:rsidRDefault="0038251B">
      <w:r>
        <w:separator/>
      </w:r>
    </w:p>
  </w:endnote>
  <w:endnote w:type="continuationSeparator" w:id="1">
    <w:p w:rsidR="0038251B" w:rsidRDefault="00382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282" w:rsidRDefault="006612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37" w:rsidRDefault="0038251B">
    <w:pPr>
      <w:pStyle w:val="Footer"/>
      <w:jc w:val="center"/>
    </w:pPr>
  </w:p>
  <w:p w:rsidR="008E2B37" w:rsidRDefault="003825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282" w:rsidRDefault="006612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51B" w:rsidRDefault="0038251B">
      <w:r>
        <w:separator/>
      </w:r>
    </w:p>
  </w:footnote>
  <w:footnote w:type="continuationSeparator" w:id="1">
    <w:p w:rsidR="0038251B" w:rsidRDefault="0038251B">
      <w:r>
        <w:continuationSeparator/>
      </w:r>
    </w:p>
  </w:footnote>
  <w:footnote w:id="2">
    <w:p w:rsidR="003F568C" w:rsidRPr="00EC2FB4" w:rsidRDefault="003F568C" w:rsidP="003F568C">
      <w:pPr>
        <w:pStyle w:val="FootnoteText"/>
        <w:ind w:firstLine="709"/>
        <w:jc w:val="both"/>
      </w:pPr>
      <w:r w:rsidRPr="00EC2FB4">
        <w:rPr>
          <w:rStyle w:val="FootnoteReference"/>
        </w:rPr>
        <w:footnoteRef/>
      </w:r>
      <w:r w:rsidRPr="00EC2FB4">
        <w:rPr>
          <w:i/>
        </w:rPr>
        <w:t>Ibid,</w:t>
      </w:r>
      <w:r w:rsidRPr="00EC2FB4">
        <w:t>h. 5</w:t>
      </w:r>
    </w:p>
  </w:footnote>
  <w:footnote w:id="3">
    <w:p w:rsidR="003F568C" w:rsidRPr="00EC2FB4" w:rsidRDefault="003F568C" w:rsidP="003F568C">
      <w:pPr>
        <w:pStyle w:val="FootnoteText"/>
        <w:ind w:firstLine="709"/>
        <w:jc w:val="both"/>
      </w:pPr>
      <w:r w:rsidRPr="00EC2FB4">
        <w:rPr>
          <w:rStyle w:val="FootnoteReference"/>
        </w:rPr>
        <w:footnoteRef/>
      </w:r>
      <w:r w:rsidRPr="00EC2FB4">
        <w:t xml:space="preserve"> Pasal 1 Angka 1 Undang-Undang Nomor 35 Tahun 2009 (Lembaran Negara Nomor 143 Tahun 2009, Tambahan Lembaran Negara Nomor 5062 Tahun 2009). </w:t>
      </w:r>
    </w:p>
  </w:footnote>
  <w:footnote w:id="4">
    <w:p w:rsidR="003F568C" w:rsidRPr="00EC2FB4" w:rsidRDefault="003F568C" w:rsidP="003F568C">
      <w:pPr>
        <w:pStyle w:val="FootnoteText"/>
        <w:ind w:firstLine="709"/>
        <w:jc w:val="both"/>
      </w:pPr>
      <w:r w:rsidRPr="00EC2FB4">
        <w:rPr>
          <w:rStyle w:val="FootnoteReference"/>
        </w:rPr>
        <w:footnoteRef/>
      </w:r>
      <w:r w:rsidRPr="00EC2FB4">
        <w:t xml:space="preserve"> Harifin. A. Tumpa, </w:t>
      </w:r>
      <w:r w:rsidRPr="00EC2FB4">
        <w:rPr>
          <w:i/>
          <w:iCs/>
        </w:rPr>
        <w:t>Op.Cit</w:t>
      </w:r>
      <w:r w:rsidRPr="00EC2FB4">
        <w:t xml:space="preserve">, h. 59  </w:t>
      </w:r>
    </w:p>
  </w:footnote>
  <w:footnote w:id="5">
    <w:p w:rsidR="003F568C" w:rsidRPr="00EC2FB4" w:rsidRDefault="003F568C" w:rsidP="003F568C">
      <w:pPr>
        <w:pStyle w:val="FootnoteText"/>
        <w:ind w:firstLine="709"/>
        <w:jc w:val="both"/>
      </w:pPr>
      <w:r w:rsidRPr="00EC2FB4">
        <w:rPr>
          <w:rStyle w:val="FootnoteReference"/>
        </w:rPr>
        <w:footnoteRef/>
      </w:r>
      <w:r w:rsidRPr="00EC2FB4">
        <w:t xml:space="preserve"> Siswanto, </w:t>
      </w:r>
      <w:r w:rsidRPr="00EC2FB4">
        <w:rPr>
          <w:i/>
          <w:iCs/>
        </w:rPr>
        <w:t>Op.Cit</w:t>
      </w:r>
      <w:r w:rsidRPr="00EC2FB4">
        <w:t xml:space="preserve">, h. 250  </w:t>
      </w:r>
    </w:p>
  </w:footnote>
  <w:footnote w:id="6">
    <w:p w:rsidR="003F568C" w:rsidRPr="00EC2FB4" w:rsidRDefault="003F568C" w:rsidP="003F568C">
      <w:pPr>
        <w:pStyle w:val="FootnoteText"/>
        <w:ind w:firstLine="709"/>
        <w:jc w:val="both"/>
      </w:pPr>
      <w:r w:rsidRPr="00EC2FB4">
        <w:rPr>
          <w:rStyle w:val="FootnoteReference"/>
        </w:rPr>
        <w:footnoteRef/>
      </w:r>
      <w:r w:rsidRPr="00EC2FB4">
        <w:rPr>
          <w:i/>
          <w:iCs/>
        </w:rPr>
        <w:t>Ibid</w:t>
      </w:r>
      <w:r w:rsidRPr="00EC2FB4">
        <w:t xml:space="preserve">, h.256  </w:t>
      </w:r>
    </w:p>
  </w:footnote>
  <w:footnote w:id="7">
    <w:p w:rsidR="003F568C" w:rsidRPr="00EC2FB4" w:rsidRDefault="003F568C" w:rsidP="003F568C">
      <w:pPr>
        <w:pStyle w:val="FootnoteText"/>
        <w:ind w:firstLine="709"/>
        <w:jc w:val="both"/>
      </w:pPr>
      <w:r w:rsidRPr="00EC2FB4">
        <w:rPr>
          <w:rStyle w:val="FootnoteReference"/>
        </w:rPr>
        <w:footnoteRef/>
      </w:r>
      <w:r w:rsidRPr="00EC2FB4">
        <w:rPr>
          <w:i/>
          <w:iCs/>
        </w:rPr>
        <w:t>Ibid</w:t>
      </w:r>
      <w:r w:rsidRPr="00EC2FB4">
        <w:t xml:space="preserve">, h.25-29  </w:t>
      </w:r>
    </w:p>
  </w:footnote>
  <w:footnote w:id="8">
    <w:p w:rsidR="003F568C" w:rsidRPr="00EC2FB4" w:rsidRDefault="003F568C" w:rsidP="003F568C">
      <w:pPr>
        <w:pStyle w:val="FootnoteText"/>
        <w:ind w:firstLine="709"/>
        <w:jc w:val="both"/>
      </w:pPr>
      <w:r w:rsidRPr="00EC2FB4">
        <w:rPr>
          <w:rStyle w:val="FootnoteReference"/>
        </w:rPr>
        <w:footnoteRef/>
      </w:r>
      <w:r w:rsidRPr="00EC2FB4">
        <w:t xml:space="preserve"> Pasal 127 Undang-Undang Nomor 35 Tahun 2009 Tentang Narkotika  (Lembaran Negara Nomor 143 Tahun 2009, Tambahan Lembaran Negara Nomor 5062 Tahun 2009).</w:t>
      </w:r>
    </w:p>
  </w:footnote>
  <w:footnote w:id="9">
    <w:p w:rsidR="003F568C" w:rsidRPr="00EC2FB4" w:rsidRDefault="003F568C" w:rsidP="003F568C">
      <w:pPr>
        <w:pStyle w:val="FootnoteText"/>
        <w:ind w:firstLine="709"/>
        <w:jc w:val="both"/>
      </w:pPr>
      <w:r w:rsidRPr="00EC2FB4">
        <w:rPr>
          <w:rStyle w:val="FootnoteReference"/>
        </w:rPr>
        <w:footnoteRef/>
      </w:r>
      <w:r w:rsidRPr="00EC2FB4">
        <w:t xml:space="preserve"> Pasal 128 Undang-Undang Nomor 35 Tahun 2009 Tentang Narkotika  (Lembaran Negara Nomor 143 Tahun 2009, Tambahan Lembaran Negara Nomor 5062 Tahun 2009).</w:t>
      </w:r>
    </w:p>
  </w:footnote>
  <w:footnote w:id="10">
    <w:p w:rsidR="003F568C" w:rsidRPr="00EC2FB4" w:rsidRDefault="003F568C" w:rsidP="003F568C">
      <w:pPr>
        <w:pStyle w:val="FootnoteText"/>
        <w:ind w:firstLine="709"/>
        <w:jc w:val="both"/>
      </w:pPr>
      <w:r w:rsidRPr="00EC2FB4">
        <w:rPr>
          <w:rStyle w:val="FootnoteReference"/>
        </w:rPr>
        <w:footnoteRef/>
      </w:r>
      <w:r w:rsidRPr="00EC2FB4">
        <w:t xml:space="preserve"> Pasal 130 Undang-Undang Nomor 35 Tahun 2009 Tentang Narkotika  (Lembaran Negara Nomor 143 Tahun 2009, Tambahan Lembaran Negara Nomor 5062 Tahun 2009).</w:t>
      </w:r>
    </w:p>
  </w:footnote>
  <w:footnote w:id="11">
    <w:p w:rsidR="003F568C" w:rsidRPr="00EC2FB4" w:rsidRDefault="003F568C" w:rsidP="003F568C">
      <w:pPr>
        <w:pStyle w:val="FootnoteText"/>
        <w:ind w:firstLine="709"/>
        <w:jc w:val="both"/>
      </w:pPr>
      <w:r w:rsidRPr="00EC2FB4">
        <w:rPr>
          <w:rStyle w:val="FootnoteReference"/>
        </w:rPr>
        <w:footnoteRef/>
      </w:r>
      <w:r w:rsidRPr="00EC2FB4">
        <w:t xml:space="preserve"> Pasal 131 Undang-Undang Nomor 35 Tahun 2009 Tentang Narkotika  (Lembaran Negara Nomor 143 Tahun 2009, Tambahan Lembaran Negara Nomor 5062 Tahun 2009).</w:t>
      </w:r>
    </w:p>
  </w:footnote>
  <w:footnote w:id="12">
    <w:p w:rsidR="003F568C" w:rsidRPr="00EC2FB4" w:rsidRDefault="003F568C" w:rsidP="003F568C">
      <w:pPr>
        <w:pStyle w:val="FootnoteText"/>
        <w:ind w:firstLine="709"/>
        <w:jc w:val="both"/>
      </w:pPr>
      <w:r w:rsidRPr="00EC2FB4">
        <w:rPr>
          <w:rStyle w:val="FootnoteReference"/>
        </w:rPr>
        <w:footnoteRef/>
      </w:r>
      <w:r w:rsidRPr="00EC2FB4">
        <w:t xml:space="preserve"> Pasal 132 Undang-Undang Nomor 35 Tahun 2009 Tentang Narkotika  (Lembaran Negara Nomor 143 Tahun 2009, Tambahan Lembaran Negara Nomor 5062 Tahun 2009).</w:t>
      </w:r>
    </w:p>
  </w:footnote>
  <w:footnote w:id="13">
    <w:p w:rsidR="003F568C" w:rsidRPr="00EC2FB4" w:rsidRDefault="003F568C" w:rsidP="003F568C">
      <w:pPr>
        <w:pStyle w:val="FootnoteText"/>
        <w:ind w:firstLine="709"/>
        <w:jc w:val="both"/>
      </w:pPr>
      <w:r w:rsidRPr="00EC2FB4">
        <w:rPr>
          <w:rStyle w:val="FootnoteReference"/>
        </w:rPr>
        <w:footnoteRef/>
      </w:r>
      <w:r w:rsidRPr="00EC2FB4">
        <w:t xml:space="preserve"> Pasal 133 Undang-Undang Nomor 35 Tahun 2009 Tentang Narkotika  (Lembaran Negara Nomor 143 Tahun 2009, Tambahan Lembaran Negara Nomor 5062 Tahun 2009).</w:t>
      </w:r>
    </w:p>
  </w:footnote>
  <w:footnote w:id="14">
    <w:p w:rsidR="003F568C" w:rsidRPr="00EC2FB4" w:rsidRDefault="003F568C" w:rsidP="003F568C">
      <w:pPr>
        <w:pStyle w:val="FootnoteText"/>
        <w:ind w:firstLine="709"/>
        <w:jc w:val="both"/>
      </w:pPr>
      <w:r w:rsidRPr="00EC2FB4">
        <w:rPr>
          <w:rStyle w:val="FootnoteReference"/>
        </w:rPr>
        <w:footnoteRef/>
      </w:r>
      <w:r w:rsidRPr="00EC2FB4">
        <w:t xml:space="preserve"> Pasal 134 Undang-Undang Nomor 35 Tahun 2009 Tentang Narkotika  (Lembaran Negara Nomor 143 Tahun 2009, Tambahan Lembaran Negara Nomor 5062 Tahun 2009).</w:t>
      </w:r>
    </w:p>
  </w:footnote>
  <w:footnote w:id="15">
    <w:p w:rsidR="003F568C" w:rsidRPr="00EC2FB4" w:rsidRDefault="003F568C" w:rsidP="003F568C">
      <w:pPr>
        <w:pStyle w:val="FootnoteText"/>
        <w:ind w:firstLine="709"/>
        <w:jc w:val="both"/>
      </w:pPr>
      <w:r w:rsidRPr="00EC2FB4">
        <w:rPr>
          <w:rStyle w:val="FootnoteReference"/>
        </w:rPr>
        <w:footnoteRef/>
      </w:r>
      <w:r w:rsidRPr="00EC2FB4">
        <w:t xml:space="preserve"> Pasal 137 Undang-Undang Nomor 35 Tahun 2009 Tentang Narkotika  (Lembaran Negara Nomor 143 Tahun 2009, Tambahan Lembaran Negara Nomor 5062 Tahun 2009).</w:t>
      </w:r>
    </w:p>
  </w:footnote>
  <w:footnote w:id="16">
    <w:p w:rsidR="003F568C" w:rsidRPr="00EC2FB4" w:rsidRDefault="003F568C" w:rsidP="003F568C">
      <w:pPr>
        <w:pStyle w:val="FootnoteText"/>
        <w:ind w:firstLine="709"/>
        <w:jc w:val="both"/>
      </w:pPr>
      <w:r w:rsidRPr="00EC2FB4">
        <w:rPr>
          <w:rStyle w:val="FootnoteReference"/>
        </w:rPr>
        <w:footnoteRef/>
      </w:r>
      <w:r w:rsidRPr="00EC2FB4">
        <w:t xml:space="preserve"> Pasal 147 huruf (a) Undang-Undang Nomor 35 Tahun 2009 Tentang Narkotika  (Lembaran Negara Nomor 143 Tahun 2009, Tambahan Lembaran Negara Nomor 5062 Tahun 2009).</w:t>
      </w:r>
    </w:p>
  </w:footnote>
  <w:footnote w:id="17">
    <w:p w:rsidR="003F568C" w:rsidRPr="00EC2FB4" w:rsidRDefault="003F568C" w:rsidP="003F568C">
      <w:pPr>
        <w:pStyle w:val="FootnoteText"/>
        <w:ind w:firstLine="709"/>
        <w:jc w:val="both"/>
      </w:pPr>
      <w:r w:rsidRPr="00EC2FB4">
        <w:rPr>
          <w:rStyle w:val="FootnoteReference"/>
        </w:rPr>
        <w:footnoteRef/>
      </w:r>
      <w:r w:rsidRPr="00EC2FB4">
        <w:t>Pasal 147 hurfuf (b) Undang-Undang Nomor 35 Tahun 2009 Tentang Narkotika  (Lembaran Negara Nomor 143 Tahun 2009, Tambahan Lembaran Negara Nomor 5062 Tahun 2009).</w:t>
      </w:r>
    </w:p>
  </w:footnote>
  <w:footnote w:id="18">
    <w:p w:rsidR="003F568C" w:rsidRPr="00EC2FB4" w:rsidRDefault="003F568C" w:rsidP="003F568C">
      <w:pPr>
        <w:pStyle w:val="FootnoteText"/>
        <w:ind w:firstLine="709"/>
        <w:jc w:val="both"/>
      </w:pPr>
      <w:r w:rsidRPr="00EC2FB4">
        <w:rPr>
          <w:rStyle w:val="FootnoteReference"/>
        </w:rPr>
        <w:footnoteRef/>
      </w:r>
      <w:r w:rsidRPr="00EC2FB4">
        <w:t xml:space="preserve"> Pasal 147 hurfuf (c) Undang-Undang Nomor 35 Tahun 2009 Tentang Narkotika  (Lembaran Negara Nomor 143 Tahun 2009, Tambahan Lembaran Negara Nomor 5062 Tahun 2009).</w:t>
      </w:r>
    </w:p>
  </w:footnote>
  <w:footnote w:id="19">
    <w:p w:rsidR="003F568C" w:rsidRPr="00EC2FB4" w:rsidRDefault="003F568C" w:rsidP="003F568C">
      <w:pPr>
        <w:pStyle w:val="FootnoteText"/>
        <w:ind w:firstLine="709"/>
        <w:jc w:val="both"/>
      </w:pPr>
      <w:r w:rsidRPr="00EC2FB4">
        <w:rPr>
          <w:rStyle w:val="FootnoteReference"/>
        </w:rPr>
        <w:footnoteRef/>
      </w:r>
      <w:r w:rsidRPr="00EC2FB4">
        <w:t>Pasal 147 hurfuf (d) Undang-Undang Nomor 35 Tahun 2009 Tentang Narkotika  (Lembaran Negara Nomor 143 Tahun 2009, Tambahan Lembaran Negara Nomor 5062 Tahun 2009).</w:t>
      </w:r>
    </w:p>
  </w:footnote>
  <w:footnote w:id="20">
    <w:p w:rsidR="003F568C" w:rsidRPr="00EC2FB4" w:rsidRDefault="003F568C" w:rsidP="003F568C">
      <w:pPr>
        <w:pStyle w:val="FootnoteText"/>
        <w:ind w:firstLine="709"/>
        <w:jc w:val="both"/>
      </w:pPr>
      <w:r w:rsidRPr="00EC2FB4">
        <w:rPr>
          <w:rStyle w:val="FootnoteReference"/>
        </w:rPr>
        <w:footnoteRef/>
      </w:r>
      <w:r w:rsidRPr="00EC2FB4">
        <w:t xml:space="preserve"> Pasal 142 Undang-Undang Nomor 35 Tahun 2009 Tentang Narkotika (Lembaran Negara Nomor 143 Tahun 2009, Tambahan Lembaran Negara Nomor 5062 Tahun 2009).    </w:t>
      </w:r>
    </w:p>
  </w:footnote>
  <w:footnote w:id="21">
    <w:p w:rsidR="003F568C" w:rsidRPr="00EC2FB4" w:rsidRDefault="003F568C" w:rsidP="003F568C">
      <w:pPr>
        <w:pStyle w:val="FootnoteText"/>
        <w:ind w:firstLine="709"/>
        <w:jc w:val="both"/>
      </w:pPr>
      <w:r w:rsidRPr="00EC2FB4">
        <w:rPr>
          <w:rStyle w:val="FootnoteReference"/>
        </w:rPr>
        <w:footnoteRef/>
      </w:r>
      <w:r w:rsidRPr="00EC2FB4">
        <w:t xml:space="preserve"> Pasal 138 Undang-Undang Nomor 35 Tahun 2009 Tentang Narkotika (Lembaran Negara Nomor 143 Tahun 2009, Tambahan Lembaran Negara Nomor 5062 Tahun 2009).  </w:t>
      </w:r>
    </w:p>
  </w:footnote>
  <w:footnote w:id="22">
    <w:p w:rsidR="003F568C" w:rsidRPr="00EC2FB4" w:rsidRDefault="003F568C" w:rsidP="003F568C">
      <w:pPr>
        <w:pStyle w:val="FootnoteText"/>
        <w:ind w:firstLine="709"/>
        <w:jc w:val="both"/>
      </w:pPr>
      <w:r w:rsidRPr="00EC2FB4">
        <w:rPr>
          <w:rStyle w:val="FootnoteReference"/>
        </w:rPr>
        <w:footnoteRef/>
      </w:r>
      <w:r w:rsidRPr="00EC2FB4">
        <w:t xml:space="preserve"> Pasal 143 Undang-Undang Nomor 35 Tahun 2009 Tentang Narkotika(Lembaran Negara Nomor 143 Tahun 2009, Tambahan Lembaran Negara Nomor 5062 Tahun 2009).   </w:t>
      </w:r>
    </w:p>
  </w:footnote>
  <w:footnote w:id="23">
    <w:p w:rsidR="003F568C" w:rsidRPr="00EC2FB4" w:rsidRDefault="003F568C" w:rsidP="003F568C">
      <w:pPr>
        <w:pStyle w:val="FootnoteText"/>
        <w:ind w:firstLine="709"/>
        <w:jc w:val="both"/>
      </w:pPr>
      <w:r w:rsidRPr="00EC2FB4">
        <w:rPr>
          <w:rStyle w:val="FootnoteReference"/>
        </w:rPr>
        <w:footnoteRef/>
      </w:r>
      <w:r w:rsidRPr="00EC2FB4">
        <w:t xml:space="preserve"> Julianan Lisa FR dan Nengah Sutrisna W, </w:t>
      </w:r>
      <w:r w:rsidRPr="00EC2FB4">
        <w:rPr>
          <w:i/>
          <w:iCs/>
        </w:rPr>
        <w:t>Narkoba, Psikotropika dan Gangguan Jiwa</w:t>
      </w:r>
      <w:r w:rsidRPr="00EC2FB4">
        <w:t xml:space="preserve">, Nuha Medika, Yogyakarta, 2013, h. 54.  </w:t>
      </w:r>
    </w:p>
  </w:footnote>
  <w:footnote w:id="24">
    <w:p w:rsidR="003F568C" w:rsidRPr="00EC2FB4" w:rsidRDefault="003F568C" w:rsidP="003F568C">
      <w:pPr>
        <w:pStyle w:val="FootnoteText"/>
        <w:ind w:firstLine="709"/>
        <w:jc w:val="both"/>
      </w:pPr>
      <w:r w:rsidRPr="00EC2FB4">
        <w:rPr>
          <w:rStyle w:val="FootnoteReference"/>
        </w:rPr>
        <w:footnoteRef/>
      </w:r>
      <w:r w:rsidRPr="00EC2FB4">
        <w:t xml:space="preserve"> Wenny F. Limbong, “Kebijakan Formulasi Tindak Pidana Dalam Upaya Penanggulangan Penyalahgunaan Narkotika di Indonesia”, </w:t>
      </w:r>
      <w:r w:rsidRPr="00EC2FB4">
        <w:rPr>
          <w:i/>
          <w:iCs/>
        </w:rPr>
        <w:t xml:space="preserve">Diponegoro Law Journal, </w:t>
      </w:r>
      <w:r w:rsidRPr="00EC2FB4">
        <w:rPr>
          <w:iCs/>
        </w:rPr>
        <w:t>Vol. 5 No. 3</w:t>
      </w:r>
      <w:r w:rsidRPr="00EC2FB4">
        <w:t xml:space="preserve">, 2016, h. 7.  </w:t>
      </w:r>
    </w:p>
  </w:footnote>
  <w:footnote w:id="25">
    <w:p w:rsidR="003F568C" w:rsidRPr="00EC2FB4" w:rsidRDefault="003F568C" w:rsidP="003F568C">
      <w:pPr>
        <w:pStyle w:val="FootnoteText"/>
        <w:ind w:firstLine="709"/>
        <w:jc w:val="both"/>
      </w:pPr>
      <w:r w:rsidRPr="00EC2FB4">
        <w:rPr>
          <w:rStyle w:val="FootnoteReference"/>
        </w:rPr>
        <w:footnoteRef/>
      </w:r>
      <w:r w:rsidRPr="00EC2FB4">
        <w:t xml:space="preserve"> Pasal 111 dan Pasal 112 Undang-Undang No. 35 Tahun 2009 tentang Narkotika  (Lembaran Negara Nomor 143 Tahun 2009, Tambahan Lembaran Negara Nomor 5062 Tahun 2009).</w:t>
      </w:r>
    </w:p>
  </w:footnote>
  <w:footnote w:id="26">
    <w:p w:rsidR="003F568C" w:rsidRPr="00EC2FB4" w:rsidRDefault="003F568C" w:rsidP="003F568C">
      <w:pPr>
        <w:pStyle w:val="FootnoteText"/>
        <w:ind w:firstLine="709"/>
        <w:jc w:val="both"/>
      </w:pPr>
      <w:r w:rsidRPr="00EC2FB4">
        <w:rPr>
          <w:rStyle w:val="FootnoteReference"/>
        </w:rPr>
        <w:footnoteRef/>
      </w:r>
      <w:r w:rsidRPr="00EC2FB4">
        <w:t xml:space="preserve"> Pasal 117 Undang-Undang No. 35 Tahun 2009 tentang Narkotika  (Lembaran Negara Nomor 143 Tahun 2009, Tambahan Lembaran Negara Nomor 5062 Tahun 2009).</w:t>
      </w:r>
    </w:p>
  </w:footnote>
  <w:footnote w:id="27">
    <w:p w:rsidR="003F568C" w:rsidRPr="00EC2FB4" w:rsidRDefault="003F568C" w:rsidP="003F568C">
      <w:pPr>
        <w:pStyle w:val="FootnoteText"/>
        <w:ind w:firstLine="709"/>
        <w:jc w:val="both"/>
      </w:pPr>
      <w:r w:rsidRPr="00EC2FB4">
        <w:rPr>
          <w:rStyle w:val="FootnoteReference"/>
        </w:rPr>
        <w:footnoteRef/>
      </w:r>
      <w:r w:rsidRPr="00EC2FB4">
        <w:t xml:space="preserve"> Pasal 122 Undang-Undang No. 35 Tahun 2009 tentang Narkotika (Lembaran Negara Nomor 143 Tahun 2009, Tambahan Lembaran Negara Nomor 5062 Tahun 2009). </w:t>
      </w:r>
    </w:p>
  </w:footnote>
  <w:footnote w:id="28">
    <w:p w:rsidR="003F568C" w:rsidRPr="00EC2FB4" w:rsidRDefault="003F568C" w:rsidP="003F568C">
      <w:pPr>
        <w:pStyle w:val="FootnoteText"/>
        <w:ind w:firstLine="709"/>
        <w:jc w:val="both"/>
      </w:pPr>
      <w:r w:rsidRPr="00EC2FB4">
        <w:rPr>
          <w:rStyle w:val="FootnoteReference"/>
        </w:rPr>
        <w:footnoteRef/>
      </w:r>
      <w:r w:rsidRPr="00EC2FB4">
        <w:t xml:space="preserve"> Pasal 114 Undang-Undang No. 35 Tahun 2009 tentang Narkotika (Lembaran Negara Nomor 143 Tahun 2009, Tambahan Lembaran Negara Nomor 5062 Tahun 2009). </w:t>
      </w:r>
    </w:p>
  </w:footnote>
  <w:footnote w:id="29">
    <w:p w:rsidR="003F568C" w:rsidRPr="00EC2FB4" w:rsidRDefault="003F568C" w:rsidP="003F568C">
      <w:pPr>
        <w:pStyle w:val="FootnoteText"/>
        <w:ind w:firstLine="709"/>
        <w:jc w:val="both"/>
      </w:pPr>
      <w:r w:rsidRPr="00EC2FB4">
        <w:rPr>
          <w:rStyle w:val="FootnoteReference"/>
        </w:rPr>
        <w:footnoteRef/>
      </w:r>
      <w:r w:rsidRPr="00EC2FB4">
        <w:t xml:space="preserve"> Pasal 119 Undang-Undang No. 35 Tahun 2009 tentang Narkotika (Lembaran Negara Nomor 143 Tahun 2009, Tambahan Lembaran Negara Nomor 5062 Tahun 2009). </w:t>
      </w:r>
    </w:p>
  </w:footnote>
  <w:footnote w:id="30">
    <w:p w:rsidR="003F568C" w:rsidRPr="00EC2FB4" w:rsidRDefault="003F568C" w:rsidP="003F568C">
      <w:pPr>
        <w:pStyle w:val="FootnoteText"/>
        <w:ind w:firstLine="709"/>
        <w:jc w:val="both"/>
      </w:pPr>
      <w:r w:rsidRPr="00EC2FB4">
        <w:rPr>
          <w:rStyle w:val="FootnoteReference"/>
        </w:rPr>
        <w:footnoteRef/>
      </w:r>
      <w:r w:rsidRPr="00EC2FB4">
        <w:t xml:space="preserve"> Pasal 124 Undang-Undang No. 35 Tahun 2009 tentang Narkotika  (Lembaran Negara Nomor 143 Tahun 2009, Tambahan Lembaran Negara Nomor 5062 Tahun 2009).</w:t>
      </w:r>
    </w:p>
  </w:footnote>
  <w:footnote w:id="31">
    <w:p w:rsidR="003F568C" w:rsidRPr="00EC2FB4" w:rsidRDefault="003F568C" w:rsidP="003F568C">
      <w:pPr>
        <w:pStyle w:val="FootnoteText"/>
        <w:ind w:firstLine="709"/>
        <w:jc w:val="both"/>
      </w:pPr>
      <w:r w:rsidRPr="00EC2FB4">
        <w:rPr>
          <w:rStyle w:val="FootnoteReference"/>
        </w:rPr>
        <w:footnoteRef/>
      </w:r>
      <w:r w:rsidRPr="00EC2FB4">
        <w:t xml:space="preserve"> Pasal 113 Undang-Undang No. 35 Tahun 2009 tentang Narkotika(Lembaran Negara Nomor 143 Tahun 2009, Tambahan Lembaran Negara Nomor 5062 Tahun 2009).  </w:t>
      </w:r>
    </w:p>
  </w:footnote>
  <w:footnote w:id="32">
    <w:p w:rsidR="003F568C" w:rsidRPr="00EC2FB4" w:rsidRDefault="003F568C" w:rsidP="003F568C">
      <w:pPr>
        <w:pStyle w:val="FootnoteText"/>
        <w:ind w:firstLine="709"/>
        <w:jc w:val="both"/>
      </w:pPr>
      <w:r w:rsidRPr="00EC2FB4">
        <w:rPr>
          <w:rStyle w:val="FootnoteReference"/>
        </w:rPr>
        <w:footnoteRef/>
      </w:r>
      <w:r w:rsidRPr="00EC2FB4">
        <w:t xml:space="preserve"> Pasal 118 Undang-Undang No. 35 Tahun 2009 tentang Narkotika (Lembaran Negara Nomor 143 Tahun 2009, Tambahan Lembaran Negara Nomor 5062 Tahun 2009). </w:t>
      </w:r>
    </w:p>
  </w:footnote>
  <w:footnote w:id="33">
    <w:p w:rsidR="003F568C" w:rsidRPr="00EC2FB4" w:rsidRDefault="003F568C" w:rsidP="003F568C">
      <w:pPr>
        <w:pStyle w:val="FootnoteText"/>
        <w:ind w:firstLine="709"/>
        <w:jc w:val="both"/>
      </w:pPr>
      <w:r w:rsidRPr="00EC2FB4">
        <w:rPr>
          <w:rStyle w:val="FootnoteReference"/>
        </w:rPr>
        <w:footnoteRef/>
      </w:r>
      <w:r w:rsidRPr="00EC2FB4">
        <w:t xml:space="preserve"> Pasal 123 Undang-Undang No. 35 Tahun 2009 tentang Narkotika (Lembaran Negara Nomor 143 Tahun 2009, Tambahan Lembaran Negara Nomor 5062 Tahun 2009). </w:t>
      </w:r>
    </w:p>
  </w:footnote>
  <w:footnote w:id="34">
    <w:p w:rsidR="003F568C" w:rsidRPr="00EC2FB4" w:rsidRDefault="003F568C" w:rsidP="003F568C">
      <w:pPr>
        <w:pStyle w:val="FootnoteText"/>
        <w:ind w:firstLine="709"/>
        <w:jc w:val="both"/>
      </w:pPr>
      <w:r w:rsidRPr="00EC2FB4">
        <w:rPr>
          <w:rStyle w:val="FootnoteReference"/>
        </w:rPr>
        <w:footnoteRef/>
      </w:r>
      <w:r w:rsidRPr="00EC2FB4">
        <w:t xml:space="preserve"> Pasal 116 Undang-Undang No. 35 Tahun 2009 tentang Narkotika  (Lembaran Negara Nomor 143 Tahun 2009, Tambahan Lembaran Negara Nomor 5062 Tahun 2009).</w:t>
      </w:r>
    </w:p>
  </w:footnote>
  <w:footnote w:id="35">
    <w:p w:rsidR="003F568C" w:rsidRPr="00EC2FB4" w:rsidRDefault="003F568C" w:rsidP="003F568C">
      <w:pPr>
        <w:pStyle w:val="FootnoteText"/>
        <w:ind w:firstLine="709"/>
        <w:jc w:val="both"/>
      </w:pPr>
      <w:r w:rsidRPr="00EC2FB4">
        <w:rPr>
          <w:rStyle w:val="FootnoteReference"/>
        </w:rPr>
        <w:footnoteRef/>
      </w:r>
      <w:r w:rsidRPr="00EC2FB4">
        <w:t xml:space="preserve"> Pasal 126 Undang-Undang No. 35 Tahun 2009 tentang Narkotika (Lembaran Negara Nomor 143 Tahun 2009, Tambahan Lembaran Negara Nomor 5062 Tahun 2009). </w:t>
      </w:r>
    </w:p>
  </w:footnote>
  <w:footnote w:id="36">
    <w:p w:rsidR="003F568C" w:rsidRPr="00EC2FB4" w:rsidRDefault="003F568C" w:rsidP="003F568C">
      <w:pPr>
        <w:pStyle w:val="FootnoteText"/>
        <w:ind w:firstLine="709"/>
        <w:jc w:val="both"/>
      </w:pPr>
      <w:r w:rsidRPr="00EC2FB4">
        <w:rPr>
          <w:rStyle w:val="FootnoteReference"/>
        </w:rPr>
        <w:footnoteRef/>
      </w:r>
      <w:r w:rsidRPr="00EC2FB4">
        <w:t xml:space="preserve"> Pasal 1 ayat (2)  Undang-Undang No. 35 Tahun 2009 tentang Narkotika(Lembaran Negara Nomor 143 Tahun 2009, Tambahan Lembaran Negara Nomor 5062 Tahun 2009).  </w:t>
      </w:r>
    </w:p>
  </w:footnote>
  <w:footnote w:id="37">
    <w:p w:rsidR="003F568C" w:rsidRPr="00EC2FB4" w:rsidRDefault="003F568C" w:rsidP="003F568C">
      <w:pPr>
        <w:pStyle w:val="FootnoteText"/>
        <w:ind w:firstLine="709"/>
        <w:jc w:val="both"/>
      </w:pPr>
      <w:r w:rsidRPr="00EC2FB4">
        <w:rPr>
          <w:rStyle w:val="FootnoteReference"/>
        </w:rPr>
        <w:footnoteRef/>
      </w:r>
      <w:r w:rsidRPr="00EC2FB4">
        <w:t xml:space="preserve"> Pasal 129 Undang-Undang No. 35 Tahun 2009 tentang Narkotika  (Lembaran Negara Nomor 143 Tahun 2009, Tambahan Lembaran Negara Nomor 5062 Tahun 2009).</w:t>
      </w:r>
    </w:p>
  </w:footnote>
  <w:footnote w:id="38">
    <w:p w:rsidR="003F568C" w:rsidRPr="00EC2FB4" w:rsidRDefault="003F568C" w:rsidP="003F568C">
      <w:pPr>
        <w:pStyle w:val="FootnoteText"/>
        <w:ind w:firstLine="709"/>
        <w:jc w:val="both"/>
      </w:pPr>
      <w:r w:rsidRPr="00EC2FB4">
        <w:rPr>
          <w:rStyle w:val="FootnoteReference"/>
        </w:rPr>
        <w:footnoteRef/>
      </w:r>
      <w:r w:rsidRPr="00EC2FB4">
        <w:t xml:space="preserve"> Wawancara dengan Iptu. Nur Istiono, Kanit Idik Satuan Narkoba Polres Asahan di Kisaran  pada hari Rabu, 06 September 2023 Pukul 10.00 wib.  </w:t>
      </w:r>
    </w:p>
  </w:footnote>
  <w:footnote w:id="39">
    <w:p w:rsidR="003F568C" w:rsidRPr="00EC2FB4" w:rsidRDefault="003F568C" w:rsidP="003F568C">
      <w:pPr>
        <w:pStyle w:val="FootnoteText"/>
        <w:ind w:firstLine="709"/>
        <w:jc w:val="both"/>
      </w:pPr>
      <w:r w:rsidRPr="00EC2FB4">
        <w:rPr>
          <w:rStyle w:val="FootnoteReference"/>
        </w:rPr>
        <w:footnoteRef/>
      </w:r>
      <w:r w:rsidRPr="00EC2FB4">
        <w:t xml:space="preserve"> Victor Ziliwu, “Penegakan Hukum Pidana Terhadap Pengguna Narkotika Sebagai Pelaku Tindak Pidana Narkotika”, </w:t>
      </w:r>
      <w:r w:rsidRPr="00EC2FB4">
        <w:rPr>
          <w:i/>
        </w:rPr>
        <w:t>Jurnal Ilmu Hukum</w:t>
      </w:r>
      <w:r w:rsidRPr="00EC2FB4">
        <w:t xml:space="preserve">, Vo.I Nomor 2 Tahun 2018, h. 111.  </w:t>
      </w:r>
    </w:p>
  </w:footnote>
  <w:footnote w:id="40">
    <w:p w:rsidR="003F568C" w:rsidRPr="00EC2FB4" w:rsidRDefault="003F568C" w:rsidP="003F568C">
      <w:pPr>
        <w:pStyle w:val="FootnoteText"/>
        <w:ind w:firstLine="709"/>
        <w:jc w:val="both"/>
      </w:pPr>
      <w:r w:rsidRPr="00EC2FB4">
        <w:rPr>
          <w:rStyle w:val="FootnoteReference"/>
        </w:rPr>
        <w:t>107</w:t>
      </w:r>
      <w:r w:rsidRPr="00EC2FB4">
        <w:t xml:space="preserve">Rusli Muhammad, </w:t>
      </w:r>
      <w:r w:rsidRPr="00EC2FB4">
        <w:rPr>
          <w:i/>
          <w:iCs/>
        </w:rPr>
        <w:t>Potret Lembaga Pengadilan Indonesia</w:t>
      </w:r>
      <w:r w:rsidRPr="00EC2FB4">
        <w:t xml:space="preserve">, Raja Grafindo Persada, Jakarta, 2016, h.125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282" w:rsidRDefault="006612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282" w:rsidRPr="000445E7" w:rsidRDefault="00661282" w:rsidP="00661282">
    <w:pPr>
      <w:pStyle w:val="Header"/>
      <w:jc w:val="right"/>
      <w:rPr>
        <w:lang w:val="id-ID"/>
      </w:rPr>
    </w:pPr>
    <w:r>
      <w:rPr>
        <w:lang w:val="id-ID"/>
      </w:rPr>
      <w:t>PUBLISH: 21/11/2025 16:14:48</w:t>
    </w:r>
  </w:p>
  <w:p w:rsidR="008E2B37" w:rsidRDefault="0038251B">
    <w:pPr>
      <w:pStyle w:val="Header"/>
      <w:jc w:val="right"/>
    </w:pPr>
  </w:p>
  <w:p w:rsidR="008E2B37" w:rsidRPr="007E1322" w:rsidRDefault="00FF59A3" w:rsidP="00375BFE">
    <w:pPr>
      <w:tabs>
        <w:tab w:val="left" w:pos="2700"/>
        <w:tab w:val="center" w:pos="4308"/>
      </w:tabs>
      <w:spacing w:line="360" w:lineRule="auto"/>
      <w:ind w:right="-680"/>
      <w:rPr>
        <w:b/>
        <w:color w:val="00B050"/>
        <w:sz w:val="28"/>
      </w:rPr>
    </w:pPr>
    <w:r>
      <w:rPr>
        <w:b/>
        <w:color w:val="00B050"/>
      </w:rPr>
      <w:tab/>
    </w:r>
    <w:r>
      <w:rPr>
        <w:b/>
        <w:color w:val="00B050"/>
      </w:rPr>
      <w:tab/>
    </w:r>
  </w:p>
  <w:p w:rsidR="00D7440B" w:rsidRDefault="0038251B" w:rsidP="00D7440B">
    <w:pPr>
      <w:pStyle w:val="Header"/>
      <w:jc w:val="right"/>
    </w:pPr>
  </w:p>
  <w:p w:rsidR="00D7440B" w:rsidRDefault="00FF59A3" w:rsidP="00D7440B">
    <w:pPr>
      <w:pStyle w:val="Header"/>
    </w:pPr>
    <w:r>
      <w:rPr>
        <w:noProof/>
        <w:lang w:val="id-ID" w:eastAsia="id-ID"/>
      </w:rPr>
      <w:drawing>
        <wp:anchor distT="0" distB="0" distL="114300" distR="114300" simplePos="0" relativeHeight="251661312" behindDoc="1" locked="0" layoutInCell="1" allowOverlap="1">
          <wp:simplePos x="0" y="0"/>
          <wp:positionH relativeFrom="column">
            <wp:posOffset>43180</wp:posOffset>
          </wp:positionH>
          <wp:positionV relativeFrom="paragraph">
            <wp:posOffset>2993390</wp:posOffset>
          </wp:positionV>
          <wp:extent cx="5037455" cy="44773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p w:rsidR="008E2B37" w:rsidRDefault="003825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282" w:rsidRDefault="006612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FA31C04"/>
    <w:multiLevelType w:val="hybridMultilevel"/>
    <w:tmpl w:val="417A503E"/>
    <w:lvl w:ilvl="0" w:tplc="46DA703E">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CBC280A6">
      <w:start w:val="1"/>
      <w:numFmt w:val="lowerLetter"/>
      <w:lvlText w:val="%3)"/>
      <w:lvlJc w:val="right"/>
      <w:pPr>
        <w:tabs>
          <w:tab w:val="num" w:pos="2160"/>
        </w:tabs>
        <w:ind w:left="2160" w:hanging="180"/>
      </w:pPr>
      <w:rPr>
        <w:rFonts w:ascii="Arial" w:eastAsia="Times New Roman" w:hAnsi="Arial" w:cs="Arial"/>
      </w:rPr>
    </w:lvl>
    <w:lvl w:ilvl="3" w:tplc="6D7230B6">
      <w:start w:val="1"/>
      <w:numFmt w:val="decimal"/>
      <w:lvlText w:val="%4)"/>
      <w:lvlJc w:val="left"/>
      <w:pPr>
        <w:ind w:left="2880" w:hanging="360"/>
      </w:pPr>
      <w:rPr>
        <w:rFonts w:hint="default"/>
      </w:rPr>
    </w:lvl>
    <w:lvl w:ilvl="4" w:tplc="DFA07DC0">
      <w:start w:val="1"/>
      <w:numFmt w:val="upp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24478DB"/>
    <w:multiLevelType w:val="multilevel"/>
    <w:tmpl w:val="052E2E5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rPr>
        <w:rFonts w:ascii="Arial" w:eastAsia="Times New Roman" w:hAnsi="Arial" w:cs="Arial" w:hint="default"/>
      </w:r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rPr>
        <w:b w:val="0"/>
      </w:rPr>
    </w:lvl>
    <w:lvl w:ilvl="4">
      <w:start w:val="1"/>
      <w:numFmt w:val="decimal"/>
      <w:lvlText w:val="%5."/>
      <w:lvlJc w:val="left"/>
      <w:pPr>
        <w:tabs>
          <w:tab w:val="num" w:pos="3240"/>
        </w:tabs>
        <w:ind w:left="3240" w:hanging="360"/>
      </w:pPr>
      <w:rPr>
        <w:rFonts w:ascii="Arial" w:eastAsia="Calibri" w:hAnsi="Arial" w:cs="Arial"/>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b w:val="0"/>
      </w:rPr>
    </w:lvl>
    <w:lvl w:ilvl="7">
      <w:start w:val="1"/>
      <w:numFmt w:val="upperLetter"/>
      <w:lvlText w:val="%8."/>
      <w:lvlJc w:val="left"/>
      <w:pPr>
        <w:tabs>
          <w:tab w:val="num" w:pos="5400"/>
        </w:tabs>
        <w:ind w:left="5400" w:hanging="360"/>
      </w:pPr>
      <w:rPr>
        <w:rFonts w:ascii="Arial" w:eastAsia="Times New Roman" w:hAnsi="Arial" w:cs="Arial" w:hint="default"/>
      </w:rPr>
    </w:lvl>
    <w:lvl w:ilvl="8">
      <w:start w:val="1"/>
      <w:numFmt w:val="lowerRoman"/>
      <w:lvlText w:val="%9."/>
      <w:lvlJc w:val="right"/>
      <w:pPr>
        <w:tabs>
          <w:tab w:val="num" w:pos="6120"/>
        </w:tabs>
        <w:ind w:left="6120" w:hanging="180"/>
      </w:pPr>
    </w:lvl>
  </w:abstractNum>
  <w:abstractNum w:abstractNumId="3">
    <w:nsid w:val="126F52D7"/>
    <w:multiLevelType w:val="hybridMultilevel"/>
    <w:tmpl w:val="60368678"/>
    <w:lvl w:ilvl="0" w:tplc="3D88F5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91FD9"/>
    <w:multiLevelType w:val="hybridMultilevel"/>
    <w:tmpl w:val="58841B12"/>
    <w:lvl w:ilvl="0" w:tplc="C33EDAE0">
      <w:start w:val="1"/>
      <w:numFmt w:val="decimal"/>
      <w:lvlText w:val="%1."/>
      <w:lvlJc w:val="left"/>
      <w:pPr>
        <w:tabs>
          <w:tab w:val="num" w:pos="1800"/>
        </w:tabs>
        <w:ind w:left="1800" w:hanging="360"/>
      </w:pPr>
      <w:rPr>
        <w:rFonts w:hint="default"/>
        <w:i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455258E"/>
    <w:multiLevelType w:val="multilevel"/>
    <w:tmpl w:val="E8DE498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5DE0771"/>
    <w:multiLevelType w:val="hybridMultilevel"/>
    <w:tmpl w:val="A3986D06"/>
    <w:lvl w:ilvl="0" w:tplc="8246384E">
      <w:start w:val="1"/>
      <w:numFmt w:val="upperLetter"/>
      <w:lvlText w:val="%1."/>
      <w:lvlJc w:val="left"/>
      <w:pPr>
        <w:tabs>
          <w:tab w:val="num" w:pos="720"/>
        </w:tabs>
        <w:ind w:left="720" w:hanging="360"/>
      </w:pPr>
      <w:rPr>
        <w:rFonts w:hint="default"/>
      </w:rPr>
    </w:lvl>
    <w:lvl w:ilvl="1" w:tplc="D63AE632">
      <w:start w:val="1"/>
      <w:numFmt w:val="decimal"/>
      <w:lvlText w:val="%2."/>
      <w:lvlJc w:val="left"/>
      <w:pPr>
        <w:tabs>
          <w:tab w:val="num" w:pos="1440"/>
        </w:tabs>
        <w:ind w:left="1440" w:hanging="360"/>
      </w:pPr>
      <w:rPr>
        <w:rFonts w:hint="default"/>
        <w:b/>
      </w:rPr>
    </w:lvl>
    <w:lvl w:ilvl="2" w:tplc="78A866B0">
      <w:start w:val="1"/>
      <w:numFmt w:val="lowerLetter"/>
      <w:lvlText w:val="%3."/>
      <w:lvlJc w:val="right"/>
      <w:pPr>
        <w:tabs>
          <w:tab w:val="num" w:pos="2160"/>
        </w:tabs>
        <w:ind w:left="2160" w:hanging="180"/>
      </w:pPr>
      <w:rPr>
        <w:rFonts w:ascii="Arial" w:eastAsia="Times New Roman" w:hAnsi="Arial" w:cs="Arial"/>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58A275C">
      <w:start w:val="1"/>
      <w:numFmt w:val="decimal"/>
      <w:lvlText w:val="%6)"/>
      <w:lvlJc w:val="left"/>
      <w:pPr>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63B7D02"/>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8">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9">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B94B58"/>
    <w:multiLevelType w:val="hybridMultilevel"/>
    <w:tmpl w:val="3BC41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F62F1"/>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313C7C71"/>
    <w:multiLevelType w:val="hybridMultilevel"/>
    <w:tmpl w:val="68EEE9A6"/>
    <w:lvl w:ilvl="0" w:tplc="BB1A7250">
      <w:start w:val="5"/>
      <w:numFmt w:val="upperLetter"/>
      <w:lvlText w:val="%1."/>
      <w:lvlJc w:val="left"/>
      <w:pPr>
        <w:tabs>
          <w:tab w:val="num" w:pos="720"/>
        </w:tabs>
        <w:ind w:left="720" w:hanging="360"/>
      </w:pPr>
    </w:lvl>
    <w:lvl w:ilvl="1" w:tplc="24FAE50C">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1F83353"/>
    <w:multiLevelType w:val="hybridMultilevel"/>
    <w:tmpl w:val="2EB2C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111AC"/>
    <w:multiLevelType w:val="hybridMultilevel"/>
    <w:tmpl w:val="057E18D0"/>
    <w:lvl w:ilvl="0" w:tplc="57A27610">
      <w:start w:val="1"/>
      <w:numFmt w:val="decimal"/>
      <w:lvlText w:val="%1)"/>
      <w:lvlJc w:val="left"/>
      <w:pPr>
        <w:ind w:left="1080" w:hanging="360"/>
      </w:pPr>
      <w:rPr>
        <w:rFonts w:hint="default"/>
      </w:rPr>
    </w:lvl>
    <w:lvl w:ilvl="1" w:tplc="349A88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71668B"/>
    <w:multiLevelType w:val="hybridMultilevel"/>
    <w:tmpl w:val="876A92C6"/>
    <w:lvl w:ilvl="0" w:tplc="271A9D84">
      <w:start w:val="1"/>
      <w:numFmt w:val="decimal"/>
      <w:lvlText w:val="%1."/>
      <w:lvlJc w:val="left"/>
      <w:pPr>
        <w:tabs>
          <w:tab w:val="num" w:pos="720"/>
        </w:tabs>
        <w:ind w:left="720" w:hanging="360"/>
      </w:pPr>
      <w:rPr>
        <w:rFonts w:hint="default"/>
      </w:rPr>
    </w:lvl>
    <w:lvl w:ilvl="1" w:tplc="2A1AAC7E">
      <w:start w:val="1"/>
      <w:numFmt w:val="decimal"/>
      <w:lvlText w:val="%2."/>
      <w:lvlJc w:val="left"/>
      <w:pPr>
        <w:tabs>
          <w:tab w:val="num" w:pos="1440"/>
        </w:tabs>
        <w:ind w:left="1440" w:hanging="360"/>
      </w:pPr>
      <w:rPr>
        <w:rFonts w:ascii="Times New Roman" w:eastAsia="Times New Roman" w:hAnsi="Times New Roman" w:cs="Times New Roman" w:hint="default"/>
        <w:i w:val="0"/>
      </w:rPr>
    </w:lvl>
    <w:lvl w:ilvl="2" w:tplc="0409001B">
      <w:start w:val="1"/>
      <w:numFmt w:val="lowerRoman"/>
      <w:lvlText w:val="%3."/>
      <w:lvlJc w:val="right"/>
      <w:pPr>
        <w:tabs>
          <w:tab w:val="num" w:pos="2160"/>
        </w:tabs>
        <w:ind w:left="2160" w:hanging="180"/>
      </w:pPr>
    </w:lvl>
    <w:lvl w:ilvl="3" w:tplc="2F3EE006">
      <w:start w:val="1"/>
      <w:numFmt w:val="decimal"/>
      <w:lvlText w:val="(%4)"/>
      <w:lvlJc w:val="left"/>
      <w:pPr>
        <w:ind w:left="2880" w:hanging="360"/>
      </w:pPr>
      <w:rPr>
        <w:rFonts w:hint="default"/>
      </w:rPr>
    </w:lvl>
    <w:lvl w:ilvl="4" w:tplc="B37C4910">
      <w:start w:val="1"/>
      <w:numFmt w:val="upperLetter"/>
      <w:lvlText w:val="%5."/>
      <w:lvlJc w:val="left"/>
      <w:pPr>
        <w:ind w:left="3600" w:hanging="360"/>
      </w:pPr>
      <w:rPr>
        <w:rFonts w:hint="default"/>
      </w:rPr>
    </w:lvl>
    <w:lvl w:ilvl="5" w:tplc="62B40602">
      <w:start w:val="1"/>
      <w:numFmt w:val="decimal"/>
      <w:lvlText w:val="%6)"/>
      <w:lvlJc w:val="left"/>
      <w:pPr>
        <w:ind w:left="4500" w:hanging="360"/>
      </w:pPr>
      <w:rPr>
        <w:rFonts w:hint="default"/>
      </w:rPr>
    </w:lvl>
    <w:lvl w:ilvl="6" w:tplc="3AF4F330">
      <w:start w:val="1"/>
      <w:numFmt w:val="lowerLetter"/>
      <w:lvlText w:val="%7)"/>
      <w:lvlJc w:val="left"/>
      <w:pPr>
        <w:ind w:left="5040" w:hanging="360"/>
      </w:pPr>
      <w:rPr>
        <w:rFonts w:hint="default"/>
      </w:rPr>
    </w:lvl>
    <w:lvl w:ilvl="7" w:tplc="7F7899AE">
      <w:start w:val="1"/>
      <w:numFmt w:val="lowerLetter"/>
      <w:lvlText w:val="%8."/>
      <w:lvlJc w:val="left"/>
      <w:pPr>
        <w:ind w:left="5760" w:hanging="360"/>
      </w:pPr>
      <w:rPr>
        <w:rFonts w:hint="default"/>
        <w:b w:val="0"/>
      </w:rPr>
    </w:lvl>
    <w:lvl w:ilvl="8" w:tplc="0409001B" w:tentative="1">
      <w:start w:val="1"/>
      <w:numFmt w:val="lowerRoman"/>
      <w:lvlText w:val="%9."/>
      <w:lvlJc w:val="right"/>
      <w:pPr>
        <w:tabs>
          <w:tab w:val="num" w:pos="6480"/>
        </w:tabs>
        <w:ind w:left="6480" w:hanging="180"/>
      </w:pPr>
    </w:lvl>
  </w:abstractNum>
  <w:abstractNum w:abstractNumId="16">
    <w:nsid w:val="39540CA1"/>
    <w:multiLevelType w:val="hybridMultilevel"/>
    <w:tmpl w:val="6DCA6928"/>
    <w:lvl w:ilvl="0" w:tplc="DDA6DDE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BC3F9A"/>
    <w:multiLevelType w:val="hybridMultilevel"/>
    <w:tmpl w:val="78E6B400"/>
    <w:lvl w:ilvl="0" w:tplc="D804953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423437"/>
    <w:multiLevelType w:val="hybridMultilevel"/>
    <w:tmpl w:val="D770685E"/>
    <w:lvl w:ilvl="0" w:tplc="FD182F64">
      <w:start w:val="1"/>
      <w:numFmt w:val="lowerLetter"/>
      <w:lvlText w:val="%1."/>
      <w:lvlJc w:val="left"/>
      <w:pPr>
        <w:tabs>
          <w:tab w:val="num" w:pos="5760"/>
        </w:tabs>
        <w:ind w:left="57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431C402F"/>
    <w:multiLevelType w:val="hybridMultilevel"/>
    <w:tmpl w:val="181E7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385A00"/>
    <w:multiLevelType w:val="hybridMultilevel"/>
    <w:tmpl w:val="564E40CE"/>
    <w:lvl w:ilvl="0" w:tplc="30A81BB0">
      <w:start w:val="1"/>
      <w:numFmt w:val="lowerLetter"/>
      <w:lvlText w:val="%1."/>
      <w:lvlJc w:val="left"/>
      <w:pPr>
        <w:ind w:left="1828" w:hanging="360"/>
      </w:pPr>
      <w:rPr>
        <w:i w:val="0"/>
      </w:rPr>
    </w:lvl>
    <w:lvl w:ilvl="1" w:tplc="A8487D2A">
      <w:start w:val="1"/>
      <w:numFmt w:val="decimal"/>
      <w:lvlText w:val="%2."/>
      <w:lvlJc w:val="left"/>
      <w:pPr>
        <w:ind w:left="2548" w:hanging="360"/>
      </w:pPr>
      <w:rPr>
        <w:rFonts w:ascii="Times New Roman" w:eastAsia="Times New Roman" w:hAnsi="Times New Roman" w:cs="Times New Roman" w:hint="default"/>
      </w:rPr>
    </w:lvl>
    <w:lvl w:ilvl="2" w:tplc="0409001B">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22">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96736F1"/>
    <w:multiLevelType w:val="hybridMultilevel"/>
    <w:tmpl w:val="DFA8BA84"/>
    <w:lvl w:ilvl="0" w:tplc="3E746DEA">
      <w:start w:val="1"/>
      <w:numFmt w:val="upperLetter"/>
      <w:lvlText w:val="%1."/>
      <w:lvlJc w:val="left"/>
      <w:pPr>
        <w:ind w:left="1080" w:hanging="360"/>
      </w:pPr>
      <w:rPr>
        <w:rFonts w:hint="default"/>
        <w:b/>
      </w:rPr>
    </w:lvl>
    <w:lvl w:ilvl="1" w:tplc="F0708C58">
      <w:start w:val="1"/>
      <w:numFmt w:val="decimal"/>
      <w:lvlText w:val="%2."/>
      <w:lvlJc w:val="left"/>
      <w:pPr>
        <w:ind w:left="1800" w:hanging="360"/>
      </w:pPr>
      <w:rPr>
        <w:rFonts w:ascii="Times New Roman" w:eastAsia="Times New Roman" w:hAnsi="Times New Roman" w:cs="Times New Roman" w:hint="default"/>
        <w:b w:val="0"/>
      </w:rPr>
    </w:lvl>
    <w:lvl w:ilvl="2" w:tplc="482413A8">
      <w:start w:val="1"/>
      <w:numFmt w:val="decimal"/>
      <w:lvlText w:val="%3)"/>
      <w:lvlJc w:val="left"/>
      <w:pPr>
        <w:ind w:left="2700" w:hanging="360"/>
      </w:pPr>
      <w:rPr>
        <w:rFonts w:hint="default"/>
        <w:color w:val="auto"/>
        <w:sz w:val="16"/>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6C00B6"/>
    <w:multiLevelType w:val="hybridMultilevel"/>
    <w:tmpl w:val="DD187810"/>
    <w:lvl w:ilvl="0" w:tplc="B50C1148">
      <w:start w:val="2"/>
      <w:numFmt w:val="decimal"/>
      <w:lvlText w:val="%1."/>
      <w:lvlJc w:val="left"/>
      <w:pPr>
        <w:ind w:left="720" w:hanging="360"/>
      </w:pPr>
      <w:rPr>
        <w:rFonts w:hint="default"/>
      </w:rPr>
    </w:lvl>
    <w:lvl w:ilvl="1" w:tplc="8B6A0B56">
      <w:start w:val="1"/>
      <w:numFmt w:val="lowerLetter"/>
      <w:lvlText w:val="%2)"/>
      <w:lvlJc w:val="left"/>
      <w:pPr>
        <w:ind w:left="1440" w:hanging="360"/>
      </w:pPr>
      <w:rPr>
        <w:rFonts w:hint="default"/>
      </w:rPr>
    </w:lvl>
    <w:lvl w:ilvl="2" w:tplc="1C70676E">
      <w:start w:val="1"/>
      <w:numFmt w:val="lowerLetter"/>
      <w:lvlText w:val="%3."/>
      <w:lvlJc w:val="left"/>
      <w:pPr>
        <w:ind w:left="2340" w:hanging="360"/>
      </w:pPr>
      <w:rPr>
        <w:rFonts w:hint="default"/>
      </w:rPr>
    </w:lvl>
    <w:lvl w:ilvl="3" w:tplc="69F8E00C">
      <w:start w:val="2"/>
      <w:numFmt w:val="upperLetter"/>
      <w:lvlText w:val="%4."/>
      <w:lvlJc w:val="left"/>
      <w:pPr>
        <w:ind w:left="2880" w:hanging="360"/>
      </w:pPr>
      <w:rPr>
        <w:rFonts w:hint="default"/>
        <w:b/>
        <w:color w:val="000000"/>
      </w:rPr>
    </w:lvl>
    <w:lvl w:ilvl="4" w:tplc="8A36A078">
      <w:start w:val="2"/>
      <w:numFmt w:val="upperLetter"/>
      <w:lvlText w:val="%5."/>
      <w:lvlJc w:val="left"/>
      <w:pPr>
        <w:ind w:left="3600" w:hanging="360"/>
      </w:pPr>
      <w:rPr>
        <w:rFonts w:hint="default"/>
        <w:b/>
        <w:color w:val="00000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CA216CE"/>
    <w:multiLevelType w:val="multilevel"/>
    <w:tmpl w:val="0532AA62"/>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ind w:left="1455" w:hanging="375"/>
      </w:pPr>
      <w:rPr>
        <w:rFonts w:hint="default"/>
      </w:rPr>
    </w:lvl>
    <w:lvl w:ilvl="2">
      <w:start w:val="1"/>
      <w:numFmt w:val="upperLetter"/>
      <w:lvlText w:val="%3."/>
      <w:lvlJc w:val="left"/>
      <w:pPr>
        <w:ind w:left="2160" w:hanging="360"/>
      </w:pPr>
      <w:rPr>
        <w:rFonts w:ascii="Times New Roman" w:hAnsi="Times New Roman" w:cs="Times New Roman" w:hint="default"/>
        <w:sz w:val="24"/>
        <w:szCs w:val="24"/>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lvl>
  </w:abstractNum>
  <w:abstractNum w:abstractNumId="26">
    <w:nsid w:val="4E316887"/>
    <w:multiLevelType w:val="hybridMultilevel"/>
    <w:tmpl w:val="729656B0"/>
    <w:lvl w:ilvl="0" w:tplc="D2AEF25A">
      <w:start w:val="1"/>
      <w:numFmt w:val="lowerLetter"/>
      <w:lvlText w:val="%1."/>
      <w:lvlJc w:val="left"/>
      <w:pPr>
        <w:tabs>
          <w:tab w:val="num" w:pos="930"/>
        </w:tabs>
        <w:ind w:left="930" w:hanging="570"/>
      </w:pPr>
      <w:rPr>
        <w:rFonts w:ascii="Arial" w:eastAsia="Times New Roman" w:hAnsi="Arial" w:cs="Arial" w:hint="default"/>
      </w:rPr>
    </w:lvl>
    <w:lvl w:ilvl="1" w:tplc="F67EFAB8">
      <w:start w:val="1"/>
      <w:numFmt w:val="decimal"/>
      <w:lvlText w:val="%2."/>
      <w:lvlJc w:val="left"/>
      <w:pPr>
        <w:tabs>
          <w:tab w:val="num" w:pos="1440"/>
        </w:tabs>
        <w:ind w:left="1440" w:hanging="360"/>
      </w:pPr>
      <w:rPr>
        <w:rFonts w:ascii="Times New Roman" w:eastAsia="Times New Roman" w:hAnsi="Times New Roman" w:cs="Times New Roman" w:hint="default"/>
        <w:b w:val="0"/>
      </w:rPr>
    </w:lvl>
    <w:lvl w:ilvl="2" w:tplc="507E64AA">
      <w:start w:val="2"/>
      <w:numFmt w:val="upperLetter"/>
      <w:lvlText w:val="%3."/>
      <w:lvlJc w:val="left"/>
      <w:pPr>
        <w:tabs>
          <w:tab w:val="num" w:pos="2340"/>
        </w:tabs>
        <w:ind w:left="2340" w:hanging="360"/>
      </w:pPr>
      <w:rPr>
        <w:rFonts w:hint="default"/>
      </w:rPr>
    </w:lvl>
    <w:lvl w:ilvl="3" w:tplc="FAFE8D06">
      <w:start w:val="1"/>
      <w:numFmt w:val="lowerLetter"/>
      <w:lvlText w:val="%4."/>
      <w:lvlJc w:val="left"/>
      <w:pPr>
        <w:tabs>
          <w:tab w:val="num" w:pos="2880"/>
        </w:tabs>
        <w:ind w:left="2880" w:hanging="360"/>
      </w:pPr>
      <w:rPr>
        <w:rFonts w:ascii="Times New Roman" w:eastAsia="Times New Roman" w:hAnsi="Times New Roman" w:cs="Times New Roman"/>
      </w:rPr>
    </w:lvl>
    <w:lvl w:ilvl="4" w:tplc="F7A055FE">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E533A9"/>
    <w:multiLevelType w:val="hybridMultilevel"/>
    <w:tmpl w:val="2A5C83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15D1DA7"/>
    <w:multiLevelType w:val="hybridMultilevel"/>
    <w:tmpl w:val="0C78B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7E0A4F"/>
    <w:multiLevelType w:val="hybridMultilevel"/>
    <w:tmpl w:val="A1A242B6"/>
    <w:lvl w:ilvl="0" w:tplc="C7B87A5C">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764F1"/>
    <w:multiLevelType w:val="hybridMultilevel"/>
    <w:tmpl w:val="708AC7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F821B2"/>
    <w:multiLevelType w:val="hybridMultilevel"/>
    <w:tmpl w:val="ACF27646"/>
    <w:lvl w:ilvl="0" w:tplc="5374D884">
      <w:start w:val="2"/>
      <w:numFmt w:val="upperLetter"/>
      <w:lvlText w:val="%1."/>
      <w:lvlJc w:val="left"/>
      <w:pPr>
        <w:ind w:left="4380" w:hanging="360"/>
      </w:pPr>
      <w:rPr>
        <w:rFonts w:hint="default"/>
        <w:b/>
        <w:color w:val="000000"/>
      </w:rPr>
    </w:lvl>
    <w:lvl w:ilvl="1" w:tplc="04090019" w:tentative="1">
      <w:start w:val="1"/>
      <w:numFmt w:val="lowerLetter"/>
      <w:lvlText w:val="%2."/>
      <w:lvlJc w:val="left"/>
      <w:pPr>
        <w:ind w:left="5100" w:hanging="360"/>
      </w:pPr>
    </w:lvl>
    <w:lvl w:ilvl="2" w:tplc="0409001B" w:tentative="1">
      <w:start w:val="1"/>
      <w:numFmt w:val="lowerRoman"/>
      <w:lvlText w:val="%3."/>
      <w:lvlJc w:val="right"/>
      <w:pPr>
        <w:ind w:left="5820" w:hanging="180"/>
      </w:pPr>
    </w:lvl>
    <w:lvl w:ilvl="3" w:tplc="0409000F">
      <w:start w:val="1"/>
      <w:numFmt w:val="decimal"/>
      <w:lvlText w:val="%4."/>
      <w:lvlJc w:val="left"/>
      <w:pPr>
        <w:ind w:left="6540" w:hanging="360"/>
      </w:pPr>
    </w:lvl>
    <w:lvl w:ilvl="4" w:tplc="04090019" w:tentative="1">
      <w:start w:val="1"/>
      <w:numFmt w:val="lowerLetter"/>
      <w:lvlText w:val="%5."/>
      <w:lvlJc w:val="left"/>
      <w:pPr>
        <w:ind w:left="7260" w:hanging="360"/>
      </w:pPr>
    </w:lvl>
    <w:lvl w:ilvl="5" w:tplc="0409001B" w:tentative="1">
      <w:start w:val="1"/>
      <w:numFmt w:val="lowerRoman"/>
      <w:lvlText w:val="%6."/>
      <w:lvlJc w:val="right"/>
      <w:pPr>
        <w:ind w:left="7980" w:hanging="180"/>
      </w:pPr>
    </w:lvl>
    <w:lvl w:ilvl="6" w:tplc="0409000F" w:tentative="1">
      <w:start w:val="1"/>
      <w:numFmt w:val="decimal"/>
      <w:lvlText w:val="%7."/>
      <w:lvlJc w:val="left"/>
      <w:pPr>
        <w:ind w:left="8700" w:hanging="360"/>
      </w:pPr>
    </w:lvl>
    <w:lvl w:ilvl="7" w:tplc="04090019" w:tentative="1">
      <w:start w:val="1"/>
      <w:numFmt w:val="lowerLetter"/>
      <w:lvlText w:val="%8."/>
      <w:lvlJc w:val="left"/>
      <w:pPr>
        <w:ind w:left="9420" w:hanging="360"/>
      </w:pPr>
    </w:lvl>
    <w:lvl w:ilvl="8" w:tplc="0409001B" w:tentative="1">
      <w:start w:val="1"/>
      <w:numFmt w:val="lowerRoman"/>
      <w:lvlText w:val="%9."/>
      <w:lvlJc w:val="right"/>
      <w:pPr>
        <w:ind w:left="10140" w:hanging="180"/>
      </w:pPr>
    </w:lvl>
  </w:abstractNum>
  <w:abstractNum w:abstractNumId="32">
    <w:nsid w:val="5BAF1BB2"/>
    <w:multiLevelType w:val="hybridMultilevel"/>
    <w:tmpl w:val="6266785C"/>
    <w:lvl w:ilvl="0" w:tplc="D1121608">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563674"/>
    <w:multiLevelType w:val="hybridMultilevel"/>
    <w:tmpl w:val="879CFB1A"/>
    <w:lvl w:ilvl="0" w:tplc="AC466B76">
      <w:start w:val="1"/>
      <w:numFmt w:val="decimal"/>
      <w:lvlText w:val="%1)"/>
      <w:lvlJc w:val="left"/>
      <w:pPr>
        <w:ind w:left="1080" w:hanging="360"/>
      </w:pPr>
      <w:rPr>
        <w:rFonts w:hint="default"/>
      </w:rPr>
    </w:lvl>
    <w:lvl w:ilvl="1" w:tplc="C568C9EC">
      <w:start w:val="1"/>
      <w:numFmt w:val="decimal"/>
      <w:lvlText w:val="%2."/>
      <w:lvlJc w:val="left"/>
      <w:pPr>
        <w:ind w:left="1800" w:hanging="360"/>
      </w:pPr>
      <w:rPr>
        <w:rFonts w:hint="default"/>
      </w:rPr>
    </w:lvl>
    <w:lvl w:ilvl="2" w:tplc="BC94244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70349A"/>
    <w:multiLevelType w:val="hybridMultilevel"/>
    <w:tmpl w:val="B740AF46"/>
    <w:lvl w:ilvl="0" w:tplc="29224826">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A6D0F75C">
      <w:start w:val="1"/>
      <w:numFmt w:val="lowerLetter"/>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CAB64D6A">
      <w:start w:val="1"/>
      <w:numFmt w:val="decimal"/>
      <w:lvlText w:val="%4."/>
      <w:lvlJc w:val="left"/>
      <w:pPr>
        <w:ind w:left="2880" w:hanging="360"/>
      </w:pPr>
      <w:rPr>
        <w:b w:val="0"/>
      </w:rPr>
    </w:lvl>
    <w:lvl w:ilvl="4" w:tplc="B608E148">
      <w:start w:val="1"/>
      <w:numFmt w:val="decimal"/>
      <w:lvlText w:val="%5)"/>
      <w:lvlJc w:val="left"/>
      <w:pPr>
        <w:ind w:left="3600" w:hanging="360"/>
      </w:pPr>
      <w:rPr>
        <w:rFonts w:ascii="Arial" w:eastAsia="Times New Roman" w:hAnsi="Arial" w:cs="Arial" w:hint="default"/>
      </w:rPr>
    </w:lvl>
    <w:lvl w:ilvl="5" w:tplc="37368F74">
      <w:start w:val="1"/>
      <w:numFmt w:val="decimal"/>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E324CA"/>
    <w:multiLevelType w:val="hybridMultilevel"/>
    <w:tmpl w:val="151E9A48"/>
    <w:lvl w:ilvl="0" w:tplc="519E950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223405"/>
    <w:multiLevelType w:val="hybridMultilevel"/>
    <w:tmpl w:val="9DD478FE"/>
    <w:lvl w:ilvl="0" w:tplc="40BE1FD8">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83A2182"/>
    <w:multiLevelType w:val="hybridMultilevel"/>
    <w:tmpl w:val="D5A8281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8317DD"/>
    <w:multiLevelType w:val="hybridMultilevel"/>
    <w:tmpl w:val="45F40E5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9"/>
  </w:num>
  <w:num w:numId="3">
    <w:abstractNumId w:val="0"/>
  </w:num>
  <w:num w:numId="4">
    <w:abstractNumId w:val="8"/>
  </w:num>
  <w:num w:numId="5">
    <w:abstractNumId w:val="11"/>
  </w:num>
  <w:num w:numId="6">
    <w:abstractNumId w:val="7"/>
  </w:num>
  <w:num w:numId="7">
    <w:abstractNumId w:val="6"/>
  </w:num>
  <w:num w:numId="8">
    <w:abstractNumId w:val="1"/>
  </w:num>
  <w:num w:numId="9">
    <w:abstractNumId w:val="15"/>
  </w:num>
  <w:num w:numId="10">
    <w:abstractNumId w:val="27"/>
  </w:num>
  <w:num w:numId="1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3"/>
  </w:num>
  <w:num w:numId="14">
    <w:abstractNumId w:val="14"/>
  </w:num>
  <w:num w:numId="15">
    <w:abstractNumId w:val="21"/>
  </w:num>
  <w:num w:numId="16">
    <w:abstractNumId w:val="25"/>
  </w:num>
  <w:num w:numId="17">
    <w:abstractNumId w:val="18"/>
  </w:num>
  <w:num w:numId="18">
    <w:abstractNumId w:val="24"/>
  </w:num>
  <w:num w:numId="19">
    <w:abstractNumId w:val="38"/>
  </w:num>
  <w:num w:numId="20">
    <w:abstractNumId w:val="34"/>
  </w:num>
  <w:num w:numId="21">
    <w:abstractNumId w:val="31"/>
  </w:num>
  <w:num w:numId="22">
    <w:abstractNumId w:val="4"/>
  </w:num>
  <w:num w:numId="23">
    <w:abstractNumId w:val="29"/>
  </w:num>
  <w:num w:numId="24">
    <w:abstractNumId w:val="16"/>
  </w:num>
  <w:num w:numId="25">
    <w:abstractNumId w:val="23"/>
  </w:num>
  <w:num w:numId="26">
    <w:abstractNumId w:val="26"/>
  </w:num>
  <w:num w:numId="27">
    <w:abstractNumId w:val="20"/>
  </w:num>
  <w:num w:numId="28">
    <w:abstractNumId w:val="37"/>
  </w:num>
  <w:num w:numId="29">
    <w:abstractNumId w:val="17"/>
  </w:num>
  <w:num w:numId="30">
    <w:abstractNumId w:val="35"/>
  </w:num>
  <w:num w:numId="31">
    <w:abstractNumId w:val="2"/>
  </w:num>
  <w:num w:numId="32">
    <w:abstractNumId w:val="5"/>
  </w:num>
  <w:num w:numId="33">
    <w:abstractNumId w:val="22"/>
  </w:num>
  <w:num w:numId="34">
    <w:abstractNumId w:val="10"/>
  </w:num>
  <w:num w:numId="35">
    <w:abstractNumId w:val="3"/>
  </w:num>
  <w:num w:numId="36">
    <w:abstractNumId w:val="32"/>
  </w:num>
  <w:num w:numId="37">
    <w:abstractNumId w:val="28"/>
  </w:num>
  <w:num w:numId="38">
    <w:abstractNumId w:val="13"/>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formatting="1" w:enforcement="1" w:cryptProviderType="rsaFull" w:cryptAlgorithmClass="hash" w:cryptAlgorithmType="typeAny" w:cryptAlgorithmSid="4" w:cryptSpinCount="50000" w:hash="BDW3EEA293FzWAeZ7ON4zkeLD5I=" w:salt="xFgB+EzwJqzlIIz3PrQ9Fw=="/>
  <w:defaultTabStop w:val="720"/>
  <w:characterSpacingControl w:val="doNotCompress"/>
  <w:hdrShapeDefaults>
    <o:shapedefaults v:ext="edit" spidmax="5122"/>
  </w:hdrShapeDefaults>
  <w:footnotePr>
    <w:footnote w:id="0"/>
    <w:footnote w:id="1"/>
  </w:footnotePr>
  <w:endnotePr>
    <w:endnote w:id="0"/>
    <w:endnote w:id="1"/>
  </w:endnotePr>
  <w:compat/>
  <w:rsids>
    <w:rsidRoot w:val="00FF59A3"/>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8251B"/>
    <w:rsid w:val="0039094F"/>
    <w:rsid w:val="00396DCD"/>
    <w:rsid w:val="003F568C"/>
    <w:rsid w:val="00406632"/>
    <w:rsid w:val="0042470D"/>
    <w:rsid w:val="00435762"/>
    <w:rsid w:val="004600A5"/>
    <w:rsid w:val="00483967"/>
    <w:rsid w:val="0048708E"/>
    <w:rsid w:val="004A1B34"/>
    <w:rsid w:val="004B416B"/>
    <w:rsid w:val="004C7B26"/>
    <w:rsid w:val="004D4C25"/>
    <w:rsid w:val="004F4936"/>
    <w:rsid w:val="00506203"/>
    <w:rsid w:val="0052268C"/>
    <w:rsid w:val="005233AB"/>
    <w:rsid w:val="00524D1E"/>
    <w:rsid w:val="0053767B"/>
    <w:rsid w:val="0054636C"/>
    <w:rsid w:val="00550832"/>
    <w:rsid w:val="0055206A"/>
    <w:rsid w:val="00566384"/>
    <w:rsid w:val="00585528"/>
    <w:rsid w:val="00591FD3"/>
    <w:rsid w:val="005A25B4"/>
    <w:rsid w:val="005A6A7F"/>
    <w:rsid w:val="005B0D02"/>
    <w:rsid w:val="005C60EF"/>
    <w:rsid w:val="005D4DCE"/>
    <w:rsid w:val="00614D95"/>
    <w:rsid w:val="00655036"/>
    <w:rsid w:val="00661282"/>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B6735"/>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8F4598"/>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4FEF"/>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56658"/>
    <w:rsid w:val="00E7137E"/>
    <w:rsid w:val="00E71C74"/>
    <w:rsid w:val="00EC30B4"/>
    <w:rsid w:val="00EE1013"/>
    <w:rsid w:val="00F15F39"/>
    <w:rsid w:val="00F31FB4"/>
    <w:rsid w:val="00F4661B"/>
    <w:rsid w:val="00F549B1"/>
    <w:rsid w:val="00F667F4"/>
    <w:rsid w:val="00F93038"/>
    <w:rsid w:val="00FC04D0"/>
    <w:rsid w:val="00FF59A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9A3"/>
    <w:pPr>
      <w:tabs>
        <w:tab w:val="center" w:pos="4320"/>
        <w:tab w:val="right" w:pos="8640"/>
      </w:tabs>
    </w:pPr>
  </w:style>
  <w:style w:type="character" w:customStyle="1" w:styleId="HeaderChar">
    <w:name w:val="Header Char"/>
    <w:basedOn w:val="DefaultParagraphFont"/>
    <w:link w:val="Header"/>
    <w:uiPriority w:val="99"/>
    <w:rsid w:val="00FF59A3"/>
    <w:rPr>
      <w:rFonts w:ascii="Times New Roman" w:eastAsia="Times New Roman" w:hAnsi="Times New Roman" w:cs="Times New Roman"/>
      <w:sz w:val="24"/>
      <w:szCs w:val="24"/>
    </w:rPr>
  </w:style>
  <w:style w:type="paragraph" w:styleId="Footer">
    <w:name w:val="footer"/>
    <w:basedOn w:val="Normal"/>
    <w:link w:val="FooterChar"/>
    <w:uiPriority w:val="99"/>
    <w:rsid w:val="00FF59A3"/>
    <w:pPr>
      <w:tabs>
        <w:tab w:val="center" w:pos="4320"/>
        <w:tab w:val="right" w:pos="8640"/>
      </w:tabs>
    </w:pPr>
  </w:style>
  <w:style w:type="character" w:customStyle="1" w:styleId="FooterChar">
    <w:name w:val="Footer Char"/>
    <w:basedOn w:val="DefaultParagraphFont"/>
    <w:link w:val="Footer"/>
    <w:uiPriority w:val="99"/>
    <w:rsid w:val="00FF59A3"/>
    <w:rPr>
      <w:rFonts w:ascii="Times New Roman" w:eastAsia="Times New Roman" w:hAnsi="Times New Roman" w:cs="Times New Roman"/>
      <w:sz w:val="24"/>
      <w:szCs w:val="24"/>
    </w:rPr>
  </w:style>
  <w:style w:type="character" w:customStyle="1" w:styleId="jlqj4b">
    <w:name w:val="jlqj4b"/>
    <w:rsid w:val="008F4598"/>
  </w:style>
  <w:style w:type="paragraph" w:styleId="ListParagraph">
    <w:name w:val="List Paragraph"/>
    <w:aliases w:val="Body of text,Body Text Char1,Char Char2,kepala,skripsi"/>
    <w:basedOn w:val="Normal"/>
    <w:link w:val="ListParagraphChar"/>
    <w:qFormat/>
    <w:rsid w:val="00566384"/>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rsid w:val="00566384"/>
    <w:rPr>
      <w:rFonts w:ascii="Calibri" w:eastAsia="Calibri" w:hAnsi="Calibri" w:cs="Times New Roman"/>
      <w:lang w:val="id-ID"/>
    </w:rPr>
  </w:style>
  <w:style w:type="paragraph" w:styleId="BodyText">
    <w:name w:val="Body Text"/>
    <w:basedOn w:val="Normal"/>
    <w:link w:val="BodyTextChar"/>
    <w:rsid w:val="00566384"/>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566384"/>
    <w:rPr>
      <w:rFonts w:ascii="Bookman Old Style" w:eastAsia="Times New Roman" w:hAnsi="Bookman Old Style" w:cs="Times New Roman"/>
      <w:sz w:val="24"/>
      <w:szCs w:val="20"/>
    </w:rPr>
  </w:style>
  <w:style w:type="paragraph" w:styleId="BodyTextIndent">
    <w:name w:val="Body Text Indent"/>
    <w:basedOn w:val="Normal"/>
    <w:link w:val="BodyTextIndentChar"/>
    <w:rsid w:val="00566384"/>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566384"/>
    <w:rPr>
      <w:rFonts w:ascii="Times New Roman" w:eastAsia="Times New Roman" w:hAnsi="Times New Roman" w:cs="Times New Roman"/>
      <w:sz w:val="24"/>
      <w:szCs w:val="20"/>
    </w:rPr>
  </w:style>
  <w:style w:type="paragraph" w:styleId="BodyText3">
    <w:name w:val="Body Text 3"/>
    <w:basedOn w:val="Normal"/>
    <w:link w:val="BodyText3Char"/>
    <w:rsid w:val="00566384"/>
    <w:pPr>
      <w:spacing w:after="120"/>
    </w:pPr>
    <w:rPr>
      <w:sz w:val="16"/>
      <w:szCs w:val="16"/>
    </w:rPr>
  </w:style>
  <w:style w:type="character" w:customStyle="1" w:styleId="BodyText3Char">
    <w:name w:val="Body Text 3 Char"/>
    <w:basedOn w:val="DefaultParagraphFont"/>
    <w:link w:val="BodyText3"/>
    <w:rsid w:val="00566384"/>
    <w:rPr>
      <w:rFonts w:ascii="Times New Roman" w:eastAsia="Times New Roman" w:hAnsi="Times New Roman" w:cs="Times New Roman"/>
      <w:sz w:val="16"/>
      <w:szCs w:val="16"/>
    </w:rPr>
  </w:style>
  <w:style w:type="character" w:styleId="FootnoteReference">
    <w:name w:val="footnote reference"/>
    <w:aliases w:val="BVI fnr,Footnote Reference1"/>
    <w:rsid w:val="00B44FEF"/>
    <w:rPr>
      <w:vertAlign w:val="superscript"/>
    </w:rPr>
  </w:style>
  <w:style w:type="paragraph" w:styleId="FootnoteText">
    <w:name w:val="footnote text"/>
    <w:aliases w:val=" Char,Char,Footnote Text Char Char,Char Char Char1,Char Char Char Char Char Char1,Char Char Char Char1,Char Char Char Char Char,Char Char Char, Char Char Char Char, Char Char Char,Char Char Char Ch,Footnote Text Char Char Char Char Char"/>
    <w:basedOn w:val="Normal"/>
    <w:link w:val="FootnoteTextChar"/>
    <w:qFormat/>
    <w:rsid w:val="00B44FEF"/>
    <w:rPr>
      <w:sz w:val="20"/>
      <w:szCs w:val="20"/>
    </w:rPr>
  </w:style>
  <w:style w:type="character" w:customStyle="1" w:styleId="FootnoteTextChar">
    <w:name w:val="Footnote Text Char"/>
    <w:aliases w:val=" Char Char,Char Char,Footnote Text Char Char Char,Char Char Char1 Char,Char Char Char Char Char Char1 Char,Char Char Char Char1 Char,Char Char Char Char Char Char,Char Char Char Char, Char Char Char Char Char, Char Char Char Char1"/>
    <w:basedOn w:val="DefaultParagraphFont"/>
    <w:link w:val="FootnoteText"/>
    <w:rsid w:val="00B44FEF"/>
    <w:rPr>
      <w:rFonts w:ascii="Times New Roman" w:eastAsia="Times New Roman" w:hAnsi="Times New Roman" w:cs="Times New Roman"/>
      <w:sz w:val="20"/>
      <w:szCs w:val="20"/>
    </w:rPr>
  </w:style>
  <w:style w:type="paragraph" w:styleId="Title">
    <w:name w:val="Title"/>
    <w:basedOn w:val="Normal"/>
    <w:link w:val="TitleChar"/>
    <w:uiPriority w:val="99"/>
    <w:qFormat/>
    <w:rsid w:val="00B44FEF"/>
    <w:pPr>
      <w:spacing w:line="480" w:lineRule="auto"/>
      <w:jc w:val="center"/>
    </w:pPr>
    <w:rPr>
      <w:b/>
      <w:bCs/>
    </w:rPr>
  </w:style>
  <w:style w:type="character" w:customStyle="1" w:styleId="TitleChar">
    <w:name w:val="Title Char"/>
    <w:basedOn w:val="DefaultParagraphFont"/>
    <w:link w:val="Title"/>
    <w:uiPriority w:val="99"/>
    <w:rsid w:val="00B44FEF"/>
    <w:rPr>
      <w:rFonts w:ascii="Times New Roman" w:eastAsia="Times New Roman" w:hAnsi="Times New Roman" w:cs="Times New Roman"/>
      <w:b/>
      <w:bCs/>
      <w:sz w:val="24"/>
      <w:szCs w:val="24"/>
    </w:rPr>
  </w:style>
  <w:style w:type="paragraph" w:customStyle="1" w:styleId="Default">
    <w:name w:val="Default"/>
    <w:rsid w:val="00B44FE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BodyTextIndent3">
    <w:name w:val="Body Text Indent 3"/>
    <w:basedOn w:val="Normal"/>
    <w:link w:val="BodyTextIndent3Char"/>
    <w:uiPriority w:val="99"/>
    <w:semiHidden/>
    <w:unhideWhenUsed/>
    <w:rsid w:val="00F15F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F39"/>
    <w:rPr>
      <w:rFonts w:ascii="Times New Roman" w:eastAsia="Times New Roman" w:hAnsi="Times New Roman" w:cs="Times New Roman"/>
      <w:sz w:val="16"/>
      <w:szCs w:val="16"/>
    </w:rPr>
  </w:style>
  <w:style w:type="character" w:styleId="Emphasis">
    <w:name w:val="Emphasis"/>
    <w:uiPriority w:val="20"/>
    <w:qFormat/>
    <w:rsid w:val="003F56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9A3"/>
    <w:pPr>
      <w:tabs>
        <w:tab w:val="center" w:pos="4320"/>
        <w:tab w:val="right" w:pos="8640"/>
      </w:tabs>
    </w:pPr>
  </w:style>
  <w:style w:type="character" w:customStyle="1" w:styleId="HeaderChar">
    <w:name w:val="Header Char"/>
    <w:basedOn w:val="DefaultParagraphFont"/>
    <w:link w:val="Header"/>
    <w:uiPriority w:val="99"/>
    <w:rsid w:val="00FF59A3"/>
    <w:rPr>
      <w:rFonts w:ascii="Times New Roman" w:eastAsia="Times New Roman" w:hAnsi="Times New Roman" w:cs="Times New Roman"/>
      <w:sz w:val="24"/>
      <w:szCs w:val="24"/>
    </w:rPr>
  </w:style>
  <w:style w:type="paragraph" w:styleId="Footer">
    <w:name w:val="footer"/>
    <w:basedOn w:val="Normal"/>
    <w:link w:val="FooterChar"/>
    <w:uiPriority w:val="99"/>
    <w:rsid w:val="00FF59A3"/>
    <w:pPr>
      <w:tabs>
        <w:tab w:val="center" w:pos="4320"/>
        <w:tab w:val="right" w:pos="8640"/>
      </w:tabs>
    </w:pPr>
  </w:style>
  <w:style w:type="character" w:customStyle="1" w:styleId="FooterChar">
    <w:name w:val="Footer Char"/>
    <w:basedOn w:val="DefaultParagraphFont"/>
    <w:link w:val="Footer"/>
    <w:uiPriority w:val="99"/>
    <w:rsid w:val="00FF59A3"/>
    <w:rPr>
      <w:rFonts w:ascii="Times New Roman" w:eastAsia="Times New Roman" w:hAnsi="Times New Roman" w:cs="Times New Roman"/>
      <w:sz w:val="24"/>
      <w:szCs w:val="24"/>
    </w:rPr>
  </w:style>
  <w:style w:type="character" w:customStyle="1" w:styleId="jlqj4b">
    <w:name w:val="jlqj4b"/>
    <w:rsid w:val="008F4598"/>
  </w:style>
  <w:style w:type="paragraph" w:styleId="ListParagraph">
    <w:name w:val="List Paragraph"/>
    <w:aliases w:val="Body of text,Body Text Char1,Char Char2,kepala,skripsi"/>
    <w:basedOn w:val="Normal"/>
    <w:link w:val="ListParagraphChar"/>
    <w:qFormat/>
    <w:rsid w:val="00566384"/>
    <w:pPr>
      <w:spacing w:after="200" w:line="276" w:lineRule="auto"/>
      <w:ind w:left="720"/>
      <w:contextualSpacing/>
    </w:pPr>
    <w:rPr>
      <w:rFonts w:ascii="Calibri" w:eastAsia="Calibri" w:hAnsi="Calibri"/>
      <w:sz w:val="22"/>
      <w:szCs w:val="22"/>
      <w:lang w:val="id-ID" w:eastAsia="x-none"/>
    </w:rPr>
  </w:style>
  <w:style w:type="character" w:customStyle="1" w:styleId="ListParagraphChar">
    <w:name w:val="List Paragraph Char"/>
    <w:aliases w:val="Body of text Char,Body Text Char1 Char,Char Char2 Char,kepala Char,skripsi Char"/>
    <w:link w:val="ListParagraph"/>
    <w:rsid w:val="00566384"/>
    <w:rPr>
      <w:rFonts w:ascii="Calibri" w:eastAsia="Calibri" w:hAnsi="Calibri" w:cs="Times New Roman"/>
      <w:lang w:val="id-ID" w:eastAsia="x-none"/>
    </w:rPr>
  </w:style>
  <w:style w:type="paragraph" w:styleId="BodyText">
    <w:name w:val="Body Text"/>
    <w:basedOn w:val="Normal"/>
    <w:link w:val="BodyTextChar"/>
    <w:rsid w:val="00566384"/>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566384"/>
    <w:rPr>
      <w:rFonts w:ascii="Bookman Old Style" w:eastAsia="Times New Roman" w:hAnsi="Bookman Old Style" w:cs="Times New Roman"/>
      <w:sz w:val="24"/>
      <w:szCs w:val="20"/>
    </w:rPr>
  </w:style>
  <w:style w:type="paragraph" w:styleId="BodyTextIndent">
    <w:name w:val="Body Text Indent"/>
    <w:basedOn w:val="Normal"/>
    <w:link w:val="BodyTextIndentChar"/>
    <w:rsid w:val="00566384"/>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566384"/>
    <w:rPr>
      <w:rFonts w:ascii="Times New Roman" w:eastAsia="Times New Roman" w:hAnsi="Times New Roman" w:cs="Times New Roman"/>
      <w:sz w:val="24"/>
      <w:szCs w:val="20"/>
    </w:rPr>
  </w:style>
  <w:style w:type="paragraph" w:styleId="BodyText3">
    <w:name w:val="Body Text 3"/>
    <w:basedOn w:val="Normal"/>
    <w:link w:val="BodyText3Char"/>
    <w:rsid w:val="00566384"/>
    <w:pPr>
      <w:spacing w:after="120"/>
    </w:pPr>
    <w:rPr>
      <w:sz w:val="16"/>
      <w:szCs w:val="16"/>
    </w:rPr>
  </w:style>
  <w:style w:type="character" w:customStyle="1" w:styleId="BodyText3Char">
    <w:name w:val="Body Text 3 Char"/>
    <w:basedOn w:val="DefaultParagraphFont"/>
    <w:link w:val="BodyText3"/>
    <w:rsid w:val="00566384"/>
    <w:rPr>
      <w:rFonts w:ascii="Times New Roman" w:eastAsia="Times New Roman" w:hAnsi="Times New Roman" w:cs="Times New Roman"/>
      <w:sz w:val="16"/>
      <w:szCs w:val="16"/>
    </w:rPr>
  </w:style>
  <w:style w:type="character" w:styleId="FootnoteReference">
    <w:name w:val="footnote reference"/>
    <w:aliases w:val="BVI fnr,Footnote Reference1"/>
    <w:rsid w:val="00B44FEF"/>
    <w:rPr>
      <w:vertAlign w:val="superscript"/>
    </w:rPr>
  </w:style>
  <w:style w:type="paragraph" w:styleId="FootnoteText">
    <w:name w:val="footnote text"/>
    <w:aliases w:val=" Char,Char,Footnote Text Char Char,Char Char Char1,Char Char Char Char Char Char1,Char Char Char Char1,Char Char Char Char Char,Char Char Char, Char Char Char Char, Char Char Char,Char Char Char Ch,Footnote Text Char Char Char Char Char"/>
    <w:basedOn w:val="Normal"/>
    <w:link w:val="FootnoteTextChar"/>
    <w:qFormat/>
    <w:rsid w:val="00B44FEF"/>
    <w:rPr>
      <w:sz w:val="20"/>
      <w:szCs w:val="20"/>
    </w:rPr>
  </w:style>
  <w:style w:type="character" w:customStyle="1" w:styleId="FootnoteTextChar">
    <w:name w:val="Footnote Text Char"/>
    <w:aliases w:val="Char Char,Char Char1,Footnote Text Char1 Char,Footnote Text Char Char Char,Char Char Char1 Char,Char Char Char Char Char Char1 Char,Char Char Char Char1 Char,Char Char1 Char,Char Char Char Char Char Char,Char Char Char Char, Char Char1"/>
    <w:basedOn w:val="DefaultParagraphFont"/>
    <w:link w:val="FootnoteText"/>
    <w:rsid w:val="00B44FEF"/>
    <w:rPr>
      <w:rFonts w:ascii="Times New Roman" w:eastAsia="Times New Roman" w:hAnsi="Times New Roman" w:cs="Times New Roman"/>
      <w:sz w:val="20"/>
      <w:szCs w:val="20"/>
    </w:rPr>
  </w:style>
  <w:style w:type="paragraph" w:styleId="Title">
    <w:name w:val="Title"/>
    <w:basedOn w:val="Normal"/>
    <w:link w:val="TitleChar"/>
    <w:uiPriority w:val="99"/>
    <w:qFormat/>
    <w:rsid w:val="00B44FEF"/>
    <w:pPr>
      <w:spacing w:line="480" w:lineRule="auto"/>
      <w:jc w:val="center"/>
    </w:pPr>
    <w:rPr>
      <w:b/>
      <w:bCs/>
    </w:rPr>
  </w:style>
  <w:style w:type="character" w:customStyle="1" w:styleId="TitleChar">
    <w:name w:val="Title Char"/>
    <w:basedOn w:val="DefaultParagraphFont"/>
    <w:link w:val="Title"/>
    <w:uiPriority w:val="99"/>
    <w:rsid w:val="00B44FEF"/>
    <w:rPr>
      <w:rFonts w:ascii="Times New Roman" w:eastAsia="Times New Roman" w:hAnsi="Times New Roman" w:cs="Times New Roman"/>
      <w:b/>
      <w:bCs/>
      <w:sz w:val="24"/>
      <w:szCs w:val="24"/>
    </w:rPr>
  </w:style>
  <w:style w:type="paragraph" w:customStyle="1" w:styleId="Default">
    <w:name w:val="Default"/>
    <w:rsid w:val="00B44FE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BodyTextIndent3">
    <w:name w:val="Body Text Indent 3"/>
    <w:basedOn w:val="Normal"/>
    <w:link w:val="BodyTextIndent3Char"/>
    <w:uiPriority w:val="99"/>
    <w:semiHidden/>
    <w:unhideWhenUsed/>
    <w:rsid w:val="00F15F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F39"/>
    <w:rPr>
      <w:rFonts w:ascii="Times New Roman" w:eastAsia="Times New Roman" w:hAnsi="Times New Roman" w:cs="Times New Roman"/>
      <w:sz w:val="16"/>
      <w:szCs w:val="16"/>
    </w:rPr>
  </w:style>
  <w:style w:type="character" w:styleId="Emphasis">
    <w:name w:val="Emphasis"/>
    <w:uiPriority w:val="20"/>
    <w:qFormat/>
    <w:rsid w:val="003F568C"/>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7669</Words>
  <Characters>43714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2025-11-21T09:17:00Z</dcterms:created>
  <dcterms:modified xsi:type="dcterms:W3CDTF">2025-11-21T09:17:00Z</dcterms:modified>
</cp:coreProperties>
</file>