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598" w:rsidRPr="001823C4" w:rsidRDefault="008F4598" w:rsidP="008F4598">
      <w:pPr>
        <w:jc w:val="center"/>
        <w:rPr>
          <w:b/>
          <w:bCs/>
        </w:rPr>
      </w:pPr>
      <w:r w:rsidRPr="001823C4">
        <w:rPr>
          <w:b/>
        </w:rPr>
        <w:t>ABSTRAK</w:t>
      </w:r>
    </w:p>
    <w:p w:rsidR="008F4598" w:rsidRPr="001823C4" w:rsidRDefault="008F4598" w:rsidP="008F4598">
      <w:pPr>
        <w:jc w:val="center"/>
        <w:rPr>
          <w:b/>
        </w:rPr>
      </w:pPr>
    </w:p>
    <w:p w:rsidR="008F4598" w:rsidRPr="001823C4" w:rsidRDefault="008F4598" w:rsidP="008F4598">
      <w:pPr>
        <w:jc w:val="center"/>
        <w:rPr>
          <w:b/>
          <w:bCs/>
        </w:rPr>
      </w:pPr>
      <w:r w:rsidRPr="001823C4">
        <w:rPr>
          <w:rFonts w:eastAsia="MS Mincho"/>
          <w:b/>
        </w:rPr>
        <w:t xml:space="preserve">ANALISIS YURIDIS </w:t>
      </w:r>
      <w:r w:rsidRPr="001823C4">
        <w:rPr>
          <w:b/>
          <w:bCs/>
        </w:rPr>
        <w:t xml:space="preserve">PERTANGGUNGJAWABAN PIDANA TERHADAP PECANDU NARKOTIKA </w:t>
      </w:r>
    </w:p>
    <w:p w:rsidR="008F4598" w:rsidRPr="001823C4" w:rsidRDefault="008F4598" w:rsidP="008F4598">
      <w:pPr>
        <w:jc w:val="center"/>
        <w:rPr>
          <w:b/>
        </w:rPr>
      </w:pPr>
      <w:r w:rsidRPr="001823C4">
        <w:rPr>
          <w:b/>
        </w:rPr>
        <w:t>(StudiPutusanPengadilanNegeriKisaranNomor 296/Pid.Sus/2021/PN.Kis)</w:t>
      </w:r>
    </w:p>
    <w:p w:rsidR="008F4598" w:rsidRPr="001823C4" w:rsidRDefault="008F4598" w:rsidP="008F4598">
      <w:pPr>
        <w:jc w:val="center"/>
        <w:rPr>
          <w:b/>
        </w:rPr>
      </w:pPr>
    </w:p>
    <w:p w:rsidR="008F4598" w:rsidRPr="001823C4" w:rsidRDefault="008F4598" w:rsidP="008F4598">
      <w:pPr>
        <w:jc w:val="center"/>
        <w:rPr>
          <w:b/>
          <w:u w:val="single"/>
        </w:rPr>
      </w:pPr>
      <w:r w:rsidRPr="001823C4">
        <w:rPr>
          <w:b/>
        </w:rPr>
        <w:t>Kelly Wahyudi</w:t>
      </w:r>
    </w:p>
    <w:p w:rsidR="008F4598" w:rsidRPr="001823C4" w:rsidRDefault="008F4598" w:rsidP="008F4598">
      <w:pPr>
        <w:jc w:val="center"/>
        <w:rPr>
          <w:b/>
          <w:u w:val="single"/>
        </w:rPr>
      </w:pPr>
      <w:r w:rsidRPr="001823C4">
        <w:rPr>
          <w:b/>
          <w:lang w:eastAsia="zh-CN"/>
        </w:rPr>
        <w:t>(235114064)</w:t>
      </w:r>
    </w:p>
    <w:p w:rsidR="008F4598" w:rsidRPr="001823C4" w:rsidRDefault="008F4598" w:rsidP="008F4598">
      <w:pPr>
        <w:jc w:val="center"/>
        <w:rPr>
          <w:b/>
          <w:bCs/>
        </w:rPr>
      </w:pPr>
    </w:p>
    <w:p w:rsidR="008F4598" w:rsidRPr="001823C4" w:rsidRDefault="008F4598" w:rsidP="008F4598">
      <w:pPr>
        <w:tabs>
          <w:tab w:val="num" w:pos="360"/>
        </w:tabs>
        <w:autoSpaceDE w:val="0"/>
        <w:autoSpaceDN w:val="0"/>
        <w:adjustRightInd w:val="0"/>
        <w:jc w:val="both"/>
        <w:rPr>
          <w:color w:val="000000"/>
        </w:rPr>
      </w:pPr>
      <w:r w:rsidRPr="001823C4">
        <w:t>Penegakanhukumterhadaptindakpidanapeandunarkotikatelahbanyakdilakukanolehpenegakhukum, jugaterhadappelakutelahbanyak pula yang dijatuhiputusanpengadilandanmenjalanihukuman di lembagapemasyarakatan.Rumusanmasalahdalamskripsiiniadalahbagaimanapengaturanhukumbagipecandudanpenyalahgunanarkotika, bagaimanakahpenegakanhukumterhadappecandudanpenggunanarkotikamenurutUndang-UndangNomor 35 Tahun 2009 tentangnarkotika, bagaimanadasarpertimbangan hakim dalammenjatuhkanputusanterhadappenggunadanpenyalahgunanarkotikadalamputusanNomor 296/Pid.Sus/2021/PN.Kis</w:t>
      </w:r>
      <w:r w:rsidRPr="001823C4">
        <w:rPr>
          <w:bCs/>
          <w:color w:val="000000"/>
        </w:rPr>
        <w:t xml:space="preserve">. </w:t>
      </w:r>
      <w:r w:rsidRPr="001823C4">
        <w:t>JenisPenelitianiniadalahyuridisnormatifyaitupenelitian yang didasaranpadaundang-undangdanyuridisempirisdenganmelakukanpenelitian di PolresAsahan.</w:t>
      </w:r>
      <w:r w:rsidRPr="001823C4">
        <w:rPr>
          <w:color w:val="000000"/>
        </w:rPr>
        <w:t>Analisis data dilakukansecarakualitatif, yaknisuatubentukanalisa yang tidakbertumpupadaangka-angkamelainkanpadakalimat-kalimat.Penarikankesimpulandalamtulisaninidilakukandenganmenggunakanlogikaberfikirdeduktif-induktifyaitudilakukandenganteori yang digunakansebagaititiktolakuntukmelakukanpenelitian</w:t>
      </w:r>
      <w:r w:rsidRPr="001823C4">
        <w:t>.</w:t>
      </w:r>
      <w:r w:rsidRPr="001823C4">
        <w:rPr>
          <w:lang w:val="sv-SE"/>
        </w:rPr>
        <w:t>Pengaturan</w:t>
      </w:r>
      <w:r w:rsidRPr="001823C4">
        <w:rPr>
          <w:color w:val="000000"/>
        </w:rPr>
        <w:t xml:space="preserve">hukumtindakpidananarkotikaberdasarkanUndang-UndangNomor 35 Tahun 2009 tentangNarkotika. </w:t>
      </w:r>
      <w:r w:rsidRPr="001823C4">
        <w:t>PenegakanhukumterhadappecandudanpenggunanarkotikamenurutUndang-UndangNomor 35  Tahun 2009 TentangNarkotika</w:t>
      </w:r>
      <w:r w:rsidRPr="001823C4">
        <w:rPr>
          <w:color w:val="000000"/>
        </w:rPr>
        <w:t>meliputiupayapenanggulangansecara</w:t>
      </w:r>
      <w:r w:rsidRPr="001823C4">
        <w:rPr>
          <w:i/>
          <w:iCs/>
          <w:color w:val="000000"/>
        </w:rPr>
        <w:t xml:space="preserve">non penal policy </w:t>
      </w:r>
      <w:r w:rsidRPr="001823C4">
        <w:rPr>
          <w:color w:val="000000"/>
        </w:rPr>
        <w:t>yaituupaya</w:t>
      </w:r>
      <w:r w:rsidRPr="001823C4">
        <w:rPr>
          <w:i/>
          <w:iCs/>
          <w:color w:val="000000"/>
        </w:rPr>
        <w:t>pre-emptif</w:t>
      </w:r>
      <w:r w:rsidRPr="001823C4">
        <w:rPr>
          <w:color w:val="000000"/>
        </w:rPr>
        <w:t>(penyuluhan) dan</w:t>
      </w:r>
      <w:r w:rsidRPr="001823C4">
        <w:rPr>
          <w:i/>
          <w:iCs/>
          <w:color w:val="000000"/>
        </w:rPr>
        <w:t>preventif</w:t>
      </w:r>
      <w:r w:rsidRPr="001823C4">
        <w:rPr>
          <w:color w:val="000000"/>
        </w:rPr>
        <w:t xml:space="preserve">(pencegahan).  </w:t>
      </w:r>
      <w:r w:rsidRPr="001823C4">
        <w:t>Hasilpenelitianmenunjukkanbahwap</w:t>
      </w:r>
      <w:r w:rsidRPr="001823C4">
        <w:rPr>
          <w:bCs/>
        </w:rPr>
        <w:t>ertimbangan hakim dalammenjatuhkanputusanterhadappelakutindakpidananarkotikadalamputusanPengadilanNegeriKisaran</w:t>
      </w:r>
      <w:r w:rsidRPr="001823C4">
        <w:t>Nomor 296/Pid.Sus/2021/PN.Kis</w:t>
      </w:r>
      <w:r w:rsidRPr="001823C4">
        <w:rPr>
          <w:bCs/>
        </w:rPr>
        <w:t>adalah</w:t>
      </w:r>
      <w:r w:rsidRPr="001823C4">
        <w:rPr>
          <w:color w:val="000000"/>
        </w:rPr>
        <w:t>terdakwaharusmempertanggungjawabkanperbuatansesuaidenganputusan yang dijatuhkanoleh Hakim yaitupidana</w:t>
      </w:r>
      <w:r w:rsidRPr="001823C4">
        <w:t>penjaraselama 9 (sembilan) tahundandendasebesar Rp1.000.000.000,00 (satumilyar rupiah) denganketentuanapabiladendatersebuttidakdibayar, makadigantidenganpidanapenjaraselama 4 (empatbulan</w:t>
      </w:r>
      <w:r w:rsidRPr="001823C4">
        <w:rPr>
          <w:lang w:eastAsia="id-ID"/>
        </w:rPr>
        <w:t>telahtepatuntukdapatdilakukanpembinaan</w:t>
      </w:r>
    </w:p>
    <w:p w:rsidR="008F4598" w:rsidRPr="001823C4" w:rsidRDefault="008F4598" w:rsidP="008F4598">
      <w:pPr>
        <w:tabs>
          <w:tab w:val="num" w:pos="360"/>
          <w:tab w:val="num" w:pos="720"/>
        </w:tabs>
        <w:autoSpaceDE w:val="0"/>
        <w:autoSpaceDN w:val="0"/>
        <w:adjustRightInd w:val="0"/>
        <w:ind w:firstLine="720"/>
        <w:jc w:val="both"/>
      </w:pPr>
    </w:p>
    <w:p w:rsidR="008F4598" w:rsidRPr="001823C4" w:rsidRDefault="008F4598" w:rsidP="008F4598">
      <w:pPr>
        <w:autoSpaceDE w:val="0"/>
        <w:autoSpaceDN w:val="0"/>
        <w:adjustRightInd w:val="0"/>
        <w:jc w:val="both"/>
        <w:rPr>
          <w:b/>
          <w:color w:val="000000"/>
        </w:rPr>
      </w:pPr>
      <w:r w:rsidRPr="001823C4">
        <w:rPr>
          <w:b/>
          <w:bCs/>
        </w:rPr>
        <w:t xml:space="preserve">Kata Kunci: </w:t>
      </w:r>
      <w:r w:rsidRPr="001823C4">
        <w:rPr>
          <w:b/>
          <w:color w:val="000000"/>
        </w:rPr>
        <w:t>PenegakanHukum, Pecandu, Narkotika</w:t>
      </w:r>
    </w:p>
    <w:p w:rsidR="008F4598" w:rsidRPr="001823C4" w:rsidRDefault="008F4598" w:rsidP="008F4598">
      <w:pPr>
        <w:autoSpaceDE w:val="0"/>
        <w:autoSpaceDN w:val="0"/>
        <w:adjustRightInd w:val="0"/>
        <w:jc w:val="both"/>
        <w:rPr>
          <w:b/>
          <w:color w:val="000000"/>
        </w:rPr>
      </w:pPr>
    </w:p>
    <w:p w:rsidR="008F4598" w:rsidRPr="001823C4" w:rsidRDefault="008F4598" w:rsidP="008F4598">
      <w:pPr>
        <w:jc w:val="center"/>
        <w:rPr>
          <w:b/>
          <w:i/>
          <w:lang/>
        </w:rPr>
      </w:pPr>
    </w:p>
    <w:p w:rsidR="008F4598" w:rsidRPr="001823C4" w:rsidRDefault="008F4598" w:rsidP="008F4598">
      <w:pPr>
        <w:jc w:val="center"/>
        <w:rPr>
          <w:b/>
          <w:i/>
          <w:lang/>
        </w:rPr>
      </w:pPr>
    </w:p>
    <w:p w:rsidR="008F4598" w:rsidRPr="001823C4" w:rsidRDefault="008F4598" w:rsidP="008F4598">
      <w:pPr>
        <w:jc w:val="center"/>
        <w:rPr>
          <w:b/>
          <w:i/>
          <w:lang/>
        </w:rPr>
      </w:pPr>
    </w:p>
    <w:p w:rsidR="008F4598" w:rsidRPr="001823C4" w:rsidRDefault="008F4598" w:rsidP="008F4598">
      <w:pPr>
        <w:jc w:val="center"/>
        <w:rPr>
          <w:b/>
          <w:i/>
          <w:lang/>
        </w:rPr>
      </w:pPr>
    </w:p>
    <w:p w:rsidR="008F4598" w:rsidRPr="001823C4" w:rsidRDefault="008F4598" w:rsidP="008F4598">
      <w:pPr>
        <w:jc w:val="center"/>
        <w:rPr>
          <w:b/>
          <w:i/>
          <w:lang/>
        </w:rPr>
      </w:pPr>
    </w:p>
    <w:p w:rsidR="008F4598" w:rsidRPr="001823C4" w:rsidRDefault="008F4598" w:rsidP="008F4598">
      <w:pPr>
        <w:jc w:val="center"/>
        <w:rPr>
          <w:b/>
          <w:i/>
          <w:lang/>
        </w:rPr>
      </w:pPr>
    </w:p>
    <w:p w:rsidR="008F4598" w:rsidRPr="001823C4" w:rsidRDefault="008F4598" w:rsidP="008F4598">
      <w:pPr>
        <w:jc w:val="center"/>
        <w:rPr>
          <w:b/>
          <w:i/>
          <w:lang/>
        </w:rPr>
      </w:pPr>
      <w:r w:rsidRPr="001823C4">
        <w:rPr>
          <w:b/>
          <w:i/>
          <w:lang/>
        </w:rPr>
        <w:t>ABSTRACT</w:t>
      </w:r>
    </w:p>
    <w:p w:rsidR="008F4598" w:rsidRPr="001823C4" w:rsidRDefault="008F4598" w:rsidP="008F4598">
      <w:pPr>
        <w:jc w:val="center"/>
        <w:rPr>
          <w:b/>
          <w:i/>
          <w:lang/>
        </w:rPr>
      </w:pPr>
    </w:p>
    <w:p w:rsidR="008F4598" w:rsidRPr="001823C4" w:rsidRDefault="008F4598" w:rsidP="008F4598">
      <w:pPr>
        <w:jc w:val="center"/>
        <w:rPr>
          <w:b/>
          <w:i/>
          <w:lang/>
        </w:rPr>
      </w:pPr>
      <w:r w:rsidRPr="001823C4">
        <w:rPr>
          <w:b/>
          <w:i/>
          <w:lang/>
        </w:rPr>
        <w:t xml:space="preserve">LEGAL ANALYSIS OF CRIMINAL RESPONSIBILITY </w:t>
      </w:r>
    </w:p>
    <w:p w:rsidR="008F4598" w:rsidRPr="001823C4" w:rsidRDefault="008F4598" w:rsidP="008F4598">
      <w:pPr>
        <w:jc w:val="center"/>
        <w:rPr>
          <w:b/>
          <w:i/>
          <w:lang/>
        </w:rPr>
      </w:pPr>
      <w:r w:rsidRPr="001823C4">
        <w:rPr>
          <w:b/>
          <w:i/>
          <w:lang/>
        </w:rPr>
        <w:t>FOR DRUG ADDICTS</w:t>
      </w:r>
    </w:p>
    <w:p w:rsidR="008F4598" w:rsidRPr="001823C4" w:rsidRDefault="008F4598" w:rsidP="008F4598">
      <w:pPr>
        <w:jc w:val="center"/>
        <w:rPr>
          <w:b/>
          <w:i/>
          <w:lang/>
        </w:rPr>
      </w:pPr>
      <w:r w:rsidRPr="001823C4">
        <w:rPr>
          <w:b/>
          <w:i/>
          <w:lang/>
        </w:rPr>
        <w:t>(Study of Kisaran District Court Decision Number 296/Pid.Sus/2021/PN.Kis)</w:t>
      </w:r>
    </w:p>
    <w:p w:rsidR="008F4598" w:rsidRPr="001823C4" w:rsidRDefault="008F4598" w:rsidP="008F4598">
      <w:pPr>
        <w:jc w:val="center"/>
        <w:rPr>
          <w:b/>
          <w:i/>
          <w:lang/>
        </w:rPr>
      </w:pPr>
    </w:p>
    <w:p w:rsidR="008F4598" w:rsidRPr="001823C4" w:rsidRDefault="008F4598" w:rsidP="008F4598">
      <w:pPr>
        <w:jc w:val="center"/>
        <w:rPr>
          <w:b/>
          <w:u w:val="single"/>
        </w:rPr>
      </w:pPr>
      <w:r w:rsidRPr="001823C4">
        <w:rPr>
          <w:b/>
        </w:rPr>
        <w:t>Kelly Wahyudi</w:t>
      </w:r>
    </w:p>
    <w:p w:rsidR="008F4598" w:rsidRPr="001823C4" w:rsidRDefault="008F4598" w:rsidP="008F4598">
      <w:pPr>
        <w:jc w:val="center"/>
        <w:rPr>
          <w:b/>
          <w:i/>
          <w:lang/>
        </w:rPr>
      </w:pPr>
      <w:r w:rsidRPr="001823C4">
        <w:rPr>
          <w:b/>
          <w:lang w:eastAsia="zh-CN"/>
        </w:rPr>
        <w:t>(235114064</w:t>
      </w:r>
    </w:p>
    <w:p w:rsidR="008F4598" w:rsidRPr="001823C4" w:rsidRDefault="008F4598" w:rsidP="008F4598">
      <w:pPr>
        <w:spacing w:line="228" w:lineRule="auto"/>
        <w:jc w:val="both"/>
        <w:rPr>
          <w:rStyle w:val="jlqj4b"/>
          <w:i/>
          <w:lang/>
        </w:rPr>
      </w:pPr>
      <w:r w:rsidRPr="001823C4">
        <w:rPr>
          <w:rStyle w:val="jlqj4b"/>
          <w:i/>
          <w:lang/>
        </w:rPr>
        <w:t xml:space="preserve">Law enforcement against narcotics crimes has been widely carried out by law enforcers, as well as many perpetrators who have been sentenced to court decisions and are serving sentences in correctional institutions.  The formulation of the problem in this thesis is how to regulate the law for narcotics addicts and abusers, How is law enforcement against narcotics addicts and users according to Law Number 35 of 2009 concerning narcotics, What is the basis for judges' considerations in making decisions against narcotics users and abusers in Decision Number 296 /Pid.Sus/2021/PN.Kis. The type of this research is normative juridical, namely research based on law and empirical juridical by conducting research at the Asahan Police Station. Data analysis was carried out qualitatively, which is a form of analysis that does not rely on numbers but on sentences. Drawing conclusions in this paper is carried out using deductive-inductive logic of thinking that is done with the theory that is used as a starting point for conducting research. The results of the study indicate that the legal regulation of narcotics crimes based on Law Number 35 of 2009. Law enforcement against addicts and narcotics users according to Law Number 35 of 2009 concerning Narcotics includes non-penal policy countermeasures, namely pre-emptive (counseling) and preventive (prevention) efforts. The judge's consideration in making a decision against the perpetrators of narcotics crimes in the decision of the Kisaran District Court Number 296/Pid.Sus/2021/PN.Kis is that the defendant must be held accountable for his actions in accordance with the decision handed down by the judge, namely imprisonment for 9 (nine) years and a fine 1,000,000,000.00 (one billion rupiah) provided that if the fine is not paid, it will be replaced with imprisonment for 4 (four months) is appropriate for coaching to be carried out. </w:t>
      </w:r>
    </w:p>
    <w:p w:rsidR="008F4598" w:rsidRPr="001823C4" w:rsidRDefault="008F4598" w:rsidP="008F4598">
      <w:pPr>
        <w:jc w:val="both"/>
        <w:rPr>
          <w:rStyle w:val="jlqj4b"/>
          <w:i/>
          <w:lang/>
        </w:rPr>
      </w:pPr>
    </w:p>
    <w:p w:rsidR="008F4598" w:rsidRPr="001823C4" w:rsidRDefault="008F4598" w:rsidP="008F4598">
      <w:pPr>
        <w:jc w:val="both"/>
        <w:rPr>
          <w:rStyle w:val="jlqj4b"/>
          <w:b/>
          <w:i/>
          <w:lang/>
        </w:rPr>
      </w:pPr>
      <w:r w:rsidRPr="001823C4">
        <w:rPr>
          <w:rStyle w:val="jlqj4b"/>
          <w:b/>
          <w:i/>
          <w:lang/>
        </w:rPr>
        <w:t>Keywords: Law Enforcement, Addicts, Narcotics</w:t>
      </w:r>
    </w:p>
    <w:p w:rsidR="008F4598" w:rsidRPr="001823C4" w:rsidRDefault="008F4598" w:rsidP="008F4598">
      <w:pPr>
        <w:jc w:val="both"/>
        <w:rPr>
          <w:rStyle w:val="jlqj4b"/>
          <w:b/>
          <w:i/>
          <w:lang/>
        </w:rPr>
      </w:pPr>
    </w:p>
    <w:p w:rsidR="008F4598" w:rsidRPr="001823C4" w:rsidRDefault="008F4598" w:rsidP="008F4598">
      <w:pPr>
        <w:jc w:val="both"/>
        <w:rPr>
          <w:rStyle w:val="jlqj4b"/>
          <w:b/>
          <w:i/>
          <w:lang/>
        </w:rPr>
      </w:pPr>
    </w:p>
    <w:p w:rsidR="008F4598" w:rsidRPr="001823C4" w:rsidRDefault="008F4598" w:rsidP="008F4598">
      <w:pPr>
        <w:jc w:val="both"/>
        <w:rPr>
          <w:rStyle w:val="jlqj4b"/>
          <w:b/>
          <w:i/>
          <w:lang/>
        </w:rPr>
      </w:pPr>
    </w:p>
    <w:p w:rsidR="008F4598" w:rsidRPr="001823C4" w:rsidRDefault="008F4598" w:rsidP="008F4598">
      <w:pPr>
        <w:jc w:val="both"/>
        <w:rPr>
          <w:rStyle w:val="jlqj4b"/>
          <w:b/>
          <w:i/>
          <w:lang/>
        </w:rPr>
      </w:pPr>
    </w:p>
    <w:p w:rsidR="001625C8" w:rsidRPr="008F4598" w:rsidRDefault="001625C8" w:rsidP="008F4598">
      <w:bookmarkStart w:id="0" w:name="_GoBack"/>
      <w:bookmarkEnd w:id="0"/>
    </w:p>
    <w:sectPr w:rsidR="001625C8" w:rsidRPr="008F4598" w:rsidSect="00FF59A3">
      <w:headerReference w:type="even" r:id="rId6"/>
      <w:headerReference w:type="default" r:id="rId7"/>
      <w:footerReference w:type="even" r:id="rId8"/>
      <w:footerReference w:type="default" r:id="rId9"/>
      <w:headerReference w:type="first" r:id="rId10"/>
      <w:footerReference w:type="first" r:id="rId11"/>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1D1D" w:rsidRDefault="00361D1D">
      <w:r>
        <w:separator/>
      </w:r>
    </w:p>
  </w:endnote>
  <w:endnote w:type="continuationSeparator" w:id="1">
    <w:p w:rsidR="00361D1D" w:rsidRDefault="00361D1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368" w:rsidRDefault="007D636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B37" w:rsidRDefault="00361D1D">
    <w:pPr>
      <w:pStyle w:val="Footer"/>
      <w:jc w:val="center"/>
    </w:pPr>
  </w:p>
  <w:p w:rsidR="008E2B37" w:rsidRDefault="00361D1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368" w:rsidRDefault="007D63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1D1D" w:rsidRDefault="00361D1D">
      <w:r>
        <w:separator/>
      </w:r>
    </w:p>
  </w:footnote>
  <w:footnote w:type="continuationSeparator" w:id="1">
    <w:p w:rsidR="00361D1D" w:rsidRDefault="00361D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368" w:rsidRDefault="007D636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368" w:rsidRPr="000445E7" w:rsidRDefault="007D6368" w:rsidP="007D6368">
    <w:pPr>
      <w:pStyle w:val="Header"/>
      <w:jc w:val="right"/>
      <w:rPr>
        <w:lang w:val="id-ID"/>
      </w:rPr>
    </w:pPr>
    <w:r>
      <w:rPr>
        <w:lang w:val="id-ID"/>
      </w:rPr>
      <w:t>PUBLISH: 21/11/2025 16:14:48</w:t>
    </w:r>
  </w:p>
  <w:p w:rsidR="008E2B37" w:rsidRDefault="00361D1D">
    <w:pPr>
      <w:pStyle w:val="Header"/>
      <w:jc w:val="right"/>
    </w:pPr>
  </w:p>
  <w:p w:rsidR="008E2B37" w:rsidRPr="007E1322" w:rsidRDefault="00FF59A3" w:rsidP="00375BFE">
    <w:pPr>
      <w:tabs>
        <w:tab w:val="left" w:pos="2700"/>
        <w:tab w:val="center" w:pos="4308"/>
      </w:tabs>
      <w:spacing w:line="360" w:lineRule="auto"/>
      <w:ind w:right="-680"/>
      <w:rPr>
        <w:b/>
        <w:color w:val="00B050"/>
        <w:sz w:val="28"/>
      </w:rPr>
    </w:pPr>
    <w:r>
      <w:rPr>
        <w:b/>
        <w:color w:val="00B050"/>
      </w:rPr>
      <w:tab/>
    </w:r>
    <w:r>
      <w:rPr>
        <w:b/>
        <w:color w:val="00B050"/>
      </w:rPr>
      <w:tab/>
    </w:r>
  </w:p>
  <w:p w:rsidR="00D7440B" w:rsidRDefault="00361D1D" w:rsidP="00D7440B">
    <w:pPr>
      <w:pStyle w:val="Header"/>
      <w:jc w:val="right"/>
    </w:pPr>
  </w:p>
  <w:p w:rsidR="00D7440B" w:rsidRDefault="00FF59A3" w:rsidP="00D7440B">
    <w:pPr>
      <w:pStyle w:val="Header"/>
    </w:pPr>
    <w:r>
      <w:rPr>
        <w:noProof/>
        <w:lang w:val="id-ID" w:eastAsia="id-ID"/>
      </w:rPr>
      <w:drawing>
        <wp:anchor distT="0" distB="0" distL="114300" distR="114300" simplePos="0" relativeHeight="251661312" behindDoc="1" locked="0" layoutInCell="1" allowOverlap="1">
          <wp:simplePos x="0" y="0"/>
          <wp:positionH relativeFrom="column">
            <wp:posOffset>43180</wp:posOffset>
          </wp:positionH>
          <wp:positionV relativeFrom="paragraph">
            <wp:posOffset>2993390</wp:posOffset>
          </wp:positionV>
          <wp:extent cx="5037455" cy="447738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37455" cy="4477385"/>
                  </a:xfrm>
                  <a:prstGeom prst="rect">
                    <a:avLst/>
                  </a:prstGeom>
                  <a:noFill/>
                  <a:ln>
                    <a:noFill/>
                  </a:ln>
                </pic:spPr>
              </pic:pic>
            </a:graphicData>
          </a:graphic>
        </wp:anchor>
      </w:drawing>
    </w:r>
  </w:p>
  <w:p w:rsidR="008E2B37" w:rsidRDefault="00361D1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368" w:rsidRDefault="007D636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cumentProtection w:edit="forms" w:formatting="1" w:enforcement="1" w:cryptProviderType="rsaFull" w:cryptAlgorithmClass="hash" w:cryptAlgorithmType="typeAny" w:cryptAlgorithmSid="4" w:cryptSpinCount="50000" w:hash="mCxkOw+bxaMSSzOeUBAorJdCBB4=" w:salt="DEuJn21LAttqkfomjZlVWg=="/>
  <w:defaultTabStop w:val="720"/>
  <w:characterSpacingControl w:val="doNotCompress"/>
  <w:hdrShapeDefaults>
    <o:shapedefaults v:ext="edit" spidmax="5122"/>
  </w:hdrShapeDefaults>
  <w:footnotePr>
    <w:footnote w:id="0"/>
    <w:footnote w:id="1"/>
  </w:footnotePr>
  <w:endnotePr>
    <w:endnote w:id="0"/>
    <w:endnote w:id="1"/>
  </w:endnotePr>
  <w:compat/>
  <w:rsids>
    <w:rsidRoot w:val="00FF59A3"/>
    <w:rsid w:val="0000171E"/>
    <w:rsid w:val="00090E11"/>
    <w:rsid w:val="000A0308"/>
    <w:rsid w:val="000A5525"/>
    <w:rsid w:val="000B1147"/>
    <w:rsid w:val="000B2594"/>
    <w:rsid w:val="000B55FF"/>
    <w:rsid w:val="000C5211"/>
    <w:rsid w:val="000D0EF9"/>
    <w:rsid w:val="000D7E79"/>
    <w:rsid w:val="000E789A"/>
    <w:rsid w:val="000F1BBC"/>
    <w:rsid w:val="000F6A24"/>
    <w:rsid w:val="00107BE4"/>
    <w:rsid w:val="00115375"/>
    <w:rsid w:val="00116930"/>
    <w:rsid w:val="001254B8"/>
    <w:rsid w:val="00154335"/>
    <w:rsid w:val="00156941"/>
    <w:rsid w:val="001625C8"/>
    <w:rsid w:val="001638F8"/>
    <w:rsid w:val="00175C39"/>
    <w:rsid w:val="00180692"/>
    <w:rsid w:val="001930D2"/>
    <w:rsid w:val="001A7A65"/>
    <w:rsid w:val="001C4327"/>
    <w:rsid w:val="001C6FC3"/>
    <w:rsid w:val="001E12D4"/>
    <w:rsid w:val="001E76DC"/>
    <w:rsid w:val="00206B40"/>
    <w:rsid w:val="002124AE"/>
    <w:rsid w:val="002159EF"/>
    <w:rsid w:val="002225F3"/>
    <w:rsid w:val="00251A21"/>
    <w:rsid w:val="00256F93"/>
    <w:rsid w:val="00272376"/>
    <w:rsid w:val="00290DE2"/>
    <w:rsid w:val="002C0DB3"/>
    <w:rsid w:val="002D162F"/>
    <w:rsid w:val="002D6866"/>
    <w:rsid w:val="002F5C7D"/>
    <w:rsid w:val="00300103"/>
    <w:rsid w:val="00325339"/>
    <w:rsid w:val="00361D1D"/>
    <w:rsid w:val="00364297"/>
    <w:rsid w:val="00371114"/>
    <w:rsid w:val="00375431"/>
    <w:rsid w:val="0039094F"/>
    <w:rsid w:val="00396DCD"/>
    <w:rsid w:val="00406632"/>
    <w:rsid w:val="0042470D"/>
    <w:rsid w:val="00435762"/>
    <w:rsid w:val="004600A5"/>
    <w:rsid w:val="00483967"/>
    <w:rsid w:val="0048708E"/>
    <w:rsid w:val="004B416B"/>
    <w:rsid w:val="004C7B26"/>
    <w:rsid w:val="004D4C25"/>
    <w:rsid w:val="004F4936"/>
    <w:rsid w:val="00506203"/>
    <w:rsid w:val="0052268C"/>
    <w:rsid w:val="005233AB"/>
    <w:rsid w:val="00524D1E"/>
    <w:rsid w:val="0053767B"/>
    <w:rsid w:val="0054636C"/>
    <w:rsid w:val="00550832"/>
    <w:rsid w:val="0055206A"/>
    <w:rsid w:val="00585528"/>
    <w:rsid w:val="00591FD3"/>
    <w:rsid w:val="005A25B4"/>
    <w:rsid w:val="005A6A7F"/>
    <w:rsid w:val="005B0D02"/>
    <w:rsid w:val="005C60EF"/>
    <w:rsid w:val="005D4DCE"/>
    <w:rsid w:val="00614D95"/>
    <w:rsid w:val="00655036"/>
    <w:rsid w:val="0067285D"/>
    <w:rsid w:val="006739CC"/>
    <w:rsid w:val="006811C4"/>
    <w:rsid w:val="006A2712"/>
    <w:rsid w:val="006C1A80"/>
    <w:rsid w:val="006C42F3"/>
    <w:rsid w:val="006C4E1C"/>
    <w:rsid w:val="006C63D7"/>
    <w:rsid w:val="006D2B7E"/>
    <w:rsid w:val="006D34EE"/>
    <w:rsid w:val="006D4358"/>
    <w:rsid w:val="006E0AA4"/>
    <w:rsid w:val="006F51A0"/>
    <w:rsid w:val="00711826"/>
    <w:rsid w:val="00714979"/>
    <w:rsid w:val="00733A0C"/>
    <w:rsid w:val="00734419"/>
    <w:rsid w:val="00735230"/>
    <w:rsid w:val="007454FC"/>
    <w:rsid w:val="0075069E"/>
    <w:rsid w:val="00756A74"/>
    <w:rsid w:val="00782808"/>
    <w:rsid w:val="007C4AFC"/>
    <w:rsid w:val="007D334D"/>
    <w:rsid w:val="007D6368"/>
    <w:rsid w:val="007F1F85"/>
    <w:rsid w:val="007F5B31"/>
    <w:rsid w:val="007F7FEE"/>
    <w:rsid w:val="00813441"/>
    <w:rsid w:val="008356DE"/>
    <w:rsid w:val="00837FE8"/>
    <w:rsid w:val="00875212"/>
    <w:rsid w:val="008A1B63"/>
    <w:rsid w:val="008B1749"/>
    <w:rsid w:val="008B3672"/>
    <w:rsid w:val="008C0DE8"/>
    <w:rsid w:val="008D1D14"/>
    <w:rsid w:val="008D5BD7"/>
    <w:rsid w:val="008F414E"/>
    <w:rsid w:val="008F4598"/>
    <w:rsid w:val="009059C6"/>
    <w:rsid w:val="00910435"/>
    <w:rsid w:val="00957551"/>
    <w:rsid w:val="0096008D"/>
    <w:rsid w:val="009A0B05"/>
    <w:rsid w:val="009B20C1"/>
    <w:rsid w:val="009B499B"/>
    <w:rsid w:val="009F284E"/>
    <w:rsid w:val="00A31400"/>
    <w:rsid w:val="00A42117"/>
    <w:rsid w:val="00A55332"/>
    <w:rsid w:val="00A615EC"/>
    <w:rsid w:val="00AA647E"/>
    <w:rsid w:val="00AD1873"/>
    <w:rsid w:val="00AE490C"/>
    <w:rsid w:val="00AF575E"/>
    <w:rsid w:val="00B267B5"/>
    <w:rsid w:val="00B314BB"/>
    <w:rsid w:val="00B41472"/>
    <w:rsid w:val="00B4607B"/>
    <w:rsid w:val="00B660DB"/>
    <w:rsid w:val="00B8337D"/>
    <w:rsid w:val="00BB18A3"/>
    <w:rsid w:val="00BB751A"/>
    <w:rsid w:val="00BB7EA9"/>
    <w:rsid w:val="00BD7D85"/>
    <w:rsid w:val="00C50F49"/>
    <w:rsid w:val="00C618BA"/>
    <w:rsid w:val="00C85DA5"/>
    <w:rsid w:val="00C90BE8"/>
    <w:rsid w:val="00CA4608"/>
    <w:rsid w:val="00CA782A"/>
    <w:rsid w:val="00CF0A19"/>
    <w:rsid w:val="00CF197C"/>
    <w:rsid w:val="00D33069"/>
    <w:rsid w:val="00D4615A"/>
    <w:rsid w:val="00D869A0"/>
    <w:rsid w:val="00DB10A7"/>
    <w:rsid w:val="00DE62D3"/>
    <w:rsid w:val="00DF25BA"/>
    <w:rsid w:val="00E05F2F"/>
    <w:rsid w:val="00E06D0C"/>
    <w:rsid w:val="00E404DB"/>
    <w:rsid w:val="00E50A01"/>
    <w:rsid w:val="00E55B35"/>
    <w:rsid w:val="00E7137E"/>
    <w:rsid w:val="00E71C74"/>
    <w:rsid w:val="00EC30B4"/>
    <w:rsid w:val="00EE1013"/>
    <w:rsid w:val="00F07FC8"/>
    <w:rsid w:val="00F31FB4"/>
    <w:rsid w:val="00F4661B"/>
    <w:rsid w:val="00F549B1"/>
    <w:rsid w:val="00F667F4"/>
    <w:rsid w:val="00F93038"/>
    <w:rsid w:val="00FC04D0"/>
    <w:rsid w:val="00FF59A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9A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59A3"/>
    <w:pPr>
      <w:tabs>
        <w:tab w:val="center" w:pos="4320"/>
        <w:tab w:val="right" w:pos="8640"/>
      </w:tabs>
    </w:pPr>
  </w:style>
  <w:style w:type="character" w:customStyle="1" w:styleId="HeaderChar">
    <w:name w:val="Header Char"/>
    <w:basedOn w:val="DefaultParagraphFont"/>
    <w:link w:val="Header"/>
    <w:uiPriority w:val="99"/>
    <w:rsid w:val="00FF59A3"/>
    <w:rPr>
      <w:rFonts w:ascii="Times New Roman" w:eastAsia="Times New Roman" w:hAnsi="Times New Roman" w:cs="Times New Roman"/>
      <w:sz w:val="24"/>
      <w:szCs w:val="24"/>
    </w:rPr>
  </w:style>
  <w:style w:type="paragraph" w:styleId="Footer">
    <w:name w:val="footer"/>
    <w:basedOn w:val="Normal"/>
    <w:link w:val="FooterChar"/>
    <w:uiPriority w:val="99"/>
    <w:rsid w:val="00FF59A3"/>
    <w:pPr>
      <w:tabs>
        <w:tab w:val="center" w:pos="4320"/>
        <w:tab w:val="right" w:pos="8640"/>
      </w:tabs>
    </w:pPr>
  </w:style>
  <w:style w:type="character" w:customStyle="1" w:styleId="FooterChar">
    <w:name w:val="Footer Char"/>
    <w:basedOn w:val="DefaultParagraphFont"/>
    <w:link w:val="Footer"/>
    <w:uiPriority w:val="99"/>
    <w:rsid w:val="00FF59A3"/>
    <w:rPr>
      <w:rFonts w:ascii="Times New Roman" w:eastAsia="Times New Roman" w:hAnsi="Times New Roman" w:cs="Times New Roman"/>
      <w:sz w:val="24"/>
      <w:szCs w:val="24"/>
    </w:rPr>
  </w:style>
  <w:style w:type="character" w:customStyle="1" w:styleId="jlqj4b">
    <w:name w:val="jlqj4b"/>
    <w:rsid w:val="008F45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9A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59A3"/>
    <w:pPr>
      <w:tabs>
        <w:tab w:val="center" w:pos="4320"/>
        <w:tab w:val="right" w:pos="8640"/>
      </w:tabs>
    </w:pPr>
  </w:style>
  <w:style w:type="character" w:customStyle="1" w:styleId="HeaderChar">
    <w:name w:val="Header Char"/>
    <w:basedOn w:val="DefaultParagraphFont"/>
    <w:link w:val="Header"/>
    <w:uiPriority w:val="99"/>
    <w:rsid w:val="00FF59A3"/>
    <w:rPr>
      <w:rFonts w:ascii="Times New Roman" w:eastAsia="Times New Roman" w:hAnsi="Times New Roman" w:cs="Times New Roman"/>
      <w:sz w:val="24"/>
      <w:szCs w:val="24"/>
    </w:rPr>
  </w:style>
  <w:style w:type="paragraph" w:styleId="Footer">
    <w:name w:val="footer"/>
    <w:basedOn w:val="Normal"/>
    <w:link w:val="FooterChar"/>
    <w:uiPriority w:val="99"/>
    <w:rsid w:val="00FF59A3"/>
    <w:pPr>
      <w:tabs>
        <w:tab w:val="center" w:pos="4320"/>
        <w:tab w:val="right" w:pos="8640"/>
      </w:tabs>
    </w:pPr>
  </w:style>
  <w:style w:type="character" w:customStyle="1" w:styleId="FooterChar">
    <w:name w:val="Footer Char"/>
    <w:basedOn w:val="DefaultParagraphFont"/>
    <w:link w:val="Footer"/>
    <w:uiPriority w:val="99"/>
    <w:rsid w:val="00FF59A3"/>
    <w:rPr>
      <w:rFonts w:ascii="Times New Roman" w:eastAsia="Times New Roman" w:hAnsi="Times New Roman" w:cs="Times New Roman"/>
      <w:sz w:val="24"/>
      <w:szCs w:val="24"/>
    </w:rPr>
  </w:style>
  <w:style w:type="character" w:customStyle="1" w:styleId="jlqj4b">
    <w:name w:val="jlqj4b"/>
    <w:rsid w:val="008F4598"/>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621</Words>
  <Characters>3543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AsusWin7</cp:lastModifiedBy>
  <cp:revision>2</cp:revision>
  <dcterms:created xsi:type="dcterms:W3CDTF">2025-11-21T09:16:00Z</dcterms:created>
  <dcterms:modified xsi:type="dcterms:W3CDTF">2025-11-21T09:16:00Z</dcterms:modified>
</cp:coreProperties>
</file>