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3C1" w:rsidRPr="004E3485" w:rsidRDefault="00EC63C1" w:rsidP="00EC63C1">
      <w:pPr>
        <w:pStyle w:val="Heading1"/>
        <w:spacing w:before="0" w:line="480" w:lineRule="auto"/>
        <w:jc w:val="center"/>
        <w:rPr>
          <w:rFonts w:ascii="Times New Roman" w:hAnsi="Times New Roman"/>
          <w:color w:val="0D0D0D"/>
          <w:sz w:val="24"/>
          <w:szCs w:val="24"/>
        </w:rPr>
      </w:pPr>
      <w:bookmarkStart w:id="0" w:name="_Toc201351801"/>
      <w:r w:rsidRPr="004E3485">
        <w:rPr>
          <w:rFonts w:ascii="Times New Roman" w:hAnsi="Times New Roman"/>
          <w:color w:val="0D0D0D"/>
          <w:sz w:val="24"/>
          <w:szCs w:val="24"/>
        </w:rPr>
        <w:t>BAB III</w:t>
      </w:r>
      <w:bookmarkEnd w:id="0"/>
    </w:p>
    <w:p w:rsidR="00EC63C1" w:rsidRPr="004E3485" w:rsidRDefault="00EC63C1" w:rsidP="00EC63C1">
      <w:pPr>
        <w:pStyle w:val="Heading1"/>
        <w:spacing w:before="0" w:line="480" w:lineRule="auto"/>
        <w:jc w:val="center"/>
        <w:rPr>
          <w:rFonts w:ascii="Times New Roman" w:hAnsi="Times New Roman"/>
          <w:color w:val="0D0D0D"/>
          <w:sz w:val="24"/>
          <w:szCs w:val="24"/>
          <w:lang w:val="en-US"/>
        </w:rPr>
      </w:pPr>
      <w:bookmarkStart w:id="1" w:name="_Toc201351802"/>
      <w:r w:rsidRPr="004E3485">
        <w:rPr>
          <w:rFonts w:ascii="Times New Roman" w:hAnsi="Times New Roman"/>
          <w:color w:val="0D0D0D"/>
          <w:sz w:val="24"/>
          <w:szCs w:val="24"/>
        </w:rPr>
        <w:t>METODE PENELITIAN</w:t>
      </w:r>
      <w:bookmarkEnd w:id="1"/>
    </w:p>
    <w:p w:rsidR="00EC63C1" w:rsidRPr="004E3485" w:rsidRDefault="00EC63C1" w:rsidP="00EC63C1">
      <w:pPr>
        <w:jc w:val="both"/>
        <w:rPr>
          <w:b/>
          <w:lang w:val="en-US"/>
        </w:rPr>
      </w:pPr>
    </w:p>
    <w:p w:rsidR="00EC63C1" w:rsidRPr="004E3485" w:rsidRDefault="00EC63C1" w:rsidP="00EC63C1">
      <w:pPr>
        <w:pStyle w:val="ListParagraph"/>
        <w:numPr>
          <w:ilvl w:val="0"/>
          <w:numId w:val="11"/>
        </w:numPr>
        <w:spacing w:line="480" w:lineRule="auto"/>
        <w:ind w:left="709" w:hanging="709"/>
        <w:jc w:val="both"/>
        <w:outlineLvl w:val="1"/>
        <w:rPr>
          <w:b/>
          <w:color w:val="0D0D0D"/>
          <w:sz w:val="24"/>
          <w:szCs w:val="24"/>
        </w:rPr>
      </w:pPr>
      <w:bookmarkStart w:id="2" w:name="_Toc201351803"/>
      <w:r w:rsidRPr="004E3485">
        <w:rPr>
          <w:b/>
          <w:color w:val="0D0D0D"/>
          <w:sz w:val="24"/>
          <w:szCs w:val="24"/>
        </w:rPr>
        <w:t>Lokasi Penelitian</w:t>
      </w:r>
      <w:r w:rsidRPr="004E3485">
        <w:rPr>
          <w:b/>
          <w:color w:val="0D0D0D"/>
          <w:sz w:val="24"/>
          <w:szCs w:val="24"/>
          <w:lang w:val="en-US"/>
        </w:rPr>
        <w:t xml:space="preserve"> Dan Penelitian</w:t>
      </w:r>
      <w:bookmarkEnd w:id="2"/>
    </w:p>
    <w:p w:rsidR="00EC63C1" w:rsidRPr="00A221E9" w:rsidRDefault="00EC63C1" w:rsidP="00EC63C1">
      <w:pPr>
        <w:spacing w:line="480" w:lineRule="auto"/>
        <w:ind w:firstLine="709"/>
        <w:jc w:val="both"/>
        <w:rPr>
          <w:color w:val="0D0D0D"/>
        </w:rPr>
      </w:pPr>
      <w:r w:rsidRPr="00A221E9">
        <w:rPr>
          <w:color w:val="0D0D0D"/>
        </w:rPr>
        <w:t xml:space="preserve">Adapun Lokasi Pengambilan data pada penelitian ini adalah di </w:t>
      </w:r>
      <w:r w:rsidRPr="00A221E9">
        <w:rPr>
          <w:color w:val="0D0D0D"/>
          <w:lang w:val="en-US"/>
        </w:rPr>
        <w:t>Polda Sumut</w:t>
      </w:r>
      <w:r w:rsidRPr="00A221E9">
        <w:rPr>
          <w:color w:val="0D0D0D"/>
        </w:rPr>
        <w:t xml:space="preserve"> Jl. Sisingamangaraja Km. 10,5 No. 60, Timbang Deli, Kec. Medan Amplas, Kota Medan, Sumatera Utara 20148</w:t>
      </w:r>
    </w:p>
    <w:p w:rsidR="00EC63C1" w:rsidRPr="004E3485" w:rsidRDefault="00EC63C1" w:rsidP="00EC63C1">
      <w:pPr>
        <w:pStyle w:val="ListParagraph"/>
        <w:numPr>
          <w:ilvl w:val="0"/>
          <w:numId w:val="11"/>
        </w:numPr>
        <w:spacing w:line="480" w:lineRule="auto"/>
        <w:ind w:left="709" w:hanging="709"/>
        <w:jc w:val="both"/>
        <w:outlineLvl w:val="1"/>
        <w:rPr>
          <w:b/>
          <w:color w:val="0D0D0D"/>
          <w:sz w:val="24"/>
          <w:szCs w:val="24"/>
        </w:rPr>
      </w:pPr>
      <w:bookmarkStart w:id="3" w:name="_Toc201351804"/>
      <w:r w:rsidRPr="004E3485">
        <w:rPr>
          <w:b/>
          <w:color w:val="0D0D0D"/>
          <w:sz w:val="24"/>
          <w:szCs w:val="24"/>
          <w:lang w:val="en-US"/>
        </w:rPr>
        <w:t>Jenis Penelitian</w:t>
      </w:r>
      <w:bookmarkEnd w:id="3"/>
    </w:p>
    <w:p w:rsidR="00EC63C1" w:rsidRDefault="00EC63C1" w:rsidP="00EC63C1">
      <w:pPr>
        <w:pStyle w:val="NormalWeb"/>
        <w:spacing w:before="0" w:beforeAutospacing="0" w:after="0" w:afterAutospacing="0" w:line="480" w:lineRule="auto"/>
        <w:ind w:firstLine="709"/>
        <w:jc w:val="both"/>
      </w:pPr>
      <w:r>
        <w:t>Jenis penelitian yang digunakan dalam kajian ini adalah penelitian hukum normatif. Penelitian hukum normatif bertujuan untuk mengkaji aturan-aturan hukum, doktrin hukum, asas-asas hukum, serta berbagai peraturan perundang-undangan yang relevan dalam menganalisis peran bagian Samapta dalam penanganan peristiwa unjuk rasa. Penelitian ini berfokus pada studi dokumen untuk menelaah dasar hukum yang menjadi landasan pelaksanaan tugas bagian Samapta, khususnya yang berkaitan dengan pelaksanaan Undang-Undang Nomor 9 Tahun 1998 tentang Kemerdekaan Menyampaikan Pendapat di Muka Umum.</w:t>
      </w:r>
    </w:p>
    <w:p w:rsidR="00EC63C1" w:rsidRPr="00BE51AB" w:rsidRDefault="00EC63C1" w:rsidP="00EC63C1">
      <w:pPr>
        <w:pStyle w:val="NormalWeb"/>
        <w:spacing w:before="0" w:beforeAutospacing="0" w:after="0" w:afterAutospacing="0" w:line="480" w:lineRule="auto"/>
        <w:ind w:firstLine="709"/>
        <w:jc w:val="both"/>
      </w:pPr>
      <w:r>
        <w:t>Pendekatan yang digunakan dalam penelitian ini adalah pendekatan yuridis normatif, yang dilakukan melalui analisis terhadap data sekunder berupa peraturan perundang-undangan, dokumen hukum, putusan pengadilan, literatur akademik, dan doktrin hukum. Fokus dari pendekatan ini adalah menelaah secara mendalam kaidah hukum dan norma yang berlaku untuk mengetahui sejauh mana bagian Samapta melaksanakan tugasnya sesuai dengan ketentuan hukum yang ada.</w:t>
      </w:r>
      <w:r w:rsidRPr="00FB5E02">
        <w:rPr>
          <w:rStyle w:val="FootnoteReference"/>
        </w:rPr>
        <w:footnoteReference w:id="2"/>
      </w:r>
    </w:p>
    <w:p w:rsidR="00EC63C1" w:rsidRPr="004E3485" w:rsidRDefault="00EC63C1" w:rsidP="00EC63C1">
      <w:pPr>
        <w:pStyle w:val="Heading2"/>
        <w:spacing w:before="0" w:line="480" w:lineRule="auto"/>
        <w:ind w:left="709" w:hanging="709"/>
        <w:jc w:val="both"/>
        <w:rPr>
          <w:rFonts w:ascii="Times New Roman" w:hAnsi="Times New Roman"/>
          <w:color w:val="0D0D0D"/>
          <w:sz w:val="24"/>
          <w:szCs w:val="24"/>
        </w:rPr>
      </w:pPr>
      <w:bookmarkStart w:id="4" w:name="_Toc201351805"/>
      <w:r w:rsidRPr="004E3485">
        <w:rPr>
          <w:rFonts w:ascii="Times New Roman" w:hAnsi="Times New Roman"/>
          <w:color w:val="0D0D0D"/>
          <w:sz w:val="24"/>
          <w:szCs w:val="24"/>
          <w:lang w:val="en-US"/>
        </w:rPr>
        <w:lastRenderedPageBreak/>
        <w:t>C.   </w:t>
      </w:r>
      <w:r w:rsidRPr="004E3485">
        <w:rPr>
          <w:rFonts w:ascii="Times New Roman" w:hAnsi="Times New Roman"/>
          <w:color w:val="0D0D0D"/>
          <w:sz w:val="24"/>
          <w:szCs w:val="24"/>
          <w:lang w:val="en-US"/>
        </w:rPr>
        <w:tab/>
        <w:t>Sumber Data</w:t>
      </w:r>
      <w:bookmarkEnd w:id="4"/>
    </w:p>
    <w:p w:rsidR="00EC63C1" w:rsidRPr="00A334B0" w:rsidRDefault="00EC63C1" w:rsidP="00EC63C1">
      <w:pPr>
        <w:spacing w:line="480" w:lineRule="auto"/>
        <w:ind w:firstLine="709"/>
        <w:jc w:val="both"/>
        <w:rPr>
          <w:noProof w:val="0"/>
          <w:lang w:val="en-US"/>
        </w:rPr>
      </w:pPr>
      <w:r w:rsidRPr="00A334B0">
        <w:rPr>
          <w:noProof w:val="0"/>
          <w:lang w:val="en-US"/>
        </w:rPr>
        <w:t>Dalam penelitian ini, sumber data yang digunakan terdiri dari data sekunder yang relevan dengan analisis peran bagian Samapta dalam penanganan peristiwa unjuk rasa berdasarkan Undang-Undang Nomor 9 Tahun 1998 tentang Kemerdekaan Menyampaikan Pendapat di Muka Umum. Sumber data tersebut dikelompokkan sebagai berikut:</w:t>
      </w:r>
    </w:p>
    <w:p w:rsidR="00EC63C1" w:rsidRPr="00A334B0" w:rsidRDefault="00EC63C1" w:rsidP="00EC63C1">
      <w:pPr>
        <w:numPr>
          <w:ilvl w:val="0"/>
          <w:numId w:val="13"/>
        </w:numPr>
        <w:spacing w:line="480" w:lineRule="auto"/>
        <w:rPr>
          <w:noProof w:val="0"/>
          <w:lang w:val="en-US"/>
        </w:rPr>
      </w:pPr>
      <w:r w:rsidRPr="00A334B0">
        <w:rPr>
          <w:b/>
          <w:bCs/>
          <w:noProof w:val="0"/>
          <w:lang w:val="en-US"/>
        </w:rPr>
        <w:t>Bahan Hukum Primer</w:t>
      </w:r>
    </w:p>
    <w:p w:rsidR="00EC63C1" w:rsidRPr="00A334B0" w:rsidRDefault="00EC63C1" w:rsidP="00EC63C1">
      <w:pPr>
        <w:numPr>
          <w:ilvl w:val="1"/>
          <w:numId w:val="14"/>
        </w:numPr>
        <w:tabs>
          <w:tab w:val="clear" w:pos="1440"/>
        </w:tabs>
        <w:spacing w:line="480" w:lineRule="auto"/>
        <w:ind w:left="993" w:hanging="284"/>
        <w:jc w:val="both"/>
        <w:rPr>
          <w:noProof w:val="0"/>
          <w:lang w:val="en-US"/>
        </w:rPr>
      </w:pPr>
      <w:r w:rsidRPr="00A334B0">
        <w:rPr>
          <w:noProof w:val="0"/>
          <w:lang w:val="en-US"/>
        </w:rPr>
        <w:t>Undang-Undang Nomor 9 Tahun 1998 tentang Kemerdekaan Menyampaikan Pendapat di Muka Umum.</w:t>
      </w:r>
    </w:p>
    <w:p w:rsidR="00EC63C1" w:rsidRPr="00A334B0" w:rsidRDefault="00EC63C1" w:rsidP="00EC63C1">
      <w:pPr>
        <w:numPr>
          <w:ilvl w:val="1"/>
          <w:numId w:val="14"/>
        </w:numPr>
        <w:tabs>
          <w:tab w:val="clear" w:pos="1440"/>
        </w:tabs>
        <w:spacing w:line="480" w:lineRule="auto"/>
        <w:ind w:left="993" w:hanging="284"/>
        <w:jc w:val="both"/>
        <w:rPr>
          <w:noProof w:val="0"/>
          <w:lang w:val="en-US"/>
        </w:rPr>
      </w:pPr>
      <w:r w:rsidRPr="00A334B0">
        <w:rPr>
          <w:noProof w:val="0"/>
          <w:lang w:val="en-US"/>
        </w:rPr>
        <w:t>Undang-Undang Nomor 2 Tahun 2002 tentang Kepolisian Negara Republik Indonesia.</w:t>
      </w:r>
    </w:p>
    <w:p w:rsidR="00EC63C1" w:rsidRPr="00A334B0" w:rsidRDefault="00EC63C1" w:rsidP="00EC63C1">
      <w:pPr>
        <w:numPr>
          <w:ilvl w:val="1"/>
          <w:numId w:val="14"/>
        </w:numPr>
        <w:tabs>
          <w:tab w:val="clear" w:pos="1440"/>
        </w:tabs>
        <w:spacing w:line="480" w:lineRule="auto"/>
        <w:ind w:left="993" w:hanging="284"/>
        <w:jc w:val="both"/>
        <w:rPr>
          <w:noProof w:val="0"/>
          <w:lang w:val="en-US"/>
        </w:rPr>
      </w:pPr>
      <w:r w:rsidRPr="00A334B0">
        <w:rPr>
          <w:noProof w:val="0"/>
          <w:lang w:val="en-US"/>
        </w:rPr>
        <w:t>Peraturan Kapolri Nomor 7 Tahun 2012 tentang Tata Cara Penyelenggaraan Pelayanan, Pengamanan, dan Penanganan Perkara Penyampaian Pendapat di Muka Umum.</w:t>
      </w:r>
    </w:p>
    <w:p w:rsidR="00EC63C1" w:rsidRPr="00A334B0" w:rsidRDefault="00EC63C1" w:rsidP="00EC63C1">
      <w:pPr>
        <w:numPr>
          <w:ilvl w:val="1"/>
          <w:numId w:val="14"/>
        </w:numPr>
        <w:tabs>
          <w:tab w:val="clear" w:pos="1440"/>
        </w:tabs>
        <w:spacing w:line="480" w:lineRule="auto"/>
        <w:ind w:left="993" w:hanging="284"/>
        <w:jc w:val="both"/>
        <w:rPr>
          <w:noProof w:val="0"/>
          <w:lang w:val="en-US"/>
        </w:rPr>
      </w:pPr>
      <w:r w:rsidRPr="00A334B0">
        <w:rPr>
          <w:noProof w:val="0"/>
          <w:lang w:val="en-US"/>
        </w:rPr>
        <w:t>Peraturan Perundang-undangan lainnya yang relevan.</w:t>
      </w:r>
    </w:p>
    <w:p w:rsidR="00EC63C1" w:rsidRPr="00A334B0" w:rsidRDefault="00EC63C1" w:rsidP="00EC63C1">
      <w:pPr>
        <w:numPr>
          <w:ilvl w:val="0"/>
          <w:numId w:val="13"/>
        </w:numPr>
        <w:tabs>
          <w:tab w:val="clear" w:pos="720"/>
        </w:tabs>
        <w:spacing w:line="480" w:lineRule="auto"/>
        <w:rPr>
          <w:noProof w:val="0"/>
          <w:lang w:val="en-US"/>
        </w:rPr>
      </w:pPr>
      <w:r w:rsidRPr="00A334B0">
        <w:rPr>
          <w:b/>
          <w:bCs/>
          <w:noProof w:val="0"/>
          <w:lang w:val="en-US"/>
        </w:rPr>
        <w:t>Bahan Hukum Sekunder</w:t>
      </w:r>
    </w:p>
    <w:p w:rsidR="00EC63C1" w:rsidRPr="00A334B0" w:rsidRDefault="00EC63C1" w:rsidP="00EC63C1">
      <w:pPr>
        <w:numPr>
          <w:ilvl w:val="1"/>
          <w:numId w:val="15"/>
        </w:numPr>
        <w:tabs>
          <w:tab w:val="clear" w:pos="1440"/>
        </w:tabs>
        <w:spacing w:line="480" w:lineRule="auto"/>
        <w:ind w:left="993" w:hanging="284"/>
        <w:jc w:val="both"/>
        <w:rPr>
          <w:noProof w:val="0"/>
          <w:lang w:val="en-US"/>
        </w:rPr>
      </w:pPr>
      <w:r w:rsidRPr="00A334B0">
        <w:rPr>
          <w:noProof w:val="0"/>
          <w:lang w:val="en-US"/>
        </w:rPr>
        <w:t>Buku-buku literatur hukum yang membahas peran dan tugas kepolisian, khususnya bagian Samapta, serta hak asasi manusia dalam konteks unjuk rasa.</w:t>
      </w:r>
    </w:p>
    <w:p w:rsidR="00EC63C1" w:rsidRPr="00A334B0" w:rsidRDefault="00EC63C1" w:rsidP="00EC63C1">
      <w:pPr>
        <w:numPr>
          <w:ilvl w:val="1"/>
          <w:numId w:val="15"/>
        </w:numPr>
        <w:tabs>
          <w:tab w:val="clear" w:pos="1440"/>
        </w:tabs>
        <w:spacing w:line="480" w:lineRule="auto"/>
        <w:ind w:left="993" w:hanging="284"/>
        <w:jc w:val="both"/>
        <w:rPr>
          <w:noProof w:val="0"/>
          <w:lang w:val="en-US"/>
        </w:rPr>
      </w:pPr>
      <w:r w:rsidRPr="00A334B0">
        <w:rPr>
          <w:noProof w:val="0"/>
          <w:lang w:val="en-US"/>
        </w:rPr>
        <w:t>Artikel ilmiah, jurnal hukum, dan laporan penelitian terkait penanganan aksi unjuk rasa dan implementasi peraturan perundang-undangan.</w:t>
      </w:r>
    </w:p>
    <w:p w:rsidR="00EC63C1" w:rsidRPr="00A334B0" w:rsidRDefault="00EC63C1" w:rsidP="00EC63C1">
      <w:pPr>
        <w:numPr>
          <w:ilvl w:val="1"/>
          <w:numId w:val="15"/>
        </w:numPr>
        <w:tabs>
          <w:tab w:val="clear" w:pos="1440"/>
        </w:tabs>
        <w:spacing w:line="480" w:lineRule="auto"/>
        <w:ind w:left="993" w:hanging="284"/>
        <w:jc w:val="both"/>
        <w:rPr>
          <w:noProof w:val="0"/>
          <w:lang w:val="en-US"/>
        </w:rPr>
      </w:pPr>
      <w:r w:rsidRPr="00A334B0">
        <w:rPr>
          <w:noProof w:val="0"/>
          <w:lang w:val="en-US"/>
        </w:rPr>
        <w:lastRenderedPageBreak/>
        <w:t>Doktrin dan pendapat para ahli hukum yang membahas asas-asas hukum terkait kebebasan menyampaikan pendapat dan penegakan hukum dalam unjuk rasa.</w:t>
      </w:r>
    </w:p>
    <w:p w:rsidR="00EC63C1" w:rsidRPr="00A334B0" w:rsidRDefault="00EC63C1" w:rsidP="00EC63C1">
      <w:pPr>
        <w:numPr>
          <w:ilvl w:val="0"/>
          <w:numId w:val="13"/>
        </w:numPr>
        <w:tabs>
          <w:tab w:val="clear" w:pos="720"/>
        </w:tabs>
        <w:spacing w:line="480" w:lineRule="auto"/>
        <w:rPr>
          <w:noProof w:val="0"/>
          <w:lang w:val="en-US"/>
        </w:rPr>
      </w:pPr>
      <w:r w:rsidRPr="00A334B0">
        <w:rPr>
          <w:b/>
          <w:bCs/>
          <w:noProof w:val="0"/>
          <w:lang w:val="en-US"/>
        </w:rPr>
        <w:t>Bahan Hukum Tersier</w:t>
      </w:r>
    </w:p>
    <w:p w:rsidR="00EC63C1" w:rsidRPr="00A334B0" w:rsidRDefault="00EC63C1" w:rsidP="00EC63C1">
      <w:pPr>
        <w:spacing w:line="480" w:lineRule="auto"/>
        <w:ind w:left="709"/>
        <w:jc w:val="both"/>
        <w:rPr>
          <w:noProof w:val="0"/>
          <w:lang w:val="en-US"/>
        </w:rPr>
      </w:pPr>
      <w:r w:rsidRPr="00A334B0">
        <w:rPr>
          <w:noProof w:val="0"/>
          <w:lang w:val="en-US"/>
        </w:rPr>
        <w:t>Kamus hukum, ensiklopedia hukum, dan bahan referensi lainnya yang memberikan penjelasan tambahan mengenai istilah-istilah hukum yang digunakan dalam penelitian ini.</w:t>
      </w:r>
    </w:p>
    <w:p w:rsidR="00EC63C1" w:rsidRPr="00A334B0" w:rsidRDefault="00EC63C1" w:rsidP="00EC63C1">
      <w:pPr>
        <w:spacing w:line="480" w:lineRule="auto"/>
        <w:ind w:firstLine="709"/>
        <w:jc w:val="both"/>
        <w:rPr>
          <w:noProof w:val="0"/>
          <w:lang w:val="en-US"/>
        </w:rPr>
      </w:pPr>
      <w:r w:rsidRPr="00A334B0">
        <w:rPr>
          <w:noProof w:val="0"/>
          <w:lang w:val="en-US"/>
        </w:rPr>
        <w:t>Data dari sumber-sumber tersebut akan dianalisis untuk menjawab rumusan masalah penelitian, khususnya dalam konteks penerapan hukum dan pelaksanaan tugas bagian Samapta sesuai dengan peraturan yang berlaku.</w:t>
      </w:r>
    </w:p>
    <w:p w:rsidR="00EC63C1" w:rsidRPr="00A10F60" w:rsidRDefault="00EC63C1" w:rsidP="00EC63C1">
      <w:pPr>
        <w:pStyle w:val="Heading2"/>
        <w:spacing w:before="0" w:line="480" w:lineRule="auto"/>
        <w:ind w:left="709" w:hanging="709"/>
        <w:jc w:val="both"/>
        <w:rPr>
          <w:rFonts w:ascii="Times New Roman" w:hAnsi="Times New Roman"/>
          <w:color w:val="0D0D0D"/>
          <w:sz w:val="24"/>
          <w:szCs w:val="24"/>
        </w:rPr>
      </w:pPr>
      <w:bookmarkStart w:id="5" w:name="_Toc201351806"/>
      <w:r w:rsidRPr="00A10F60">
        <w:rPr>
          <w:rFonts w:ascii="Times New Roman" w:hAnsi="Times New Roman"/>
          <w:color w:val="0D0D0D"/>
          <w:sz w:val="24"/>
          <w:szCs w:val="24"/>
          <w:lang w:val="en-US"/>
        </w:rPr>
        <w:t>D.</w:t>
      </w:r>
      <w:r w:rsidRPr="00A10F60">
        <w:rPr>
          <w:rFonts w:ascii="Times New Roman" w:hAnsi="Times New Roman"/>
          <w:color w:val="0D0D0D"/>
          <w:sz w:val="24"/>
          <w:szCs w:val="24"/>
          <w:lang w:val="en-US"/>
        </w:rPr>
        <w:tab/>
      </w:r>
      <w:r w:rsidRPr="00A10F60">
        <w:rPr>
          <w:rFonts w:ascii="Times New Roman" w:hAnsi="Times New Roman"/>
          <w:color w:val="0D0D0D"/>
          <w:sz w:val="24"/>
          <w:szCs w:val="24"/>
        </w:rPr>
        <w:t>Teknik Pengumpulan Data</w:t>
      </w:r>
      <w:bookmarkEnd w:id="5"/>
    </w:p>
    <w:p w:rsidR="00EC63C1" w:rsidRPr="00C93F13" w:rsidRDefault="00EC63C1" w:rsidP="00EC63C1">
      <w:pPr>
        <w:spacing w:line="480" w:lineRule="auto"/>
        <w:ind w:firstLine="709"/>
        <w:jc w:val="both"/>
        <w:rPr>
          <w:noProof w:val="0"/>
          <w:lang w:val="en-US"/>
        </w:rPr>
      </w:pPr>
      <w:r w:rsidRPr="00C93F13">
        <w:rPr>
          <w:noProof w:val="0"/>
          <w:lang w:val="en-US"/>
        </w:rPr>
        <w:t>Teknik pengumpulan data dalam penelitian ini dilakukan dengan pendekatan yuridis normatif, yang berfokus pada analisis data sekunder. Adapun teknik pengumpulan data yang digunakan adalah sebagai berikut:</w:t>
      </w:r>
    </w:p>
    <w:p w:rsidR="00EC63C1" w:rsidRPr="00C93F13" w:rsidRDefault="00EC63C1" w:rsidP="00EC63C1">
      <w:pPr>
        <w:numPr>
          <w:ilvl w:val="0"/>
          <w:numId w:val="12"/>
        </w:numPr>
        <w:spacing w:line="480" w:lineRule="auto"/>
        <w:jc w:val="both"/>
        <w:rPr>
          <w:noProof w:val="0"/>
          <w:lang w:val="en-US"/>
        </w:rPr>
      </w:pPr>
      <w:r w:rsidRPr="00C93F13">
        <w:rPr>
          <w:bCs/>
          <w:noProof w:val="0"/>
          <w:lang w:val="en-US"/>
        </w:rPr>
        <w:t>Studi Kepustakaan (Library Research)</w:t>
      </w:r>
    </w:p>
    <w:p w:rsidR="00EC63C1" w:rsidRPr="00C93F13" w:rsidRDefault="00EC63C1" w:rsidP="00EC63C1">
      <w:pPr>
        <w:spacing w:line="480" w:lineRule="auto"/>
        <w:ind w:left="720"/>
        <w:jc w:val="both"/>
        <w:rPr>
          <w:noProof w:val="0"/>
          <w:lang w:val="en-US"/>
        </w:rPr>
      </w:pPr>
      <w:r w:rsidRPr="00C93F13">
        <w:rPr>
          <w:noProof w:val="0"/>
          <w:lang w:val="en-US"/>
        </w:rPr>
        <w:t>Data dikumpulkan melalui penelaahan literatur, dokumen, dan bahan hukum yang relevan. Teknik ini meliputi:</w:t>
      </w:r>
    </w:p>
    <w:p w:rsidR="00EC63C1" w:rsidRPr="00C93F13" w:rsidRDefault="00EC63C1" w:rsidP="00EC63C1">
      <w:pPr>
        <w:numPr>
          <w:ilvl w:val="1"/>
          <w:numId w:val="16"/>
        </w:numPr>
        <w:spacing w:line="480" w:lineRule="auto"/>
        <w:ind w:left="993" w:hanging="284"/>
        <w:jc w:val="both"/>
        <w:rPr>
          <w:noProof w:val="0"/>
          <w:lang w:val="en-US"/>
        </w:rPr>
      </w:pPr>
      <w:r w:rsidRPr="00C93F13">
        <w:rPr>
          <w:noProof w:val="0"/>
          <w:lang w:val="en-US"/>
        </w:rPr>
        <w:t>Mengkaji peraturan perundang-undangan, seperti Undang-Undang Nomor 9 Tahun 1998 tentang Kemerdekaan Menyampaikan Pendapat di Muka Umum, Undang-Undang Nomor 2 Tahun 2002 tentang Kepolisian Negara Republik Indonesia, serta peraturan lainnya yang terkait.</w:t>
      </w:r>
    </w:p>
    <w:p w:rsidR="00EC63C1" w:rsidRPr="00C93F13" w:rsidRDefault="00EC63C1" w:rsidP="00EC63C1">
      <w:pPr>
        <w:numPr>
          <w:ilvl w:val="1"/>
          <w:numId w:val="16"/>
        </w:numPr>
        <w:spacing w:line="480" w:lineRule="auto"/>
        <w:ind w:left="993" w:hanging="284"/>
        <w:jc w:val="both"/>
        <w:rPr>
          <w:noProof w:val="0"/>
          <w:lang w:val="en-US"/>
        </w:rPr>
      </w:pPr>
      <w:r w:rsidRPr="00C93F13">
        <w:rPr>
          <w:noProof w:val="0"/>
          <w:lang w:val="en-US"/>
        </w:rPr>
        <w:lastRenderedPageBreak/>
        <w:t>Membaca dan menganalisis buku, jurnal ilmiah, artikel, dan hasil penelitian sebelumnya yang membahas tema serupa.</w:t>
      </w:r>
    </w:p>
    <w:p w:rsidR="00EC63C1" w:rsidRDefault="00EC63C1" w:rsidP="00EC63C1">
      <w:pPr>
        <w:numPr>
          <w:ilvl w:val="1"/>
          <w:numId w:val="16"/>
        </w:numPr>
        <w:spacing w:line="480" w:lineRule="auto"/>
        <w:ind w:left="993" w:hanging="284"/>
        <w:jc w:val="both"/>
        <w:rPr>
          <w:noProof w:val="0"/>
          <w:lang w:val="en-US"/>
        </w:rPr>
      </w:pPr>
      <w:r w:rsidRPr="00C93F13">
        <w:rPr>
          <w:noProof w:val="0"/>
          <w:lang w:val="en-US"/>
        </w:rPr>
        <w:t>Mengumpulkan doktrin-doktrin hukum dan pendapat para ahli untuk memperkuat analisis normatif.</w:t>
      </w:r>
    </w:p>
    <w:p w:rsidR="00EC63C1" w:rsidRPr="00C93F13" w:rsidRDefault="00EC63C1" w:rsidP="00EC63C1">
      <w:pPr>
        <w:spacing w:line="480" w:lineRule="auto"/>
        <w:ind w:left="993"/>
        <w:jc w:val="both"/>
        <w:rPr>
          <w:noProof w:val="0"/>
          <w:lang w:val="en-US"/>
        </w:rPr>
      </w:pPr>
    </w:p>
    <w:p w:rsidR="00EC63C1" w:rsidRPr="00C93F13" w:rsidRDefault="00EC63C1" w:rsidP="00EC63C1">
      <w:pPr>
        <w:numPr>
          <w:ilvl w:val="0"/>
          <w:numId w:val="12"/>
        </w:numPr>
        <w:spacing w:line="480" w:lineRule="auto"/>
        <w:jc w:val="both"/>
        <w:rPr>
          <w:noProof w:val="0"/>
          <w:lang w:val="en-US"/>
        </w:rPr>
      </w:pPr>
      <w:r w:rsidRPr="00C93F13">
        <w:rPr>
          <w:bCs/>
          <w:noProof w:val="0"/>
          <w:lang w:val="en-US"/>
        </w:rPr>
        <w:t>Analisis Putusan Pengadilan</w:t>
      </w:r>
    </w:p>
    <w:p w:rsidR="00EC63C1" w:rsidRPr="00C93F13" w:rsidRDefault="00EC63C1" w:rsidP="00EC63C1">
      <w:pPr>
        <w:spacing w:line="480" w:lineRule="auto"/>
        <w:ind w:left="720"/>
        <w:jc w:val="both"/>
        <w:rPr>
          <w:noProof w:val="0"/>
          <w:lang w:val="en-US"/>
        </w:rPr>
      </w:pPr>
      <w:r w:rsidRPr="00C93F13">
        <w:rPr>
          <w:noProof w:val="0"/>
          <w:lang w:val="en-US"/>
        </w:rPr>
        <w:t>Data diperoleh dengan mempelajari dan menelaah putusan pengadilan yang relevan, termasuk pertimbangan hukum yang digunakan hakim dalam memutus perkara terkait pelaksanaan unjuk rasa.</w:t>
      </w:r>
    </w:p>
    <w:p w:rsidR="00EC63C1" w:rsidRPr="00C93F13" w:rsidRDefault="00EC63C1" w:rsidP="00EC63C1">
      <w:pPr>
        <w:numPr>
          <w:ilvl w:val="0"/>
          <w:numId w:val="12"/>
        </w:numPr>
        <w:spacing w:line="480" w:lineRule="auto"/>
        <w:jc w:val="both"/>
        <w:rPr>
          <w:noProof w:val="0"/>
          <w:lang w:val="en-US"/>
        </w:rPr>
      </w:pPr>
      <w:r w:rsidRPr="00C93F13">
        <w:rPr>
          <w:bCs/>
          <w:noProof w:val="0"/>
          <w:lang w:val="en-US"/>
        </w:rPr>
        <w:t>Dokumentasi</w:t>
      </w:r>
      <w:r w:rsidRPr="00C93F13">
        <w:rPr>
          <w:noProof w:val="0"/>
          <w:lang w:val="en-US"/>
        </w:rPr>
        <w:br/>
        <w:t>Mengumpulkan dokumen-dokumen resmi, seperti laporan tahunan kepolisian, laporan pelaksanaan unjuk rasa, dan data dari instansi terkait. Dokumentasi ini digunakan sebagai pendukung dalam menggambarkan fakta yang relevan dengan penelitian.</w:t>
      </w:r>
    </w:p>
    <w:p w:rsidR="00EC63C1" w:rsidRPr="004E3485" w:rsidRDefault="00EC63C1" w:rsidP="00EC63C1">
      <w:pPr>
        <w:pStyle w:val="Heading2"/>
        <w:spacing w:before="0" w:line="480" w:lineRule="auto"/>
        <w:jc w:val="both"/>
        <w:rPr>
          <w:rFonts w:ascii="Times New Roman" w:hAnsi="Times New Roman"/>
          <w:color w:val="0D0D0D"/>
          <w:sz w:val="24"/>
          <w:szCs w:val="24"/>
        </w:rPr>
      </w:pPr>
      <w:bookmarkStart w:id="6" w:name="_Toc201351807"/>
      <w:r w:rsidRPr="004E3485">
        <w:rPr>
          <w:rFonts w:ascii="Times New Roman" w:hAnsi="Times New Roman"/>
          <w:color w:val="0D0D0D"/>
          <w:sz w:val="24"/>
          <w:szCs w:val="24"/>
        </w:rPr>
        <w:t>E.  </w:t>
      </w:r>
      <w:r w:rsidRPr="004E3485">
        <w:rPr>
          <w:rFonts w:ascii="Times New Roman" w:hAnsi="Times New Roman"/>
          <w:color w:val="0D0D0D"/>
          <w:sz w:val="24"/>
          <w:szCs w:val="24"/>
          <w:lang w:val="en-US"/>
        </w:rPr>
        <w:tab/>
      </w:r>
      <w:r w:rsidRPr="004E3485">
        <w:rPr>
          <w:rFonts w:ascii="Times New Roman" w:hAnsi="Times New Roman"/>
          <w:color w:val="0D0D0D"/>
          <w:sz w:val="24"/>
          <w:szCs w:val="24"/>
        </w:rPr>
        <w:t>Teknik  Analisis Data</w:t>
      </w:r>
      <w:bookmarkEnd w:id="6"/>
    </w:p>
    <w:p w:rsidR="00D77426" w:rsidRPr="00EC63C1" w:rsidRDefault="00EC63C1" w:rsidP="00EC63C1">
      <w:r w:rsidRPr="004E3485">
        <w:tab/>
      </w:r>
      <w:r w:rsidRPr="00FB5E02">
        <w:t xml:space="preserve">Analisis data yang digunakan dalam penelitian hukum ini menggunakan cara analisis kualitatif. Pendekatan kualitatif adalah pendekatan yang membahas mengenai cara-cara menganalisis terhadap data yang dikumpulkan dilakukan dengan cara-cara atau analisis atau penafsiran hukum yang dikenal, sebagai penafsiran otentik, penafsiran menurut tata bahasa (gramatikal), penafsian berdasarkan sejarah perundang-undangan, penafsiran sistematis, penafsiran sosiologi, penafsiran teleologis, ataupun penafsiran fungsional </w:t>
      </w:r>
      <w:r w:rsidRPr="00FB5E02">
        <w:rPr>
          <w:rStyle w:val="FootnoteReference"/>
        </w:rPr>
        <w:footnoteReference w:id="3"/>
      </w:r>
      <w:bookmarkStart w:id="7" w:name="_GoBack"/>
      <w:bookmarkEnd w:id="7"/>
    </w:p>
    <w:sectPr w:rsidR="00D77426" w:rsidRPr="00EC63C1" w:rsidSect="0014761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DBF" w:rsidRDefault="004F1DBF" w:rsidP="00787992">
      <w:r>
        <w:separator/>
      </w:r>
    </w:p>
  </w:endnote>
  <w:endnote w:type="continuationSeparator" w:id="1">
    <w:p w:rsidR="004F1DBF" w:rsidRDefault="004F1DBF" w:rsidP="00787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431" w:rsidRDefault="00CB34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B9" w:rsidRDefault="00460257">
    <w:pPr>
      <w:pStyle w:val="Footer"/>
      <w:jc w:val="center"/>
    </w:pPr>
    <w:r>
      <w:fldChar w:fldCharType="begin"/>
    </w:r>
    <w:r w:rsidR="003C608D">
      <w:instrText xml:space="preserve"> PAGE   \* MERGEFORMAT </w:instrText>
    </w:r>
    <w:r>
      <w:fldChar w:fldCharType="separate"/>
    </w:r>
    <w:r w:rsidR="00CB3431">
      <w:t>4</w:t>
    </w:r>
    <w:r>
      <w:fldChar w:fldCharType="end"/>
    </w:r>
  </w:p>
  <w:p w:rsidR="00D82CB9" w:rsidRDefault="004F1D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B9" w:rsidRDefault="00460257">
    <w:pPr>
      <w:pStyle w:val="Footer"/>
      <w:jc w:val="center"/>
    </w:pPr>
    <w:r>
      <w:rPr>
        <w:noProof w:val="0"/>
      </w:rPr>
      <w:fldChar w:fldCharType="begin"/>
    </w:r>
    <w:r w:rsidR="003C608D">
      <w:instrText xml:space="preserve"> PAGE   \* MERGEFORMAT </w:instrText>
    </w:r>
    <w:r>
      <w:rPr>
        <w:noProof w:val="0"/>
      </w:rPr>
      <w:fldChar w:fldCharType="separate"/>
    </w:r>
    <w:r w:rsidR="00147613">
      <w:t>i</w:t>
    </w:r>
    <w:r>
      <w:fldChar w:fldCharType="end"/>
    </w:r>
  </w:p>
  <w:p w:rsidR="00D82CB9" w:rsidRDefault="004F1D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DBF" w:rsidRDefault="004F1DBF" w:rsidP="00787992">
      <w:r>
        <w:separator/>
      </w:r>
    </w:p>
  </w:footnote>
  <w:footnote w:type="continuationSeparator" w:id="1">
    <w:p w:rsidR="004F1DBF" w:rsidRDefault="004F1DBF" w:rsidP="00787992">
      <w:r>
        <w:continuationSeparator/>
      </w:r>
    </w:p>
  </w:footnote>
  <w:footnote w:id="2">
    <w:p w:rsidR="00EC63C1" w:rsidRDefault="00EC63C1" w:rsidP="00EC63C1">
      <w:pPr>
        <w:pStyle w:val="FootnoteText"/>
        <w:ind w:left="284" w:hanging="284"/>
      </w:pPr>
      <w:r>
        <w:rPr>
          <w:rStyle w:val="FootnoteReference"/>
        </w:rPr>
        <w:footnoteRef/>
      </w:r>
      <w:r>
        <w:rPr>
          <w:lang w:val="en-US"/>
        </w:rPr>
        <w:tab/>
      </w:r>
      <w:r w:rsidRPr="004128D0">
        <w:t xml:space="preserve">Arikunto, Suharsimi. </w:t>
      </w:r>
      <w:r w:rsidRPr="003B448B">
        <w:rPr>
          <w:i/>
        </w:rPr>
        <w:t>Prosedur Penelitian Suatu Pendekatan Praktik</w:t>
      </w:r>
      <w:r>
        <w:rPr>
          <w:i/>
          <w:lang w:val="en-US"/>
        </w:rPr>
        <w:t>,</w:t>
      </w:r>
      <w:r>
        <w:t xml:space="preserve"> Edisi Revisi</w:t>
      </w:r>
      <w:r>
        <w:rPr>
          <w:lang w:val="en-US"/>
        </w:rPr>
        <w:t xml:space="preserve">. </w:t>
      </w:r>
      <w:r w:rsidRPr="004128D0">
        <w:t>Rineka Cipta</w:t>
      </w:r>
      <w:r>
        <w:rPr>
          <w:lang w:val="en-US"/>
        </w:rPr>
        <w:t xml:space="preserve">, </w:t>
      </w:r>
      <w:r>
        <w:t>Jakarta</w:t>
      </w:r>
      <w:r>
        <w:rPr>
          <w:lang w:val="en-US"/>
        </w:rPr>
        <w:t xml:space="preserve">, </w:t>
      </w:r>
      <w:r w:rsidRPr="004128D0">
        <w:t xml:space="preserve">2006. </w:t>
      </w:r>
      <w:r>
        <w:rPr>
          <w:lang w:val="en-US"/>
        </w:rPr>
        <w:t>hal. 91</w:t>
      </w:r>
      <w:r w:rsidRPr="004128D0">
        <w:t>.</w:t>
      </w:r>
    </w:p>
  </w:footnote>
  <w:footnote w:id="3">
    <w:p w:rsidR="00EC63C1" w:rsidRPr="003433A5" w:rsidRDefault="00EC63C1" w:rsidP="00EC63C1">
      <w:pPr>
        <w:pStyle w:val="FootnoteText"/>
        <w:ind w:left="284" w:hanging="284"/>
        <w:rPr>
          <w:lang w:val="en-US"/>
        </w:rPr>
      </w:pPr>
      <w:r w:rsidRPr="003433A5">
        <w:rPr>
          <w:rStyle w:val="FootnoteReference"/>
        </w:rPr>
        <w:footnoteRef/>
      </w:r>
      <w:r>
        <w:rPr>
          <w:lang w:val="en-US"/>
        </w:rPr>
        <w:tab/>
      </w:r>
      <w:r w:rsidRPr="003433A5">
        <w:t xml:space="preserve">Sunaryati Hartono, </w:t>
      </w:r>
      <w:r w:rsidRPr="003433A5">
        <w:rPr>
          <w:i/>
        </w:rPr>
        <w:t>Penelitian Hukum Di Indonesia Pada Akhir Abad Ke 20</w:t>
      </w:r>
      <w:r>
        <w:t>, Bandung</w:t>
      </w:r>
      <w:r w:rsidRPr="003433A5">
        <w:t>,1994.</w:t>
      </w:r>
      <w:r>
        <w:rPr>
          <w:lang w:val="en-US"/>
        </w:rPr>
        <w:t xml:space="preserve"> hal.118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4C" w:rsidRDefault="00460257">
    <w:pPr>
      <w:pStyle w:val="Header"/>
    </w:pPr>
    <w:r w:rsidRPr="00460257">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2797"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431" w:rsidRPr="004053D5" w:rsidRDefault="00CB3431" w:rsidP="00CB3431">
    <w:pPr>
      <w:pStyle w:val="Header"/>
      <w:jc w:val="right"/>
      <w:rPr>
        <w:lang w:val="id-ID"/>
      </w:rPr>
    </w:pPr>
    <w:r w:rsidRPr="00076BEF">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5pt;height:391.5pt;z-index:-251650048;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26/11/2025 10:37:35</w:t>
    </w:r>
  </w:p>
  <w:p w:rsidR="007B7F4C" w:rsidRDefault="00460257">
    <w:pPr>
      <w:pStyle w:val="Header"/>
    </w:pPr>
    <w:r w:rsidRPr="00460257">
      <w:rPr>
        <w:lang w:val="en-US" w:eastAsia="en-US"/>
      </w:rPr>
      <w:pict>
        <v:shape id="WordPictureWatermark4602798" o:spid="_x0000_s2054" type="#_x0000_t75" style="position:absolute;margin-left:0;margin-top:0;width:396.75pt;height:391.5pt;z-index:-251652096;mso-position-horizontal:center;mso-position-horizontal-relative:margin;mso-position-vertical:center;mso-position-vertical-relative:margin" o:allowincell="f">
          <v:imagedata r:id="rId2" o:title="image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4C" w:rsidRDefault="00460257">
    <w:pPr>
      <w:pStyle w:val="Header"/>
    </w:pPr>
    <w:r w:rsidRPr="00460257">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2796"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1A85"/>
    <w:multiLevelType w:val="multilevel"/>
    <w:tmpl w:val="1660B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76601A3"/>
    <w:multiLevelType w:val="multilevel"/>
    <w:tmpl w:val="11C06374"/>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6D082E"/>
    <w:multiLevelType w:val="multilevel"/>
    <w:tmpl w:val="06AC35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013BEA"/>
    <w:multiLevelType w:val="hybridMultilevel"/>
    <w:tmpl w:val="1712525E"/>
    <w:lvl w:ilvl="0" w:tplc="04090019">
      <w:start w:val="1"/>
      <w:numFmt w:val="lowerLetter"/>
      <w:lvlText w:val="%1."/>
      <w:lvlJc w:val="left"/>
      <w:pPr>
        <w:ind w:left="720" w:hanging="360"/>
      </w:pPr>
      <w:rPr>
        <w:rFonts w:hint="default"/>
      </w:rPr>
    </w:lvl>
    <w:lvl w:ilvl="1" w:tplc="217AC146">
      <w:start w:val="3"/>
      <w:numFmt w:val="bullet"/>
      <w:lvlText w:val="-"/>
      <w:lvlJc w:val="left"/>
      <w:pPr>
        <w:ind w:left="1440" w:hanging="360"/>
      </w:pPr>
      <w:rPr>
        <w:rFonts w:ascii="Times New Roman" w:eastAsia="Times New Roman" w:hAnsi="Times New Roman" w:hint="default"/>
      </w:rPr>
    </w:lvl>
    <w:lvl w:ilvl="2" w:tplc="EBDE2B40">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3074160C"/>
    <w:multiLevelType w:val="hybridMultilevel"/>
    <w:tmpl w:val="0A001224"/>
    <w:lvl w:ilvl="0" w:tplc="1C544650">
      <w:start w:val="1"/>
      <w:numFmt w:val="decimal"/>
      <w:lvlText w:val="%1."/>
      <w:lvlJc w:val="left"/>
      <w:pPr>
        <w:ind w:left="2377" w:hanging="288"/>
      </w:pPr>
      <w:rPr>
        <w:rFonts w:ascii="Times New Roman" w:eastAsia="Times New Roman"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84968"/>
    <w:multiLevelType w:val="multilevel"/>
    <w:tmpl w:val="65C0D3E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9A52CF"/>
    <w:multiLevelType w:val="hybridMultilevel"/>
    <w:tmpl w:val="0FC673BE"/>
    <w:lvl w:ilvl="0" w:tplc="04210015">
      <w:start w:val="1"/>
      <w:numFmt w:val="upperLetter"/>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26F3655"/>
    <w:multiLevelType w:val="multilevel"/>
    <w:tmpl w:val="2DA0DB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BD2728"/>
    <w:multiLevelType w:val="hybridMultilevel"/>
    <w:tmpl w:val="CD7E1090"/>
    <w:lvl w:ilvl="0" w:tplc="0409000F">
      <w:start w:val="1"/>
      <w:numFmt w:val="decimal"/>
      <w:lvlText w:val="%1."/>
      <w:lvlJc w:val="left"/>
      <w:pPr>
        <w:ind w:left="720" w:hanging="360"/>
      </w:pPr>
    </w:lvl>
    <w:lvl w:ilvl="1" w:tplc="DA48B92A">
      <w:start w:val="1"/>
      <w:numFmt w:val="lowerLetter"/>
      <w:lvlText w:val="%2."/>
      <w:lvlJc w:val="left"/>
      <w:pPr>
        <w:ind w:left="1440" w:hanging="360"/>
      </w:pPr>
      <w:rPr>
        <w:rFonts w:hint="default"/>
        <w:color w:val="00000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1C2D1A"/>
    <w:multiLevelType w:val="multilevel"/>
    <w:tmpl w:val="E8C46C7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6644D2"/>
    <w:multiLevelType w:val="multilevel"/>
    <w:tmpl w:val="CCC2B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944B4A"/>
    <w:multiLevelType w:val="hybridMultilevel"/>
    <w:tmpl w:val="33A0F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D4297E"/>
    <w:multiLevelType w:val="hybridMultilevel"/>
    <w:tmpl w:val="2A7C5D6C"/>
    <w:lvl w:ilvl="0" w:tplc="04090019">
      <w:start w:val="1"/>
      <w:numFmt w:val="lowerLetter"/>
      <w:lvlText w:val="%1."/>
      <w:lvlJc w:val="left"/>
      <w:pPr>
        <w:ind w:left="720" w:hanging="360"/>
      </w:pPr>
      <w:rPr>
        <w:rFonts w:cs="Times New Roman" w:hint="default"/>
      </w:rPr>
    </w:lvl>
    <w:lvl w:ilvl="1" w:tplc="0409000F">
      <w:start w:val="1"/>
      <w:numFmt w:val="decimal"/>
      <w:lvlText w:val="%2."/>
      <w:lvlJc w:val="left"/>
      <w:pPr>
        <w:ind w:left="1440" w:hanging="360"/>
      </w:pPr>
      <w:rPr>
        <w:rFonts w:hint="default"/>
      </w:rPr>
    </w:lvl>
    <w:lvl w:ilvl="2" w:tplc="EBDE2B40">
      <w:start w:val="1"/>
      <w:numFmt w:val="lowerLetter"/>
      <w:lvlText w:val="%3."/>
      <w:lvlJc w:val="left"/>
      <w:pPr>
        <w:ind w:left="2340" w:hanging="360"/>
      </w:pPr>
      <w:rPr>
        <w:rFonts w:cs="Times New Roman" w:hint="default"/>
      </w:rPr>
    </w:lvl>
    <w:lvl w:ilvl="3" w:tplc="94D2E20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A4D3F3D"/>
    <w:multiLevelType w:val="multilevel"/>
    <w:tmpl w:val="80A6B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6"/>
  </w:num>
  <w:num w:numId="4">
    <w:abstractNumId w:val="13"/>
  </w:num>
  <w:num w:numId="5">
    <w:abstractNumId w:val="15"/>
  </w:num>
  <w:num w:numId="6">
    <w:abstractNumId w:val="12"/>
  </w:num>
  <w:num w:numId="7">
    <w:abstractNumId w:val="9"/>
  </w:num>
  <w:num w:numId="8">
    <w:abstractNumId w:val="0"/>
  </w:num>
  <w:num w:numId="9">
    <w:abstractNumId w:val="10"/>
  </w:num>
  <w:num w:numId="10">
    <w:abstractNumId w:val="2"/>
  </w:num>
  <w:num w:numId="11">
    <w:abstractNumId w:val="8"/>
  </w:num>
  <w:num w:numId="12">
    <w:abstractNumId w:val="4"/>
  </w:num>
  <w:num w:numId="13">
    <w:abstractNumId w:val="7"/>
  </w:num>
  <w:num w:numId="14">
    <w:abstractNumId w:val="11"/>
  </w:num>
  <w:num w:numId="15">
    <w:abstractNumId w:val="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1hiG1R0ebiFyCEbxCxF9eeTNju8=" w:salt="ZdjziGdGx9Z59OQtnnnZl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47613"/>
    <w:rsid w:val="00147613"/>
    <w:rsid w:val="003C608D"/>
    <w:rsid w:val="00460257"/>
    <w:rsid w:val="004F1DBF"/>
    <w:rsid w:val="00686850"/>
    <w:rsid w:val="00787992"/>
    <w:rsid w:val="007B4407"/>
    <w:rsid w:val="00907774"/>
    <w:rsid w:val="0098695C"/>
    <w:rsid w:val="00CB3431"/>
    <w:rsid w:val="00EC63C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13"/>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907774"/>
    <w:pPr>
      <w:keepNext/>
      <w:keepLines/>
      <w:spacing w:before="480" w:line="259" w:lineRule="auto"/>
      <w:outlineLvl w:val="0"/>
    </w:pPr>
    <w:rPr>
      <w:rFonts w:ascii="Calibri Light" w:hAnsi="Calibri Light"/>
      <w:b/>
      <w:bCs/>
      <w:noProof w:val="0"/>
      <w:color w:val="2E74B5"/>
      <w:sz w:val="28"/>
      <w:szCs w:val="28"/>
      <w:lang/>
    </w:rPr>
  </w:style>
  <w:style w:type="paragraph" w:styleId="Heading2">
    <w:name w:val="heading 2"/>
    <w:basedOn w:val="Normal"/>
    <w:next w:val="Normal"/>
    <w:link w:val="Heading2Char"/>
    <w:uiPriority w:val="9"/>
    <w:semiHidden/>
    <w:unhideWhenUsed/>
    <w:qFormat/>
    <w:rsid w:val="007879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7613"/>
    <w:pPr>
      <w:tabs>
        <w:tab w:val="center" w:pos="4513"/>
        <w:tab w:val="right" w:pos="9026"/>
      </w:tabs>
    </w:pPr>
    <w:rPr>
      <w:sz w:val="20"/>
      <w:szCs w:val="20"/>
      <w:lang/>
    </w:rPr>
  </w:style>
  <w:style w:type="character" w:customStyle="1" w:styleId="FooterChar">
    <w:name w:val="Footer Char"/>
    <w:basedOn w:val="DefaultParagraphFont"/>
    <w:link w:val="Footer"/>
    <w:uiPriority w:val="99"/>
    <w:rsid w:val="00147613"/>
    <w:rPr>
      <w:rFonts w:ascii="Times New Roman" w:eastAsia="Times New Roman" w:hAnsi="Times New Roman" w:cs="Times New Roman"/>
      <w:noProof/>
      <w:sz w:val="20"/>
      <w:szCs w:val="20"/>
      <w:lang/>
    </w:rPr>
  </w:style>
  <w:style w:type="character" w:styleId="PageNumber">
    <w:name w:val="page number"/>
    <w:uiPriority w:val="99"/>
    <w:semiHidden/>
    <w:unhideWhenUsed/>
    <w:rsid w:val="00147613"/>
    <w:rPr>
      <w:rFonts w:cs="Times New Roman"/>
    </w:rPr>
  </w:style>
  <w:style w:type="paragraph" w:styleId="Header">
    <w:name w:val="header"/>
    <w:basedOn w:val="Normal"/>
    <w:link w:val="HeaderChar"/>
    <w:uiPriority w:val="99"/>
    <w:unhideWhenUsed/>
    <w:rsid w:val="00147613"/>
    <w:pPr>
      <w:tabs>
        <w:tab w:val="center" w:pos="4513"/>
        <w:tab w:val="right" w:pos="9026"/>
      </w:tabs>
    </w:pPr>
    <w:rPr>
      <w:sz w:val="20"/>
      <w:szCs w:val="20"/>
      <w:lang/>
    </w:rPr>
  </w:style>
  <w:style w:type="character" w:customStyle="1" w:styleId="HeaderChar">
    <w:name w:val="Header Char"/>
    <w:basedOn w:val="DefaultParagraphFont"/>
    <w:link w:val="Header"/>
    <w:uiPriority w:val="99"/>
    <w:rsid w:val="00147613"/>
    <w:rPr>
      <w:rFonts w:ascii="Times New Roman" w:eastAsia="Times New Roman" w:hAnsi="Times New Roman" w:cs="Times New Roman"/>
      <w:noProof/>
      <w:sz w:val="20"/>
      <w:szCs w:val="20"/>
      <w:lang/>
    </w:rPr>
  </w:style>
  <w:style w:type="character" w:customStyle="1" w:styleId="Heading1Char">
    <w:name w:val="Heading 1 Char"/>
    <w:basedOn w:val="DefaultParagraphFont"/>
    <w:link w:val="Heading1"/>
    <w:uiPriority w:val="1"/>
    <w:rsid w:val="00907774"/>
    <w:rPr>
      <w:rFonts w:ascii="Calibri Light" w:eastAsia="Times New Roman" w:hAnsi="Calibri Light" w:cs="Times New Roman"/>
      <w:b/>
      <w:bCs/>
      <w:color w:val="2E74B5"/>
      <w:sz w:val="28"/>
      <w:szCs w:val="28"/>
      <w:lang/>
    </w:rPr>
  </w:style>
  <w:style w:type="character" w:styleId="Strong">
    <w:name w:val="Strong"/>
    <w:uiPriority w:val="22"/>
    <w:qFormat/>
    <w:rsid w:val="00907774"/>
    <w:rPr>
      <w:b/>
      <w:bCs/>
    </w:rPr>
  </w:style>
  <w:style w:type="paragraph" w:customStyle="1" w:styleId="whitespace-normal">
    <w:name w:val="whitespace-normal"/>
    <w:basedOn w:val="Normal"/>
    <w:rsid w:val="00907774"/>
    <w:pPr>
      <w:spacing w:before="100" w:beforeAutospacing="1" w:after="100" w:afterAutospacing="1"/>
    </w:pPr>
    <w:rPr>
      <w:noProof w:val="0"/>
      <w:lang w:val="en-US"/>
    </w:rPr>
  </w:style>
  <w:style w:type="paragraph" w:styleId="ListParagraph">
    <w:name w:val="List Paragraph"/>
    <w:aliases w:val="Body of text"/>
    <w:basedOn w:val="Normal"/>
    <w:link w:val="ListParagraphChar"/>
    <w:uiPriority w:val="34"/>
    <w:qFormat/>
    <w:rsid w:val="0098695C"/>
    <w:pPr>
      <w:ind w:left="720"/>
      <w:contextualSpacing/>
    </w:pPr>
    <w:rPr>
      <w:sz w:val="20"/>
      <w:szCs w:val="20"/>
      <w:lang/>
    </w:rPr>
  </w:style>
  <w:style w:type="character" w:styleId="Hyperlink">
    <w:name w:val="Hyperlink"/>
    <w:uiPriority w:val="99"/>
    <w:unhideWhenUsed/>
    <w:rsid w:val="0098695C"/>
    <w:rPr>
      <w:rFonts w:cs="Times New Roman"/>
      <w:color w:val="0000FF"/>
      <w:u w:val="single"/>
    </w:rPr>
  </w:style>
  <w:style w:type="character" w:customStyle="1" w:styleId="ListParagraphChar">
    <w:name w:val="List Paragraph Char"/>
    <w:aliases w:val="Body of text Char"/>
    <w:link w:val="ListParagraph"/>
    <w:uiPriority w:val="34"/>
    <w:locked/>
    <w:rsid w:val="0098695C"/>
    <w:rPr>
      <w:rFonts w:ascii="Times New Roman" w:eastAsia="Times New Roman" w:hAnsi="Times New Roman" w:cs="Times New Roman"/>
      <w:noProof/>
      <w:sz w:val="20"/>
      <w:szCs w:val="20"/>
      <w:lang/>
    </w:rPr>
  </w:style>
  <w:style w:type="paragraph" w:styleId="TOCHeading">
    <w:name w:val="TOC Heading"/>
    <w:basedOn w:val="Heading1"/>
    <w:next w:val="Normal"/>
    <w:uiPriority w:val="39"/>
    <w:semiHidden/>
    <w:unhideWhenUsed/>
    <w:qFormat/>
    <w:rsid w:val="0098695C"/>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98695C"/>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qFormat/>
    <w:rsid w:val="0098695C"/>
    <w:pPr>
      <w:tabs>
        <w:tab w:val="left" w:pos="880"/>
        <w:tab w:val="right" w:leader="dot" w:pos="7927"/>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98695C"/>
    <w:rPr>
      <w:rFonts w:ascii="Tahoma" w:hAnsi="Tahoma" w:cs="Tahoma"/>
      <w:sz w:val="16"/>
      <w:szCs w:val="16"/>
    </w:rPr>
  </w:style>
  <w:style w:type="character" w:customStyle="1" w:styleId="BalloonTextChar">
    <w:name w:val="Balloon Text Char"/>
    <w:basedOn w:val="DefaultParagraphFont"/>
    <w:link w:val="BalloonText"/>
    <w:uiPriority w:val="99"/>
    <w:semiHidden/>
    <w:rsid w:val="0098695C"/>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787992"/>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787992"/>
    <w:rPr>
      <w:sz w:val="20"/>
      <w:szCs w:val="20"/>
      <w:lang/>
    </w:rPr>
  </w:style>
  <w:style w:type="character" w:customStyle="1" w:styleId="FootnoteTextChar">
    <w:name w:val="Footnote Text Char"/>
    <w:basedOn w:val="DefaultParagraphFont"/>
    <w:link w:val="FootnoteText"/>
    <w:uiPriority w:val="99"/>
    <w:rsid w:val="00787992"/>
    <w:rPr>
      <w:rFonts w:ascii="Times New Roman" w:eastAsia="Times New Roman" w:hAnsi="Times New Roman" w:cs="Times New Roman"/>
      <w:noProof/>
      <w:sz w:val="20"/>
      <w:szCs w:val="20"/>
      <w:lang/>
    </w:rPr>
  </w:style>
  <w:style w:type="character" w:styleId="FootnoteReference">
    <w:name w:val="footnote reference"/>
    <w:uiPriority w:val="99"/>
    <w:unhideWhenUsed/>
    <w:rsid w:val="00787992"/>
    <w:rPr>
      <w:rFonts w:cs="Times New Roman"/>
      <w:vertAlign w:val="superscript"/>
    </w:rPr>
  </w:style>
  <w:style w:type="character" w:customStyle="1" w:styleId="Bodytext">
    <w:name w:val="Body text_"/>
    <w:link w:val="Bodytext0"/>
    <w:locked/>
    <w:rsid w:val="00787992"/>
  </w:style>
  <w:style w:type="paragraph" w:customStyle="1" w:styleId="Bodytext0">
    <w:name w:val="Body text"/>
    <w:basedOn w:val="Normal"/>
    <w:link w:val="Bodytext"/>
    <w:qFormat/>
    <w:rsid w:val="00787992"/>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Footnote">
    <w:name w:val="Footnote_"/>
    <w:link w:val="Footnote0"/>
    <w:locked/>
    <w:rsid w:val="007B4407"/>
    <w:rPr>
      <w:rFonts w:cs="Times New Roman"/>
      <w:sz w:val="20"/>
      <w:szCs w:val="20"/>
    </w:rPr>
  </w:style>
  <w:style w:type="paragraph" w:customStyle="1" w:styleId="Footnote0">
    <w:name w:val="Footnote"/>
    <w:basedOn w:val="Normal"/>
    <w:link w:val="Footnote"/>
    <w:rsid w:val="007B4407"/>
    <w:pPr>
      <w:widowControl w:val="0"/>
    </w:pPr>
    <w:rPr>
      <w:rFonts w:asciiTheme="minorHAnsi" w:eastAsiaTheme="minorHAnsi" w:hAnsiTheme="minorHAnsi"/>
      <w:noProof w:val="0"/>
      <w:sz w:val="20"/>
      <w:szCs w:val="20"/>
      <w:lang w:val="en-US"/>
    </w:rPr>
  </w:style>
  <w:style w:type="paragraph" w:styleId="BodyText1">
    <w:name w:val="Body Text"/>
    <w:basedOn w:val="Normal"/>
    <w:link w:val="BodyTextChar"/>
    <w:uiPriority w:val="1"/>
    <w:qFormat/>
    <w:rsid w:val="007B4407"/>
    <w:pPr>
      <w:widowControl w:val="0"/>
      <w:spacing w:after="240" w:line="480" w:lineRule="auto"/>
    </w:pPr>
    <w:rPr>
      <w:sz w:val="20"/>
      <w:szCs w:val="20"/>
      <w:lang/>
    </w:rPr>
  </w:style>
  <w:style w:type="character" w:customStyle="1" w:styleId="BodyTextChar">
    <w:name w:val="Body Text Char"/>
    <w:basedOn w:val="DefaultParagraphFont"/>
    <w:link w:val="BodyText1"/>
    <w:uiPriority w:val="1"/>
    <w:rsid w:val="007B4407"/>
    <w:rPr>
      <w:rFonts w:ascii="Times New Roman" w:eastAsia="Times New Roman" w:hAnsi="Times New Roman" w:cs="Times New Roman"/>
      <w:noProof/>
      <w:sz w:val="20"/>
      <w:szCs w:val="20"/>
      <w:lang/>
    </w:rPr>
  </w:style>
  <w:style w:type="paragraph" w:styleId="NormalWeb">
    <w:name w:val="Normal (Web)"/>
    <w:basedOn w:val="Normal"/>
    <w:uiPriority w:val="99"/>
    <w:unhideWhenUsed/>
    <w:rsid w:val="00EC63C1"/>
    <w:pPr>
      <w:spacing w:before="100" w:beforeAutospacing="1" w:after="100" w:afterAutospacing="1"/>
    </w:pPr>
    <w:rPr>
      <w:noProof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13"/>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907774"/>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semiHidden/>
    <w:unhideWhenUsed/>
    <w:qFormat/>
    <w:rsid w:val="007879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7613"/>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147613"/>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147613"/>
    <w:rPr>
      <w:rFonts w:cs="Times New Roman"/>
    </w:rPr>
  </w:style>
  <w:style w:type="paragraph" w:styleId="Header">
    <w:name w:val="header"/>
    <w:basedOn w:val="Normal"/>
    <w:link w:val="HeaderChar"/>
    <w:uiPriority w:val="99"/>
    <w:unhideWhenUsed/>
    <w:rsid w:val="00147613"/>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147613"/>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907774"/>
    <w:rPr>
      <w:rFonts w:ascii="Calibri Light" w:eastAsia="Times New Roman" w:hAnsi="Calibri Light" w:cs="Times New Roman"/>
      <w:b/>
      <w:bCs/>
      <w:color w:val="2E74B5"/>
      <w:sz w:val="28"/>
      <w:szCs w:val="28"/>
      <w:lang w:val="x-none" w:eastAsia="x-none"/>
    </w:rPr>
  </w:style>
  <w:style w:type="character" w:styleId="Strong">
    <w:name w:val="Strong"/>
    <w:uiPriority w:val="22"/>
    <w:qFormat/>
    <w:rsid w:val="00907774"/>
    <w:rPr>
      <w:b/>
      <w:bCs/>
    </w:rPr>
  </w:style>
  <w:style w:type="paragraph" w:customStyle="1" w:styleId="whitespace-normal">
    <w:name w:val="whitespace-normal"/>
    <w:basedOn w:val="Normal"/>
    <w:rsid w:val="00907774"/>
    <w:pPr>
      <w:spacing w:before="100" w:beforeAutospacing="1" w:after="100" w:afterAutospacing="1"/>
    </w:pPr>
    <w:rPr>
      <w:noProof w:val="0"/>
      <w:lang w:val="en-US"/>
    </w:rPr>
  </w:style>
  <w:style w:type="paragraph" w:styleId="ListParagraph">
    <w:name w:val="List Paragraph"/>
    <w:aliases w:val="Body of text"/>
    <w:basedOn w:val="Normal"/>
    <w:link w:val="ListParagraphChar"/>
    <w:uiPriority w:val="34"/>
    <w:qFormat/>
    <w:rsid w:val="0098695C"/>
    <w:pPr>
      <w:ind w:left="720"/>
      <w:contextualSpacing/>
    </w:pPr>
    <w:rPr>
      <w:sz w:val="20"/>
      <w:szCs w:val="20"/>
      <w:lang w:val="x-none" w:eastAsia="x-none"/>
    </w:rPr>
  </w:style>
  <w:style w:type="character" w:styleId="Hyperlink">
    <w:name w:val="Hyperlink"/>
    <w:uiPriority w:val="99"/>
    <w:unhideWhenUsed/>
    <w:rsid w:val="0098695C"/>
    <w:rPr>
      <w:rFonts w:cs="Times New Roman"/>
      <w:color w:val="0000FF"/>
      <w:u w:val="single"/>
    </w:rPr>
  </w:style>
  <w:style w:type="character" w:customStyle="1" w:styleId="ListParagraphChar">
    <w:name w:val="List Paragraph Char"/>
    <w:aliases w:val="Body of text Char"/>
    <w:link w:val="ListParagraph"/>
    <w:uiPriority w:val="34"/>
    <w:locked/>
    <w:rsid w:val="0098695C"/>
    <w:rPr>
      <w:rFonts w:ascii="Times New Roman" w:eastAsia="Times New Roman" w:hAnsi="Times New Roman" w:cs="Times New Roman"/>
      <w:noProof/>
      <w:sz w:val="20"/>
      <w:szCs w:val="20"/>
      <w:lang w:val="x-none" w:eastAsia="x-none"/>
    </w:rPr>
  </w:style>
  <w:style w:type="paragraph" w:styleId="TOCHeading">
    <w:name w:val="TOC Heading"/>
    <w:basedOn w:val="Heading1"/>
    <w:next w:val="Normal"/>
    <w:uiPriority w:val="39"/>
    <w:semiHidden/>
    <w:unhideWhenUsed/>
    <w:qFormat/>
    <w:rsid w:val="0098695C"/>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98695C"/>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qFormat/>
    <w:rsid w:val="0098695C"/>
    <w:pPr>
      <w:tabs>
        <w:tab w:val="left" w:pos="880"/>
        <w:tab w:val="right" w:leader="dot" w:pos="7927"/>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98695C"/>
    <w:rPr>
      <w:rFonts w:ascii="Tahoma" w:hAnsi="Tahoma" w:cs="Tahoma"/>
      <w:sz w:val="16"/>
      <w:szCs w:val="16"/>
    </w:rPr>
  </w:style>
  <w:style w:type="character" w:customStyle="1" w:styleId="BalloonTextChar">
    <w:name w:val="Balloon Text Char"/>
    <w:basedOn w:val="DefaultParagraphFont"/>
    <w:link w:val="BalloonText"/>
    <w:uiPriority w:val="99"/>
    <w:semiHidden/>
    <w:rsid w:val="0098695C"/>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787992"/>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787992"/>
    <w:rPr>
      <w:sz w:val="20"/>
      <w:szCs w:val="20"/>
      <w:lang w:val="x-none" w:eastAsia="x-none"/>
    </w:rPr>
  </w:style>
  <w:style w:type="character" w:customStyle="1" w:styleId="FootnoteTextChar">
    <w:name w:val="Footnote Text Char"/>
    <w:basedOn w:val="DefaultParagraphFont"/>
    <w:link w:val="FootnoteText"/>
    <w:uiPriority w:val="99"/>
    <w:rsid w:val="00787992"/>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787992"/>
    <w:rPr>
      <w:rFonts w:cs="Times New Roman"/>
      <w:vertAlign w:val="superscript"/>
    </w:rPr>
  </w:style>
  <w:style w:type="character" w:customStyle="1" w:styleId="Bodytext">
    <w:name w:val="Body text_"/>
    <w:link w:val="Bodytext0"/>
    <w:locked/>
    <w:rsid w:val="00787992"/>
  </w:style>
  <w:style w:type="paragraph" w:customStyle="1" w:styleId="Bodytext0">
    <w:name w:val="Body text"/>
    <w:basedOn w:val="Normal"/>
    <w:link w:val="Bodytext"/>
    <w:qFormat/>
    <w:rsid w:val="00787992"/>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Footnote">
    <w:name w:val="Footnote_"/>
    <w:link w:val="Footnote0"/>
    <w:locked/>
    <w:rsid w:val="007B4407"/>
    <w:rPr>
      <w:rFonts w:cs="Times New Roman"/>
      <w:sz w:val="20"/>
      <w:szCs w:val="20"/>
    </w:rPr>
  </w:style>
  <w:style w:type="paragraph" w:customStyle="1" w:styleId="Footnote0">
    <w:name w:val="Footnote"/>
    <w:basedOn w:val="Normal"/>
    <w:link w:val="Footnote"/>
    <w:rsid w:val="007B4407"/>
    <w:pPr>
      <w:widowControl w:val="0"/>
    </w:pPr>
    <w:rPr>
      <w:rFonts w:asciiTheme="minorHAnsi" w:eastAsiaTheme="minorHAnsi" w:hAnsiTheme="minorHAnsi"/>
      <w:noProof w:val="0"/>
      <w:sz w:val="20"/>
      <w:szCs w:val="20"/>
      <w:lang w:val="en-US"/>
    </w:rPr>
  </w:style>
  <w:style w:type="paragraph" w:styleId="BodyText1">
    <w:name w:val="Body Text"/>
    <w:basedOn w:val="Normal"/>
    <w:link w:val="BodyTextChar"/>
    <w:uiPriority w:val="1"/>
    <w:qFormat/>
    <w:rsid w:val="007B4407"/>
    <w:pPr>
      <w:widowControl w:val="0"/>
      <w:spacing w:after="240" w:line="480" w:lineRule="auto"/>
    </w:pPr>
    <w:rPr>
      <w:sz w:val="20"/>
      <w:szCs w:val="20"/>
      <w:lang w:val="x-none" w:eastAsia="x-none"/>
    </w:rPr>
  </w:style>
  <w:style w:type="character" w:customStyle="1" w:styleId="BodyTextChar">
    <w:name w:val="Body Text Char"/>
    <w:basedOn w:val="DefaultParagraphFont"/>
    <w:link w:val="BodyText1"/>
    <w:uiPriority w:val="1"/>
    <w:rsid w:val="007B4407"/>
    <w:rPr>
      <w:rFonts w:ascii="Times New Roman" w:eastAsia="Times New Roman" w:hAnsi="Times New Roman" w:cs="Times New Roman"/>
      <w:noProof/>
      <w:sz w:val="20"/>
      <w:szCs w:val="20"/>
      <w:lang w:val="x-none" w:eastAsia="x-none"/>
    </w:rPr>
  </w:style>
  <w:style w:type="paragraph" w:styleId="NormalWeb">
    <w:name w:val="Normal (Web)"/>
    <w:basedOn w:val="Normal"/>
    <w:uiPriority w:val="99"/>
    <w:unhideWhenUsed/>
    <w:rsid w:val="00EC63C1"/>
    <w:pPr>
      <w:spacing w:before="100" w:beforeAutospacing="1" w:after="100" w:afterAutospacing="1"/>
    </w:pPr>
    <w:rPr>
      <w:noProof w:val="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2025-11-26T03:46:00Z</dcterms:created>
  <dcterms:modified xsi:type="dcterms:W3CDTF">2025-11-26T03:46:00Z</dcterms:modified>
</cp:coreProperties>
</file>