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07" w:rsidRPr="009468F9" w:rsidRDefault="007B4407" w:rsidP="007B4407">
      <w:pPr>
        <w:pStyle w:val="Heading1"/>
        <w:spacing w:before="0" w:line="480" w:lineRule="auto"/>
        <w:contextualSpacing/>
        <w:jc w:val="center"/>
        <w:rPr>
          <w:rFonts w:ascii="Times New Roman" w:hAnsi="Times New Roman"/>
          <w:color w:val="0D0D0D"/>
          <w:sz w:val="24"/>
          <w:szCs w:val="24"/>
        </w:rPr>
      </w:pPr>
      <w:bookmarkStart w:id="0" w:name="_Toc201351794"/>
      <w:r w:rsidRPr="009468F9">
        <w:rPr>
          <w:rFonts w:ascii="Times New Roman" w:hAnsi="Times New Roman"/>
          <w:color w:val="0D0D0D"/>
          <w:sz w:val="24"/>
          <w:szCs w:val="24"/>
        </w:rPr>
        <w:t>BAB II</w:t>
      </w:r>
      <w:bookmarkEnd w:id="0"/>
    </w:p>
    <w:p w:rsidR="007B4407" w:rsidRPr="009468F9" w:rsidRDefault="007B4407" w:rsidP="007B4407">
      <w:pPr>
        <w:pStyle w:val="Heading1"/>
        <w:spacing w:before="0" w:line="480" w:lineRule="auto"/>
        <w:contextualSpacing/>
        <w:jc w:val="center"/>
        <w:rPr>
          <w:rFonts w:ascii="Times New Roman" w:hAnsi="Times New Roman"/>
          <w:color w:val="0D0D0D"/>
          <w:sz w:val="24"/>
          <w:szCs w:val="24"/>
          <w:lang w:val="en-US"/>
        </w:rPr>
      </w:pPr>
      <w:bookmarkStart w:id="1" w:name="_Toc201351795"/>
      <w:r w:rsidRPr="009468F9">
        <w:rPr>
          <w:rFonts w:ascii="Times New Roman" w:hAnsi="Times New Roman"/>
          <w:color w:val="0D0D0D"/>
          <w:sz w:val="24"/>
          <w:szCs w:val="24"/>
        </w:rPr>
        <w:t>TINJAUAN PUSTAKA</w:t>
      </w:r>
      <w:bookmarkEnd w:id="1"/>
    </w:p>
    <w:p w:rsidR="007B4407" w:rsidRPr="009468F9" w:rsidRDefault="007B4407" w:rsidP="007B4407">
      <w:pPr>
        <w:contextualSpacing/>
        <w:rPr>
          <w:lang w:val="en-US"/>
        </w:rPr>
      </w:pPr>
    </w:p>
    <w:p w:rsidR="007B4407" w:rsidRPr="009468F9" w:rsidRDefault="007B4407" w:rsidP="007B4407">
      <w:pPr>
        <w:pStyle w:val="BodyText1"/>
        <w:spacing w:after="0"/>
        <w:ind w:left="709" w:hanging="709"/>
        <w:jc w:val="both"/>
        <w:outlineLvl w:val="1"/>
        <w:rPr>
          <w:b/>
          <w:sz w:val="24"/>
          <w:szCs w:val="24"/>
        </w:rPr>
      </w:pPr>
      <w:bookmarkStart w:id="2" w:name="_Toc201351796"/>
      <w:r w:rsidRPr="009468F9">
        <w:rPr>
          <w:b/>
          <w:color w:val="000000"/>
          <w:sz w:val="24"/>
          <w:szCs w:val="24"/>
          <w:lang w:val="en-US" w:eastAsia="id-ID" w:bidi="id-ID"/>
        </w:rPr>
        <w:t xml:space="preserve">A. </w:t>
      </w:r>
      <w:r w:rsidRPr="009468F9">
        <w:rPr>
          <w:b/>
          <w:color w:val="000000"/>
          <w:sz w:val="24"/>
          <w:szCs w:val="24"/>
          <w:lang w:val="en-US" w:eastAsia="id-ID" w:bidi="id-ID"/>
        </w:rPr>
        <w:tab/>
      </w:r>
      <w:r w:rsidRPr="009468F9">
        <w:rPr>
          <w:b/>
          <w:color w:val="000000"/>
          <w:sz w:val="24"/>
          <w:szCs w:val="24"/>
          <w:lang w:val="id-ID" w:eastAsia="id-ID" w:bidi="id-ID"/>
        </w:rPr>
        <w:t>Konsep Kepolisian</w:t>
      </w:r>
      <w:bookmarkEnd w:id="2"/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Polisi merupakan alat negara yang bertugas memelihara keamanan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dan ketertiban masyarakat, memberikan pengayoman, dan memberikan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perlindungan kepada masyarakat.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"/>
      </w:r>
      <w:r w:rsidRPr="009468F9">
        <w:rPr>
          <w:color w:val="000000"/>
          <w:sz w:val="24"/>
          <w:szCs w:val="24"/>
          <w:lang w:val="id-ID" w:eastAsia="id-ID" w:bidi="id-ID"/>
        </w:rPr>
        <w:t>Apabila hukum bertujuan untuk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menciptakan ketertiban dalam masyarakat, diantaranya melawan kejahatan.</w:t>
      </w:r>
      <w:r w:rsidRPr="009468F9">
        <w:rPr>
          <w:color w:val="000000"/>
          <w:sz w:val="24"/>
          <w:szCs w:val="24"/>
          <w:lang w:val="id-ID" w:eastAsia="id-ID" w:bidi="id-ID"/>
        </w:rPr>
        <w:br/>
        <w:t>Akhirnya polisi yang akan menentukan secara konkrit apa yang disebut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sebagai penegakan ketertiban.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Kepolisian Negara Republik Indonesia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(Polri) adalah</w:t>
      </w:r>
      <w:hyperlink r:id="rId7" w:history="1">
        <w:r w:rsidRPr="009468F9">
          <w:rPr>
            <w:color w:val="000000"/>
            <w:sz w:val="24"/>
            <w:szCs w:val="24"/>
            <w:lang w:val="id-ID" w:eastAsia="id-ID" w:bidi="id-ID"/>
          </w:rPr>
          <w:t xml:space="preserve"> Kepolisian </w:t>
        </w:r>
      </w:hyperlink>
      <w:r w:rsidRPr="009468F9">
        <w:rPr>
          <w:color w:val="000000"/>
          <w:sz w:val="24"/>
          <w:szCs w:val="24"/>
          <w:lang w:val="id-ID" w:eastAsia="id-ID" w:bidi="id-ID"/>
        </w:rPr>
        <w:t>Nasional di</w:t>
      </w:r>
      <w:hyperlink r:id="rId8" w:history="1">
        <w:r w:rsidRPr="009468F9">
          <w:rPr>
            <w:color w:val="000000"/>
            <w:sz w:val="24"/>
            <w:szCs w:val="24"/>
            <w:lang w:val="id-ID" w:eastAsia="id-ID" w:bidi="id-ID"/>
          </w:rPr>
          <w:t xml:space="preserve"> Indonesia,</w:t>
        </w:r>
      </w:hyperlink>
      <w:r w:rsidRPr="009468F9">
        <w:rPr>
          <w:color w:val="000000"/>
          <w:sz w:val="24"/>
          <w:szCs w:val="24"/>
          <w:lang w:val="id-ID" w:eastAsia="id-ID" w:bidi="id-ID"/>
        </w:rPr>
        <w:t xml:space="preserve"> yang bertanggung jawab</w:t>
      </w:r>
      <w:r w:rsidRPr="009468F9">
        <w:rPr>
          <w:color w:val="000000"/>
          <w:sz w:val="24"/>
          <w:szCs w:val="24"/>
          <w:lang w:val="id-ID" w:eastAsia="id-ID" w:bidi="id-ID"/>
        </w:rPr>
        <w:br/>
        <w:t>langsung di bawah</w:t>
      </w:r>
      <w:hyperlink r:id="rId9" w:history="1">
        <w:r w:rsidRPr="009468F9">
          <w:rPr>
            <w:color w:val="000000"/>
            <w:sz w:val="24"/>
            <w:szCs w:val="24"/>
            <w:lang w:val="id-ID" w:eastAsia="id-ID" w:bidi="id-ID"/>
          </w:rPr>
          <w:t xml:space="preserve"> Presiden.</w:t>
        </w:r>
      </w:hyperlink>
      <w:r w:rsidRPr="009468F9">
        <w:rPr>
          <w:color w:val="000000"/>
          <w:sz w:val="24"/>
          <w:szCs w:val="24"/>
          <w:lang w:val="id-ID" w:eastAsia="id-ID" w:bidi="id-ID"/>
        </w:rPr>
        <w:t xml:space="preserve"> Polri mempunya motto: Rastra Sewakotama,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yang artinya Abdi Utama bagi Nusa Bangsa. Polri mengemban tugas-tugas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kepolisian di seluruh wilayah</w:t>
      </w:r>
      <w:hyperlink r:id="rId10" w:history="1">
        <w:r w:rsidRPr="009468F9">
          <w:rPr>
            <w:color w:val="000000"/>
            <w:sz w:val="24"/>
            <w:szCs w:val="24"/>
            <w:lang w:val="id-ID" w:eastAsia="id-ID" w:bidi="id-ID"/>
          </w:rPr>
          <w:t xml:space="preserve"> Indonesia </w:t>
        </w:r>
      </w:hyperlink>
      <w:r w:rsidRPr="009468F9">
        <w:rPr>
          <w:color w:val="000000"/>
          <w:sz w:val="24"/>
          <w:szCs w:val="24"/>
          <w:lang w:val="id-ID" w:eastAsia="id-ID" w:bidi="id-ID"/>
        </w:rPr>
        <w:t>yaitu memelihara keamanan dan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ketertiban masyarakat; menegakkan hukum; dan memberikan perlindungan,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pengayoman, dan pelayanan kepada masyarakat.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Polri dipimpin oleh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seorang</w:t>
      </w:r>
      <w:hyperlink r:id="rId11" w:history="1">
        <w:r w:rsidRPr="009468F9">
          <w:rPr>
            <w:color w:val="000000"/>
            <w:sz w:val="24"/>
            <w:szCs w:val="24"/>
            <w:lang w:val="id-ID" w:eastAsia="id-ID" w:bidi="id-ID"/>
          </w:rPr>
          <w:t xml:space="preserve"> Kepala Kepolisian Negara Republik Indonesia </w:t>
        </w:r>
      </w:hyperlink>
      <w:r w:rsidRPr="009468F9">
        <w:rPr>
          <w:color w:val="000000"/>
          <w:sz w:val="24"/>
          <w:szCs w:val="24"/>
          <w:lang w:val="id-ID" w:eastAsia="id-ID" w:bidi="id-ID"/>
        </w:rPr>
        <w:t>(Kapolri).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5"/>
      </w:r>
    </w:p>
    <w:p w:rsidR="007B4407" w:rsidRDefault="007B4407" w:rsidP="007B4407">
      <w:pPr>
        <w:pStyle w:val="BodyText1"/>
        <w:spacing w:after="0"/>
        <w:ind w:firstLine="709"/>
        <w:jc w:val="both"/>
        <w:rPr>
          <w:color w:val="000000"/>
          <w:sz w:val="24"/>
          <w:szCs w:val="24"/>
          <w:lang w:val="id-ID" w:eastAsia="id-ID" w:bidi="id-ID"/>
        </w:rPr>
        <w:sectPr w:rsidR="007B4407" w:rsidSect="007B44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01" w:right="1701" w:bottom="1701" w:left="2268" w:header="709" w:footer="1063" w:gutter="0"/>
          <w:cols w:space="720"/>
        </w:sectPr>
      </w:pPr>
      <w:r w:rsidRPr="009468F9">
        <w:rPr>
          <w:color w:val="000000"/>
          <w:sz w:val="24"/>
          <w:szCs w:val="24"/>
          <w:lang w:val="id-ID" w:eastAsia="id-ID" w:bidi="id-ID"/>
        </w:rPr>
        <w:t>Kepolisian Negara Republik Indonesia atau yang sering disingkat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dengan Polri dalam kaitannya dengan Pemerintahan adalah salah satu fungsi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pemerintahan negara di bidang pemeliharaan keamanan dan ketertiban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masyarakat, penegakan hukum, perlindungan, pengayoman, dan pelayanan</w:t>
      </w:r>
    </w:p>
    <w:p w:rsidR="007B4407" w:rsidRPr="009468F9" w:rsidRDefault="007B4407" w:rsidP="007B4407">
      <w:pPr>
        <w:pStyle w:val="BodyText1"/>
        <w:spacing w:after="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kepada masyarakat, yang bertujuan untuk mewujudkan keamanan dalam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negeri yang meliputi terpeliharanya keamanan dan ketertiban masyarakat,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tertib dan tegaknya hukum, terselenggaranya perlindungan, pengayoman,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dan pelayanan kepada masyarakat, serta terbinanya ketentraman masyarakat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dengan menjunjung tinggi hak azasi manusia.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6"/>
      </w:r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Berkaitan dengan kehidupan bernegara, POLRI merupakan alat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negara yang berperan dalam memelihara keamanan dan ketertiban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masyarakat, menegakan hukum, serta memberikan perlindungan,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pengayoman, dan pelayanan kepada masyarakat.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7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Hal ini dalam rangka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terpeliharanya keamanan dalam negeri. Agar dalam melaksanakan fungsi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dan perannya diseluruh wilayah negara Republik Indonesia atau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dianggap sebagai wilayah negara Republik Indonesia tersebut dapat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berjalan dengan efektif dan efisien, maka wilayah negara Republik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Indonesia dibagi dalam daerah hukum menurut kepentingan pelaksanaan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tugas Kepolisian Negara Republik Indonesia.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8"/>
      </w:r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  <w:lang w:val="en-US"/>
        </w:rPr>
      </w:pPr>
      <w:r w:rsidRPr="009468F9">
        <w:rPr>
          <w:color w:val="000000"/>
          <w:sz w:val="24"/>
          <w:szCs w:val="24"/>
          <w:lang w:val="id-ID" w:eastAsia="id-ID" w:bidi="id-ID"/>
        </w:rPr>
        <w:t>Undang-Undang No. 2 Tahun 2002 Tentang Kepolisian Negara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Republik Indonesia dalam Pasal 1 ayat (1) menjelaskan bahwa Kepolisian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adalah segala hal yang berkaitan dengan fungsi dan lembaga polisi sesuai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dengan peraturan perundang-undangan.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9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Istilah kepolisian dalam Undang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-Undang ini mengandung dua pengertian, yakni fungsi polisi dan lembaga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polisi. Dalam Pasal 2 Undang-Undang No. 2 tahun 2002 tentang Kepolisian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Negara Republik Indonesia, fungsi kepolisian sebagai salah satu fungsi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pemerintahan negara di bidang pemeliharaan keamanan dan ketertiban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masyarakat, penegakan hukum, pelindung, pengayom dan pelayan kepada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masyarakat.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0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Sedangkan lembaga kepolisian adalah organ pemerintah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ditetapkan sebagai suatu lembaga dan diberikan kewenangan menjalankan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fungsinya berdasarkan peraturan perundang-undangan selanjutnya Pasal 5</w:t>
      </w:r>
      <w:r w:rsidRPr="009468F9">
        <w:rPr>
          <w:color w:val="000000"/>
          <w:sz w:val="24"/>
          <w:szCs w:val="24"/>
          <w:lang w:val="id-ID" w:eastAsia="id-ID" w:bidi="id-ID"/>
        </w:rPr>
        <w:br/>
        <w:t>Undang-Undang No. 2 Tahun 2002 tentang Kepolisian Negara Republik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Indonesia menyebutkan bahwa: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1"/>
      </w:r>
    </w:p>
    <w:p w:rsidR="007B4407" w:rsidRPr="009468F9" w:rsidRDefault="007B4407" w:rsidP="007B4407">
      <w:pPr>
        <w:pStyle w:val="BodyText1"/>
        <w:numPr>
          <w:ilvl w:val="0"/>
          <w:numId w:val="9"/>
        </w:numPr>
        <w:spacing w:after="0"/>
        <w:ind w:left="426" w:hanging="284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Kepolisian Negara Republik Indonesia merupakan alat negara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berperan dalam memelihara keamanan dan ketertiban masyarakat,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menegakkan hukum, serta memberikan perlindungan, pengayoman, dan</w:t>
      </w:r>
      <w:r w:rsidRPr="009468F9">
        <w:rPr>
          <w:color w:val="000000"/>
          <w:sz w:val="24"/>
          <w:szCs w:val="24"/>
          <w:lang w:val="en-US" w:eastAsia="id-ID" w:bidi="id-ID"/>
        </w:rPr>
        <w:t xml:space="preserve">  P</w:t>
      </w:r>
      <w:r w:rsidRPr="009468F9">
        <w:rPr>
          <w:color w:val="000000"/>
          <w:sz w:val="24"/>
          <w:szCs w:val="24"/>
          <w:lang w:val="id-ID" w:eastAsia="id-ID" w:bidi="id-ID"/>
        </w:rPr>
        <w:t>elayanan kepada masyarakat dalam rangka terpeliharanya keamanandalam negeri.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2"/>
      </w:r>
    </w:p>
    <w:p w:rsidR="007B4407" w:rsidRPr="009468F9" w:rsidRDefault="007B4407" w:rsidP="007B4407">
      <w:pPr>
        <w:pStyle w:val="BodyText1"/>
        <w:numPr>
          <w:ilvl w:val="0"/>
          <w:numId w:val="9"/>
        </w:numPr>
        <w:spacing w:after="0"/>
        <w:ind w:left="426" w:hanging="284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Kepolisian Negara Republik Indonesia adalah Kepolisian Nasional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merupakan satu kesatuan dalam melaksanakan peran sebagaimana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dimaksud dalam ayat (1)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3"/>
      </w:r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Masyarakat yang dimaksud adalah masyarakat setempat yaitu tempat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dimana gejala-gejala sosial tersebut terwujud, maupun masyarakat luas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dimana masyarakat tersebut menjadi bagiannya, baik masyarakat lokal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maupun masyarakat nasional.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4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Pengertian masyarakat juga mencakup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pengertian administrasi pemerintahannya atau tokoh-tokoh masyarakatnya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yang dianggap mewakili kepentingan kesejahteraan masyarakat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bersangkutan. Ringkasnya, peranan polisi dalam menegakkan hukum dan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melindungi masyarakat dari berbagai gangguan rasa tidak aman dan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kejahatan adalah kenyataan yang tidak dapat dipungkiri.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5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Baik melindungi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warga masyarakat maupun melindungi berbagai lembaga dan pranata sosial,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kebudayaan dan ekonomi yang produktif. Pada dasarnya hubungan Polri</w:t>
      </w:r>
      <w:r w:rsidRPr="009468F9">
        <w:rPr>
          <w:color w:val="000000"/>
          <w:sz w:val="24"/>
          <w:szCs w:val="24"/>
          <w:lang w:val="id-ID" w:eastAsia="id-ID" w:bidi="id-ID"/>
        </w:rPr>
        <w:br/>
        <w:t xml:space="preserve">dengan warga masyarakat terbagi dalam tiga kategori </w:t>
      </w:r>
    </w:p>
    <w:p w:rsidR="007B4407" w:rsidRPr="009468F9" w:rsidRDefault="007B4407" w:rsidP="007B4407">
      <w:pPr>
        <w:pStyle w:val="BodyText1"/>
        <w:numPr>
          <w:ilvl w:val="0"/>
          <w:numId w:val="10"/>
        </w:numPr>
        <w:spacing w:after="0"/>
        <w:ind w:left="709" w:hanging="36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Posisi seimbang atau setara, dimana polisi dan masyarakat menjadi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mitra yang saling bekerja sama dalam rangka menyelesaikan berbagai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masalah sosial yang terjadi di masyarakat;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6"/>
      </w:r>
    </w:p>
    <w:p w:rsidR="007B4407" w:rsidRPr="009468F9" w:rsidRDefault="007B4407" w:rsidP="007B4407">
      <w:pPr>
        <w:pStyle w:val="BodyText1"/>
        <w:numPr>
          <w:ilvl w:val="0"/>
          <w:numId w:val="10"/>
        </w:numPr>
        <w:spacing w:after="0"/>
        <w:ind w:left="709" w:hanging="36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Posisi polisi yang dianggap masyarakat sebagai mitranya, sehingga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beberapa kebutuhan rasa aman harus dipahami dan dipenuhi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7"/>
      </w:r>
    </w:p>
    <w:p w:rsidR="007B4407" w:rsidRPr="009468F9" w:rsidRDefault="007B4407" w:rsidP="007B4407">
      <w:pPr>
        <w:pStyle w:val="BodyText1"/>
        <w:numPr>
          <w:ilvl w:val="0"/>
          <w:numId w:val="10"/>
        </w:numPr>
        <w:spacing w:after="0"/>
        <w:ind w:left="709" w:hanging="36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Posisi polisi sebagai pelindung dan pengayom masyarakat, sekaligus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sebagai aparat penegak hukum yang dapat dipercaya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8"/>
      </w:r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Pasal 13 Undang-Undang Nomor 2 Tahun 2002 tentang Kepolisian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Negara Republik Indonesia memuat tugas pokok Polri yaitu memelihara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keamanan dan ketertiban, menegakkan hukum, serta memberikan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perlindungan, pengayoman dan pelayanan kepada masyarakat, untuk itu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Polri dituntut harus senantiasa tampil simpatik dan menyenangkan hati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masyarakat, sedangkan dalam tugas penegakan hukum Polri harus tegas</w:t>
      </w:r>
      <w:r w:rsidRPr="009468F9">
        <w:rPr>
          <w:color w:val="000000"/>
          <w:sz w:val="24"/>
          <w:szCs w:val="24"/>
          <w:lang w:val="id-ID" w:eastAsia="id-ID" w:bidi="id-ID"/>
        </w:rPr>
        <w:br/>
        <w:t>terukur.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19"/>
      </w:r>
      <w:r w:rsidRPr="009468F9">
        <w:rPr>
          <w:color w:val="000000"/>
          <w:sz w:val="24"/>
          <w:szCs w:val="24"/>
          <w:lang w:val="id-ID" w:eastAsia="id-ID" w:bidi="id-ID"/>
        </w:rPr>
        <w:t>Kepada polisi diberikan peran tertentu yang tidak diberikan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kepada orang lain. Kepadanya diberikan kekuatan dan hak yang tidak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diberikan kepada orang biasa.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0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Oleh karena keistimewaan tersebut, kepada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polisi dihadapkan tuntutan-tuntutan yang tidak diminta dari warga negara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biasa. Polisi harus berani menghadapi bahaya dan kekerasan, sedang rakyatdibenarkan menghindari bahaya tersebut.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1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Sebagai manusia biasa, polisi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akan menghadapinya dengan perasaan takut, marah, kecurigaan, dibanding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dengan orang lain pada pekerjaan yang berbeda. Polisi dituntut untuk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memberikan respon terhadap emosi-emosi tersebut secara memadai, seperti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menunjukkan keberanian, keuletan dan kehati-hatian.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2"/>
      </w:r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  <w:lang w:val="en-US"/>
        </w:rPr>
      </w:pP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Upaya yang bersifat memaksa tersebut tidak jarang melahirkan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tindakan-tindakan kekerasan, yang di dalam masyarakat modern sering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diteropong tajam. Disinilah dilema pelaksanaan tugas POLRI itu sering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menajam; karena disatu pihak tindakan kekerasan itu harus dilakukan,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sedang dipihak lain masyarakat memandang tindak kekerasan itu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seharusnya tidak dilakukan.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3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Pada hakekatnya polisi memang harus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berwajah ganda. Dalam pengertian penulis berwajah ganda hampir sama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dengan pengertian dua sisi dalam satu mata uang logam, dimana satu sisi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sebagai penegak hukum yang harus senantiasa loyal terhadap hukum dan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menegakkannya dan disatu sisi sebagai pengayom masyarakat yang dengan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budaya bangsa kita yang ramah dan penuh gotong royong. Sehingga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melahirkan konsep pelayanan yang dikenal dengan senyum, sapa dan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salam.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4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Disinilah diperlukan kemampuan anggota POLRI untuk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melakukan tugasnya dengan sebaik-baiknya dan memenuhi atau mematuhiperaturan perundang-undangan yang telah ditetapkan, agar didalam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pelaksanaan tugasnya bertentangan dengan harapan dan keinginan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masyarakat, yang selanjutnya dikatakan sebagai kesalahan prosedur.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5"/>
      </w:r>
      <w:bookmarkStart w:id="3" w:name="bookmark61"/>
    </w:p>
    <w:p w:rsidR="007B4407" w:rsidRPr="009468F9" w:rsidRDefault="007B4407" w:rsidP="007B4407">
      <w:pPr>
        <w:pStyle w:val="BodyText1"/>
        <w:spacing w:after="0"/>
        <w:ind w:left="709" w:hanging="709"/>
        <w:jc w:val="both"/>
        <w:outlineLvl w:val="1"/>
        <w:rPr>
          <w:b/>
          <w:sz w:val="24"/>
          <w:szCs w:val="24"/>
        </w:rPr>
      </w:pPr>
      <w:bookmarkStart w:id="4" w:name="_Toc201351797"/>
      <w:r w:rsidRPr="009468F9">
        <w:rPr>
          <w:b/>
          <w:sz w:val="24"/>
          <w:szCs w:val="24"/>
          <w:lang w:val="en-US"/>
        </w:rPr>
        <w:t xml:space="preserve">B. </w:t>
      </w:r>
      <w:r w:rsidRPr="009468F9">
        <w:rPr>
          <w:b/>
          <w:sz w:val="24"/>
          <w:szCs w:val="24"/>
          <w:lang w:val="en-US"/>
        </w:rPr>
        <w:tab/>
      </w:r>
      <w:r w:rsidRPr="009468F9">
        <w:rPr>
          <w:b/>
          <w:color w:val="000000"/>
          <w:sz w:val="24"/>
          <w:szCs w:val="24"/>
          <w:lang w:val="id-ID" w:eastAsia="id-ID" w:bidi="id-ID"/>
        </w:rPr>
        <w:t>Konsep Unjuk Rasa Dan Penanggulangannya</w:t>
      </w:r>
      <w:bookmarkEnd w:id="3"/>
      <w:bookmarkEnd w:id="4"/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Berdasarkan tata cara berdemonstrasi, pengaturan dan pembatasan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dilakukan demi kelancaran dari aksi damai yang dilaksanakan.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6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Penulis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mengutip penjelasan Undang-Undang 9Tahun 1998 dalam Jimly</w:t>
      </w:r>
      <w:r w:rsidRPr="009468F9">
        <w:rPr>
          <w:color w:val="000000"/>
          <w:sz w:val="24"/>
          <w:szCs w:val="24"/>
          <w:lang w:val="id-ID" w:eastAsia="id-ID" w:bidi="id-ID"/>
        </w:rPr>
        <w:br/>
        <w:t>Asshiddiqie, sebagai berikut:</w:t>
      </w:r>
    </w:p>
    <w:p w:rsidR="007B4407" w:rsidRPr="009468F9" w:rsidRDefault="007B4407" w:rsidP="007B4407">
      <w:pPr>
        <w:pStyle w:val="BodyText1"/>
        <w:numPr>
          <w:ilvl w:val="1"/>
          <w:numId w:val="9"/>
        </w:numPr>
        <w:spacing w:after="0"/>
        <w:ind w:left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Bentuk penyampaian pendapat di muka umum</w:t>
      </w:r>
      <w:r w:rsidRPr="009468F9">
        <w:rPr>
          <w:b/>
          <w:bCs/>
          <w:color w:val="000000"/>
          <w:sz w:val="24"/>
          <w:szCs w:val="24"/>
          <w:lang w:val="id-ID" w:eastAsia="id-ID" w:bidi="id-ID"/>
        </w:rPr>
        <w:t xml:space="preserve">: </w:t>
      </w:r>
      <w:r w:rsidRPr="009468F9">
        <w:rPr>
          <w:color w:val="000000"/>
          <w:sz w:val="24"/>
          <w:szCs w:val="24"/>
          <w:lang w:val="id-ID" w:eastAsia="id-ID" w:bidi="id-ID"/>
        </w:rPr>
        <w:t>Unjuk rasa atau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demonstrasi, pawai, rapat umum, dan mimbar bebas.Larangan (Pasal 19 ayat (2):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7"/>
      </w:r>
    </w:p>
    <w:p w:rsidR="007B4407" w:rsidRPr="009468F9" w:rsidRDefault="007B4407" w:rsidP="007B4407">
      <w:pPr>
        <w:pStyle w:val="BodyText1"/>
        <w:numPr>
          <w:ilvl w:val="0"/>
          <w:numId w:val="5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Penyampaian pendapat di lingkungan istana kepresidenan, tempat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ibadah, instalasi militer, rumah sakit, pelabuhan udara atau laut,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stasiun kereta api, terminal angkutan darat, dan obyek-obyek vitalnasional.</w:t>
      </w:r>
    </w:p>
    <w:p w:rsidR="007B4407" w:rsidRPr="009468F9" w:rsidRDefault="007B4407" w:rsidP="007B4407">
      <w:pPr>
        <w:pStyle w:val="BodyText1"/>
        <w:numPr>
          <w:ilvl w:val="0"/>
          <w:numId w:val="5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Penyampaian pendapat pada hari besar nasional.</w:t>
      </w:r>
    </w:p>
    <w:p w:rsidR="007B4407" w:rsidRPr="009468F9" w:rsidRDefault="007B4407" w:rsidP="007B4407">
      <w:pPr>
        <w:pStyle w:val="BodyText1"/>
        <w:numPr>
          <w:ilvl w:val="0"/>
          <w:numId w:val="5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Membawa benda-benda yang dapat membahayakan keselamatan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umum.</w:t>
      </w:r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color w:val="000000"/>
          <w:sz w:val="24"/>
          <w:szCs w:val="24"/>
          <w:lang w:val="en-US" w:eastAsia="id-ID" w:bidi="id-ID"/>
        </w:rPr>
      </w:pPr>
      <w:r w:rsidRPr="009468F9">
        <w:rPr>
          <w:color w:val="000000"/>
          <w:sz w:val="24"/>
          <w:szCs w:val="24"/>
          <w:lang w:val="id-ID" w:eastAsia="id-ID" w:bidi="id-ID"/>
        </w:rPr>
        <w:t>Dalam prakteknya seringkali demonstrasi diadakan pada haribesar nasional, namun pihak kepolisian tidak membubarkan aksidemonstrasi tersebut sepanjang aksi diadakan dengan tertib dan damai.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8"/>
      </w:r>
    </w:p>
    <w:p w:rsidR="007B4407" w:rsidRPr="009468F9" w:rsidRDefault="007B4407" w:rsidP="007B4407">
      <w:pPr>
        <w:pStyle w:val="BodyText1"/>
        <w:numPr>
          <w:ilvl w:val="1"/>
          <w:numId w:val="9"/>
        </w:numPr>
        <w:spacing w:after="0"/>
        <w:ind w:left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Tata cara</w:t>
      </w:r>
    </w:p>
    <w:p w:rsidR="007B4407" w:rsidRPr="009468F9" w:rsidRDefault="007B4407" w:rsidP="007B4407">
      <w:pPr>
        <w:pStyle w:val="BodyText1"/>
        <w:numPr>
          <w:ilvl w:val="0"/>
          <w:numId w:val="6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Menyampaikan pemberitahuan secara tertulis kepada Polri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dilakukan oleh yang bersangkutan, pemimpin, atau penanggung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jawab kelompok.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29"/>
      </w:r>
    </w:p>
    <w:p w:rsidR="007B4407" w:rsidRPr="009468F9" w:rsidRDefault="007B4407" w:rsidP="007B4407">
      <w:pPr>
        <w:pStyle w:val="BodyText1"/>
        <w:numPr>
          <w:ilvl w:val="0"/>
          <w:numId w:val="6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Pemberitahuan diberikan selambat-lambatnya 3 x 24</w:t>
      </w:r>
    </w:p>
    <w:p w:rsidR="007B4407" w:rsidRPr="009468F9" w:rsidRDefault="007B4407" w:rsidP="007B4407">
      <w:pPr>
        <w:pStyle w:val="BodyText1"/>
        <w:numPr>
          <w:ilvl w:val="0"/>
          <w:numId w:val="6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Pemberitahuan memuat: maksud dan tujuan, tempat, lokasi, dan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rute, waktu dan lama, bentuk, penanggung jawab, nama dan alamat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organisasi, kelompok atau perorangan, alat peraga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dipergunakan; dan atau jumlah peserta.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0"/>
      </w:r>
    </w:p>
    <w:p w:rsidR="007B4407" w:rsidRPr="009468F9" w:rsidRDefault="007B4407" w:rsidP="007B4407">
      <w:pPr>
        <w:pStyle w:val="BodyText1"/>
        <w:numPr>
          <w:ilvl w:val="0"/>
          <w:numId w:val="6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Setiap sampai 100 (seratus) orang pelaku atau peserta unjuk rasa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atau demonstrasi dan pawai harus ada seorang sampai dengan 5</w:t>
      </w:r>
      <w:r w:rsidRPr="009468F9">
        <w:rPr>
          <w:color w:val="000000"/>
          <w:sz w:val="24"/>
          <w:szCs w:val="24"/>
          <w:lang w:val="id-ID" w:eastAsia="id-ID" w:bidi="id-ID"/>
        </w:rPr>
        <w:br/>
        <w:t>(lima) orang penanggung jawab.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1"/>
      </w:r>
    </w:p>
    <w:p w:rsidR="007B4407" w:rsidRPr="009468F9" w:rsidRDefault="007B4407" w:rsidP="007B4407">
      <w:pPr>
        <w:pStyle w:val="BodyText1"/>
        <w:numPr>
          <w:ilvl w:val="0"/>
          <w:numId w:val="6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Setelah menerima surat pemberitahuan, Polri wajib:</w:t>
      </w:r>
    </w:p>
    <w:p w:rsidR="007B4407" w:rsidRPr="009468F9" w:rsidRDefault="007B4407" w:rsidP="007B4407">
      <w:pPr>
        <w:pStyle w:val="BodyText1"/>
        <w:numPr>
          <w:ilvl w:val="0"/>
          <w:numId w:val="7"/>
        </w:numPr>
        <w:spacing w:after="0"/>
        <w:ind w:left="1418" w:hanging="284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Segera Memberikan Surat Tanda Terima Pemberitahuan</w:t>
      </w:r>
    </w:p>
    <w:p w:rsidR="007B4407" w:rsidRPr="009468F9" w:rsidRDefault="007B4407" w:rsidP="007B4407">
      <w:pPr>
        <w:pStyle w:val="BodyText1"/>
        <w:numPr>
          <w:ilvl w:val="0"/>
          <w:numId w:val="7"/>
        </w:numPr>
        <w:spacing w:after="0"/>
        <w:ind w:left="1418" w:hanging="284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Berkoordinasi Dengan Penanggung Jawab Penyampaian Pendapat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 Muka Umum</w:t>
      </w:r>
    </w:p>
    <w:p w:rsidR="007B4407" w:rsidRPr="009468F9" w:rsidRDefault="007B4407" w:rsidP="007B4407">
      <w:pPr>
        <w:pStyle w:val="BodyText1"/>
        <w:numPr>
          <w:ilvl w:val="0"/>
          <w:numId w:val="7"/>
        </w:numPr>
        <w:spacing w:after="0"/>
        <w:ind w:left="1418" w:hanging="284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Berkoordinasi Dengan Pimpinan Instansi/Lembaga Yang Akan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Menjadi Tujuan Penyampaian Pendapat</w:t>
      </w:r>
    </w:p>
    <w:p w:rsidR="007B4407" w:rsidRPr="009468F9" w:rsidRDefault="007B4407" w:rsidP="007B4407">
      <w:pPr>
        <w:pStyle w:val="BodyText1"/>
        <w:numPr>
          <w:ilvl w:val="0"/>
          <w:numId w:val="7"/>
        </w:numPr>
        <w:spacing w:after="0"/>
        <w:ind w:left="1418" w:hanging="284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Mempersiapkan Pengamanan Tempat, Lokasi, Dan Rute.</w:t>
      </w:r>
    </w:p>
    <w:p w:rsidR="007B4407" w:rsidRPr="009468F9" w:rsidRDefault="007B4407" w:rsidP="007B4407">
      <w:pPr>
        <w:pStyle w:val="BodyText1"/>
        <w:numPr>
          <w:ilvl w:val="0"/>
          <w:numId w:val="6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Pembatalan pelaksanaan penyampaian pendapat di muka umum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disampaikan secara tertulis dan langsung oleh penanggung jawab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kepada Polri selambat-lambatnya 24 (dua puluh empat) jam sebelum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waktu pelaksanaan.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2"/>
      </w:r>
    </w:p>
    <w:p w:rsidR="007B4407" w:rsidRPr="009468F9" w:rsidRDefault="007B4407" w:rsidP="007B4407">
      <w:pPr>
        <w:pStyle w:val="BodyText1"/>
        <w:spacing w:after="0"/>
        <w:ind w:firstLine="720"/>
        <w:jc w:val="both"/>
        <w:rPr>
          <w:sz w:val="24"/>
          <w:szCs w:val="24"/>
          <w:lang w:val="en-US"/>
        </w:rPr>
      </w:pPr>
      <w:r w:rsidRPr="009468F9">
        <w:rPr>
          <w:color w:val="000000"/>
          <w:sz w:val="24"/>
          <w:szCs w:val="24"/>
          <w:lang w:val="id-ID" w:eastAsia="id-ID" w:bidi="id-ID"/>
        </w:rPr>
        <w:t xml:space="preserve">Namun perlu diketahui bahwa, banyak orang memilikipemahaman yang salah mengenai pemberitahuan ini. Rencanamenyatakan pendapat disampaikan </w:t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dengan pemberitahuanbukan izin.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3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Sifatnya hanya memberitahukan saja dan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Kepolisian tidak berwenang menolak kecuali dalam hal dilarangdalam undang-undang. Hal yang sangat berbeda jika rencanamenyatakan pendapat diharuskan dengan izin karena kepolisianmenjadi berwenang untuk mengizinkan atau tidak mengizinkanrencana menyatakan pendapat tersebut.</w:t>
      </w:r>
    </w:p>
    <w:p w:rsidR="007B4407" w:rsidRPr="009468F9" w:rsidRDefault="007B4407" w:rsidP="007B4407">
      <w:pPr>
        <w:pStyle w:val="BodyText1"/>
        <w:numPr>
          <w:ilvl w:val="1"/>
          <w:numId w:val="9"/>
        </w:numPr>
        <w:spacing w:after="0"/>
        <w:ind w:left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Sanksi</w:t>
      </w:r>
    </w:p>
    <w:p w:rsidR="007B4407" w:rsidRPr="009468F9" w:rsidRDefault="007B4407" w:rsidP="007B4407">
      <w:pPr>
        <w:pStyle w:val="BodyText1"/>
        <w:numPr>
          <w:ilvl w:val="0"/>
          <w:numId w:val="8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Berdasarkan Pasal 15 UU No. 9 Tahun 1998, sanksi terhadappelanggaran tata cara di atas adalah pembubaran.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4"/>
      </w:r>
    </w:p>
    <w:p w:rsidR="007B4407" w:rsidRPr="009468F9" w:rsidRDefault="007B4407" w:rsidP="007B4407">
      <w:pPr>
        <w:pStyle w:val="BodyText1"/>
        <w:numPr>
          <w:ilvl w:val="0"/>
          <w:numId w:val="8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Berdasarkan Pasal 16 UU No. 9 Tahun 1998, pelaku atau peserta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pelaksanaan penyampaian pendapat di muka umum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melakukan perbuatan melanggar hukum, dapat dikenakan sanksi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hukum sesuai dengan ketentuan peraturan perundang-undangan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yang berlaku.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5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Hal ini dikenakan jika misalkan terjadi perbuatan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melanggar hukum seperti penganiayaan, pengeroyokan, perusakan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barang, dan bahkan kematian.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6"/>
      </w:r>
    </w:p>
    <w:p w:rsidR="007B4407" w:rsidRPr="009468F9" w:rsidRDefault="007B4407" w:rsidP="007B4407">
      <w:pPr>
        <w:pStyle w:val="BodyText1"/>
        <w:numPr>
          <w:ilvl w:val="0"/>
          <w:numId w:val="8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Berdasarkan Pasal 17 UU No. 9 Tahun 1998 Penanggung jawab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pelaksanaan penyampaian pendapat di muka umum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melakukan tindak pidana sebagaimana dimaksud dalam Pasal 16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dipidana sesuai dengan ketentuan peraturan perundang-undangan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pidana yang berlaku ditambah dengan 1/3 (satu per tiga) dari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pidana pokok. Terdapat pemberatan hukuman terhadap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penanggungjawab yang melakukan tindak pidana.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7"/>
      </w:r>
    </w:p>
    <w:p w:rsidR="007B4407" w:rsidRPr="009468F9" w:rsidRDefault="007B4407" w:rsidP="007B4407">
      <w:pPr>
        <w:pStyle w:val="BodyText1"/>
        <w:numPr>
          <w:ilvl w:val="0"/>
          <w:numId w:val="8"/>
        </w:numPr>
        <w:spacing w:after="0"/>
        <w:ind w:left="1134" w:hanging="425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Berdasarkan Pasal 18 UU No. 9 Tahun 1998, setiap orang dengan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kekerasan atau ancaman kekerasan menghalang-halangi hakwarga negara untuk menyampaikan pendapat di muka umum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telah memenuhi ketentuan, dipidana dengan pidana penjara palinglama 1 (satu) tahun.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8"/>
      </w:r>
    </w:p>
    <w:p w:rsidR="007B4407" w:rsidRPr="009468F9" w:rsidRDefault="007B4407" w:rsidP="007B4407">
      <w:pPr>
        <w:pStyle w:val="BodyText1"/>
        <w:spacing w:after="0"/>
        <w:ind w:left="709" w:hanging="709"/>
        <w:outlineLvl w:val="1"/>
        <w:rPr>
          <w:b/>
          <w:sz w:val="24"/>
          <w:szCs w:val="24"/>
        </w:rPr>
      </w:pPr>
      <w:bookmarkStart w:id="5" w:name="bookmark62"/>
      <w:bookmarkStart w:id="6" w:name="_Toc201351798"/>
      <w:r w:rsidRPr="009468F9">
        <w:rPr>
          <w:b/>
          <w:color w:val="000000"/>
          <w:sz w:val="24"/>
          <w:szCs w:val="24"/>
          <w:lang w:val="en-US" w:eastAsia="id-ID" w:bidi="id-ID"/>
        </w:rPr>
        <w:t xml:space="preserve">C. </w:t>
      </w:r>
      <w:r w:rsidRPr="009468F9">
        <w:rPr>
          <w:b/>
          <w:color w:val="000000"/>
          <w:sz w:val="24"/>
          <w:szCs w:val="24"/>
          <w:lang w:val="en-US" w:eastAsia="id-ID" w:bidi="id-ID"/>
        </w:rPr>
        <w:tab/>
      </w:r>
      <w:r w:rsidRPr="009468F9">
        <w:rPr>
          <w:b/>
          <w:color w:val="000000"/>
          <w:sz w:val="24"/>
          <w:szCs w:val="24"/>
          <w:lang w:val="id-ID" w:eastAsia="id-ID" w:bidi="id-ID"/>
        </w:rPr>
        <w:t>Konsep Hak Asasi Manusia</w:t>
      </w:r>
      <w:bookmarkEnd w:id="5"/>
      <w:bookmarkEnd w:id="6"/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  <w:lang w:val="en-US"/>
        </w:rPr>
      </w:pPr>
      <w:r w:rsidRPr="009468F9">
        <w:rPr>
          <w:color w:val="000000"/>
          <w:sz w:val="24"/>
          <w:szCs w:val="24"/>
          <w:lang w:val="id-ID" w:eastAsia="id-ID" w:bidi="id-ID"/>
        </w:rPr>
        <w:t>Manusia adalah satu-satunya makhluk Tuhan yang diberikan kuasa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untuk berpikir dengan menggunakan logikanya dan memanfaatkannya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sebagai sarana pembaharuan serta landasan kehidupan yang berguna bagi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masa yang akan datang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39"/>
      </w:r>
      <w:r w:rsidRPr="009468F9">
        <w:rPr>
          <w:color w:val="000000"/>
          <w:sz w:val="24"/>
          <w:szCs w:val="24"/>
          <w:lang w:val="id-ID" w:eastAsia="id-ID" w:bidi="id-ID"/>
        </w:rPr>
        <w:t>. Salah satu implikasi yang tercipta sebagai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konsekuensi atas kesempatan manusia untuk berpikir tentang hidup, adalah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konsepsi tentang sifat sosial manusia. Sifat sosial manusia secara esensial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merupakan suatu kondisi yang terjadi, karena realitas yang menegasikan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ketidakmampuan manusia untuk memenuhi kebutuhan hidupnya secara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mandiri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0"/>
      </w:r>
      <w:r w:rsidRPr="009468F9">
        <w:rPr>
          <w:color w:val="000000"/>
          <w:sz w:val="24"/>
          <w:szCs w:val="24"/>
          <w:lang w:val="id-ID" w:eastAsia="id-ID" w:bidi="id-ID"/>
        </w:rPr>
        <w:t>. Dalam perjalanannya kehidupan manusia yang sosial tidak secara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serta merta memberikan jaminan, akan kondisi yang menegasikan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pemenuhan kebutuhan pribadi dengan jalinan sosial yang dilakukannya saat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ini. Argumentasi ini didukung dengan suatu konsep sederhana,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memiliki korelasi dengan sifat manusia dalam Bahasa Latin sebagai seekor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serigala bagi manusia lainnya (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homo homini lupus</w:t>
      </w:r>
      <w:r w:rsidRPr="009468F9">
        <w:rPr>
          <w:color w:val="000000"/>
          <w:sz w:val="24"/>
          <w:szCs w:val="24"/>
          <w:lang w:val="id-ID" w:eastAsia="id-ID" w:bidi="id-ID"/>
        </w:rPr>
        <w:t>)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1"/>
      </w:r>
      <w:r w:rsidRPr="009468F9">
        <w:rPr>
          <w:color w:val="000000"/>
          <w:sz w:val="24"/>
          <w:szCs w:val="24"/>
          <w:lang w:val="id-ID" w:eastAsia="id-ID" w:bidi="id-ID"/>
        </w:rPr>
        <w:t>.</w:t>
      </w:r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Pandangan klasik yang demikian, menjadi argumentasi fundamental</w:t>
      </w:r>
      <w:r w:rsidRPr="009468F9">
        <w:rPr>
          <w:color w:val="000000"/>
          <w:sz w:val="24"/>
          <w:szCs w:val="24"/>
          <w:lang w:val="id-ID" w:eastAsia="id-ID" w:bidi="id-ID"/>
        </w:rPr>
        <w:br/>
        <w:t>tentang sifat manusia yang secara sadar maupun tidak dapat melakukan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kejahatan dalam mencapai tujuan yang direncanakan sebelumnya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2"/>
      </w:r>
      <w:r w:rsidRPr="009468F9">
        <w:rPr>
          <w:color w:val="000000"/>
          <w:sz w:val="24"/>
          <w:szCs w:val="24"/>
          <w:lang w:val="id-ID" w:eastAsia="id-ID" w:bidi="id-ID"/>
        </w:rPr>
        <w:t>.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Meskipun konsepsi ini memiliki relevansi yang lebih erat dengan awal mula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pidana dianggap sebagai tindak kejahatan, namun secara esensial hal ini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juga memiliki relevansi yang erat dengan hak asasi manusia. Dimana hak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asasi manusia adalah penegasan sederhana, tentang suatu nilai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berkaitan dengan kesetaraan antar manusia tanpa dibedakan oleh suatu</w:t>
      </w:r>
      <w:r w:rsidRPr="009468F9">
        <w:rPr>
          <w:color w:val="000000"/>
          <w:sz w:val="24"/>
          <w:szCs w:val="24"/>
          <w:lang w:val="id-ID" w:eastAsia="id-ID" w:bidi="id-ID"/>
        </w:rPr>
        <w:br/>
        <w:t>nilaipun.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3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Sebagaimana yang dijelaskan dalam 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Universal Declaration of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br/>
        <w:t>Human Rights</w:t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(UDHR) dan 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International Covenant on the Civil and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br/>
        <w:t>Political Rights</w:t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(ICCPR). Adapun pemahaman tentang hak asasi manusia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(HAM), sebagaimana yang dijelaskan dalam Pasal 1 ayat (1) Undang-</w:t>
      </w:r>
      <w:r w:rsidRPr="009468F9">
        <w:rPr>
          <w:color w:val="000000"/>
          <w:sz w:val="24"/>
          <w:szCs w:val="24"/>
          <w:lang w:val="id-ID" w:eastAsia="id-ID" w:bidi="id-ID"/>
        </w:rPr>
        <w:br/>
        <w:t>Undang Nomor 39 Tahun 1999 Tentang Hak Asasi Manusia (HAM) adalah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seperangkat hak yang melekat pada hakikat dan keberadaan manusia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sebagai mahkluk Tuhan Yang Maha Esa dan merupakan anugerah-Nya yang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wajib dihormati, dijunjung tinggi dan dilindungi oleh negara, hukum,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Pemerintah, dan setiap orang demi kehormatan serta perlindungan harkat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dan martabat manusia.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4"/>
      </w:r>
    </w:p>
    <w:p w:rsidR="007B4407" w:rsidRPr="009468F9" w:rsidRDefault="007B4407" w:rsidP="007B4407">
      <w:pPr>
        <w:pStyle w:val="BodyText1"/>
        <w:spacing w:after="0"/>
        <w:ind w:firstLine="709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Berlandaskan pemahaman yang demikian, maka dapat dipahami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bahwa yang dimaksud dengan hak asasi manusia adalah suatu pemberianTuhan Yang Maha Esa dan menjadi suatu nilai yang identik melekat kepadamanusia secara kodrati sebagai bentuk supremasi atas kemampuan untuk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hidup dan tanpa hak tersebut manusia tidak akan sanggup menjalani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kehidupannya dengan bertanggungjawab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5"/>
      </w:r>
      <w:r w:rsidRPr="009468F9">
        <w:rPr>
          <w:color w:val="000000"/>
          <w:sz w:val="24"/>
          <w:szCs w:val="24"/>
          <w:lang w:val="id-ID" w:eastAsia="id-ID" w:bidi="id-ID"/>
        </w:rPr>
        <w:t>. Hal ini secara sederhana dapat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dipahami sebagai suatu bentuk tentang tata kehidupan manusia,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diberikan untuk menjaga kedaulatan hidup manusia. Sehingga pada tahapan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inilah, hak asasi manusia (HAM) adalah suatu nilai penting yang ada dalam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kehidupan manusia.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6"/>
      </w:r>
    </w:p>
    <w:p w:rsidR="007B4407" w:rsidRPr="009468F9" w:rsidRDefault="007B4407" w:rsidP="007B4407">
      <w:pPr>
        <w:pStyle w:val="BodyText1"/>
        <w:spacing w:after="0"/>
        <w:ind w:left="709" w:hanging="709"/>
        <w:jc w:val="both"/>
        <w:outlineLvl w:val="1"/>
        <w:rPr>
          <w:b/>
          <w:sz w:val="24"/>
          <w:szCs w:val="24"/>
        </w:rPr>
      </w:pPr>
      <w:bookmarkStart w:id="7" w:name="bookmark29"/>
      <w:bookmarkStart w:id="8" w:name="_Toc175123253"/>
      <w:bookmarkStart w:id="9" w:name="_Toc201351799"/>
      <w:r w:rsidRPr="009468F9">
        <w:rPr>
          <w:b/>
          <w:color w:val="000000"/>
          <w:sz w:val="24"/>
          <w:szCs w:val="24"/>
          <w:lang w:eastAsia="id-ID" w:bidi="id-ID"/>
        </w:rPr>
        <w:t xml:space="preserve">D.    </w:t>
      </w:r>
      <w:bookmarkEnd w:id="7"/>
      <w:bookmarkEnd w:id="8"/>
      <w:r w:rsidRPr="009468F9">
        <w:rPr>
          <w:b/>
          <w:color w:val="000000"/>
          <w:sz w:val="24"/>
          <w:szCs w:val="24"/>
          <w:lang w:val="en-US" w:eastAsia="id-ID" w:bidi="id-ID"/>
        </w:rPr>
        <w:tab/>
      </w:r>
      <w:r w:rsidRPr="009468F9">
        <w:rPr>
          <w:b/>
          <w:bCs/>
          <w:color w:val="000000"/>
          <w:sz w:val="24"/>
          <w:szCs w:val="24"/>
          <w:lang w:val="id-ID" w:eastAsia="id-ID" w:bidi="id-ID"/>
        </w:rPr>
        <w:t>UU No 9 Tahun 1998</w:t>
      </w:r>
      <w:bookmarkEnd w:id="9"/>
    </w:p>
    <w:p w:rsidR="007B4407" w:rsidRPr="009468F9" w:rsidRDefault="007B4407" w:rsidP="007B4407">
      <w:pPr>
        <w:pStyle w:val="BodyText1"/>
        <w:spacing w:after="0"/>
        <w:ind w:firstLine="74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Undang-Undang/Perundang-undangan (UU) adalah Peraturan Perundang-</w:t>
      </w:r>
      <w:r w:rsidRPr="009468F9">
        <w:rPr>
          <w:color w:val="000000"/>
          <w:sz w:val="24"/>
          <w:szCs w:val="24"/>
          <w:lang w:val="id-ID" w:eastAsia="id-ID" w:bidi="id-ID"/>
        </w:rPr>
        <w:br/>
        <w:t>undangan yang dibentuk oleh Dewan Perwakilan Rakyat (DPR) dengan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persetujuan bersama Presiden. Undang-undang memiliki kedudukan sebagai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aturan main bagi rakyat untuk konsolidasi posisi politik dan hukum, untuk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mengatur kehidupan bersama dalam rangka mewujudkan tujuan dalam bentuk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negara. Undang-undang dapat pula dikatakan sebagai kumpulan-kumpulan prinsip</w:t>
      </w:r>
      <w:r w:rsidRPr="009468F9">
        <w:rPr>
          <w:color w:val="000000"/>
          <w:sz w:val="24"/>
          <w:szCs w:val="24"/>
          <w:lang w:val="id-ID" w:eastAsia="id-ID" w:bidi="id-ID"/>
        </w:rPr>
        <w:br/>
        <w:t>yang mengatur kekuasaan pemerintah, hak rakyat, dan hubungan di antara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keduanya.</w:t>
      </w:r>
    </w:p>
    <w:p w:rsidR="007B4407" w:rsidRPr="009468F9" w:rsidRDefault="007B4407" w:rsidP="007B4407">
      <w:pPr>
        <w:pStyle w:val="BodyText1"/>
        <w:spacing w:after="0"/>
        <w:ind w:firstLine="74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Undang-undang nomor 9 tahun 1998 tentang kemerdekaan menyampaikan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pendapat adalah serangkain aturan yang berisi kebebasan hak warga negara dalam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menyampaikan pendapat._UU ini ditetapkan pada tanggal 26 Oktober 1998.</w:t>
      </w:r>
    </w:p>
    <w:p w:rsidR="007B4407" w:rsidRPr="009468F9" w:rsidRDefault="007B4407" w:rsidP="007B4407">
      <w:pPr>
        <w:pStyle w:val="BodyText1"/>
        <w:spacing w:after="0"/>
        <w:ind w:firstLine="74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Ada beberapa poin penting untuk menganalisis keadilan di dalam UU No</w:t>
      </w:r>
      <w:r w:rsidRPr="009468F9">
        <w:rPr>
          <w:color w:val="000000"/>
          <w:sz w:val="24"/>
          <w:szCs w:val="24"/>
          <w:lang w:val="id-ID" w:eastAsia="id-ID" w:bidi="id-ID"/>
        </w:rPr>
        <w:br/>
        <w:t xml:space="preserve">9 Tahun 1998 dilihat dari pisau analisis 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Theory of Justice</w:t>
      </w:r>
      <w:r w:rsidRPr="009468F9">
        <w:rPr>
          <w:i/>
          <w:iCs/>
          <w:color w:val="000000"/>
          <w:sz w:val="24"/>
          <w:szCs w:val="24"/>
          <w:vertAlign w:val="superscript"/>
          <w:lang w:val="id-ID" w:eastAsia="id-ID" w:bidi="id-ID"/>
        </w:rPr>
        <w:footnoteReference w:id="47"/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.</w:t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Hal pertama adalah,</w:t>
      </w:r>
      <w:r w:rsidRPr="009468F9">
        <w:rPr>
          <w:color w:val="000000"/>
          <w:sz w:val="24"/>
          <w:szCs w:val="24"/>
          <w:lang w:val="id-ID" w:eastAsia="id-ID" w:bidi="id-ID"/>
        </w:rPr>
        <w:br/>
        <w:t>yaitu barometer “keputusan moral”. Refleksivitas yang ada pada UU tersebut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haruslah konkret dan faktual, ini menurut peneliti sudah bisa mengakomodir hak</w:t>
      </w:r>
      <w:r w:rsidRPr="009468F9">
        <w:rPr>
          <w:color w:val="000000"/>
          <w:sz w:val="24"/>
          <w:szCs w:val="24"/>
          <w:lang w:val="id-ID" w:eastAsia="id-ID" w:bidi="id-ID"/>
        </w:rPr>
        <w:br/>
        <w:t>warga negara yang ingin menyampaikan pendapatnya di tempat umum.</w:t>
      </w:r>
    </w:p>
    <w:p w:rsidR="007B4407" w:rsidRPr="009468F9" w:rsidRDefault="007B4407" w:rsidP="007B4407">
      <w:pPr>
        <w:pStyle w:val="BodyText1"/>
        <w:spacing w:after="0"/>
        <w:ind w:firstLine="74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Pada ketentuan dari UU Nomor 9 Tahun 1998 Pasal 1 ayat (1) dituliskanbahwasanya “Kemerdekaan menyampaikan pendapat adalah hak setiap warga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negara untuk menyampaikan pikiran dengan lisan, tulisan, dan sebagainya secara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bebas dan bertanggung jawab sesuai dengan ketentuan peraturan perundang-</w:t>
      </w:r>
      <w:r w:rsidRPr="009468F9">
        <w:rPr>
          <w:color w:val="000000"/>
          <w:sz w:val="24"/>
          <w:szCs w:val="24"/>
          <w:lang w:val="id-ID" w:eastAsia="id-ID" w:bidi="id-ID"/>
        </w:rPr>
        <w:br/>
        <w:t>undangan yang berlaku.” Menurut John Rawls, keadilan harus bersifat subtantif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dan harus memenuhi prinsip-prinsip keadilan.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8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Prinsip keadilan harus memberi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penilaian konkret tentang adil tidaknya institusi-institusi dan praktek institusional.</w:t>
      </w:r>
      <w:r w:rsidRPr="009468F9">
        <w:rPr>
          <w:color w:val="000000"/>
          <w:sz w:val="24"/>
          <w:szCs w:val="24"/>
          <w:lang w:val="id-ID" w:eastAsia="id-ID" w:bidi="id-ID"/>
        </w:rPr>
        <w:br/>
        <w:t>Hal ini perlu diperhatikan karena penilaian konkret di dalam institusi dan praktek</w:t>
      </w:r>
      <w:r w:rsidRPr="009468F9">
        <w:rPr>
          <w:color w:val="000000"/>
          <w:sz w:val="24"/>
          <w:szCs w:val="24"/>
          <w:lang w:val="id-ID" w:eastAsia="id-ID" w:bidi="id-ID"/>
        </w:rPr>
        <w:br/>
        <w:t xml:space="preserve">institusional berhubungan erat dengan aspek 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das sein</w:t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dan 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das sollen.</w:t>
      </w:r>
    </w:p>
    <w:p w:rsidR="007B4407" w:rsidRPr="009468F9" w:rsidRDefault="007B4407" w:rsidP="007B4407">
      <w:pPr>
        <w:pStyle w:val="BodyText1"/>
        <w:spacing w:after="0"/>
        <w:ind w:firstLine="74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Berdasarkan ketentutan dari UU Nomor 9 Tahun 1998 Pasal 2 ayat (1)</w:t>
      </w:r>
      <w:r w:rsidRPr="009468F9">
        <w:rPr>
          <w:color w:val="000000"/>
          <w:sz w:val="24"/>
          <w:szCs w:val="24"/>
          <w:lang w:val="id-ID" w:eastAsia="id-ID" w:bidi="id-ID"/>
        </w:rPr>
        <w:br/>
        <w:t>yang berbunyi “Setiap warga negara, secara perorangan atau kelompok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menyampaikan pendapat sebagai perwujudan hak dan tanggung jawab berdemokrasi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dalam kehidupan bermasyarakat, berbangsa, dan bernegara.” Secara yuridis, harus</w:t>
      </w:r>
      <w:r w:rsidRPr="009468F9">
        <w:rPr>
          <w:color w:val="000000"/>
          <w:sz w:val="24"/>
          <w:szCs w:val="24"/>
          <w:lang w:val="id-ID" w:eastAsia="id-ID" w:bidi="id-ID"/>
        </w:rPr>
        <w:br/>
        <w:t xml:space="preserve">terpenuhinya aspek </w:t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utilitarianisme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49"/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,</w:t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aspek utilitarianisme sendiri adalah yang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bersifat krusial di dalam menyampaikan pendapat. Karena hak tersebut harus bisa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diakomodir dengan undang-undang yang memaksimalkan peluang. Menurut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peneliti sendiri aspek ini harus bisa ditinjau kembali karena perlu ada pengkajian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di dalam pasal-pasalnya. Namun sejauh ini, UU ini sudah bisa mengakomodir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kepentingan rakyat dalam menyampaikan pendapat. Tujuan-tujuan tersebut</w:t>
      </w:r>
      <w:r w:rsidRPr="009468F9">
        <w:rPr>
          <w:color w:val="000000"/>
          <w:sz w:val="24"/>
          <w:szCs w:val="24"/>
          <w:lang w:val="id-ID" w:eastAsia="id-ID" w:bidi="id-ID"/>
        </w:rPr>
        <w:br/>
        <w:t>termakbut di dalam pasal 4 yakni;</w:t>
      </w:r>
    </w:p>
    <w:p w:rsidR="007B4407" w:rsidRPr="009468F9" w:rsidRDefault="007B4407" w:rsidP="007B4407">
      <w:pPr>
        <w:pStyle w:val="BodyText1"/>
        <w:spacing w:after="0"/>
        <w:ind w:firstLine="740"/>
        <w:jc w:val="both"/>
        <w:rPr>
          <w:sz w:val="24"/>
          <w:szCs w:val="24"/>
          <w:lang w:val="en-US"/>
        </w:rPr>
      </w:pPr>
      <w:r w:rsidRPr="009468F9">
        <w:rPr>
          <w:color w:val="000000"/>
          <w:sz w:val="24"/>
          <w:szCs w:val="24"/>
          <w:lang w:val="id-ID" w:eastAsia="id-ID" w:bidi="id-ID"/>
        </w:rPr>
        <w:t>Pasal 4 UU Nomor 9 Tahun 1998 berbunyi sebagaimana berikut, “Tujuanpengaturan tentang kemerdekaan menyampaikan pendapat di muka umum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adalah: a.mewujudkan kebebasan yang bertanggung jawab sebagai salah satu</w:t>
      </w:r>
      <w:r w:rsidRPr="009468F9">
        <w:rPr>
          <w:color w:val="000000"/>
          <w:sz w:val="24"/>
          <w:szCs w:val="24"/>
          <w:lang w:val="id-ID" w:eastAsia="id-ID" w:bidi="id-ID"/>
        </w:rPr>
        <w:br/>
        <w:t>pelaksanaan hak asasi manusia sesuai dengan Pancasila dan Undang-Undang</w:t>
      </w:r>
      <w:r w:rsidRPr="009468F9">
        <w:rPr>
          <w:color w:val="000000"/>
          <w:sz w:val="24"/>
          <w:szCs w:val="24"/>
          <w:lang w:val="id-ID" w:eastAsia="id-ID" w:bidi="id-ID"/>
        </w:rPr>
        <w:br/>
        <w:t>Dasar 1945; b. mewujudkan perlindungan hukum yang konsisten dan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berkesinambungan dalam menjamin kemerdekaan menyampaikan pendapat; c.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mewujudkan iklim yang kondusif bagi berkembangnya partisipasi dan kreativitas</w:t>
      </w:r>
      <w:r w:rsidRPr="009468F9">
        <w:rPr>
          <w:color w:val="000000"/>
          <w:sz w:val="24"/>
          <w:szCs w:val="24"/>
          <w:lang w:val="id-ID" w:eastAsia="id-ID" w:bidi="id-ID"/>
        </w:rPr>
        <w:br/>
        <w:t>setiap warga negara sebagai perwujudan hak dan tanggung jawab dalam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kehidupan berdemokrasi;</w:t>
      </w:r>
      <w:r w:rsidRPr="009468F9">
        <w:rPr>
          <w:color w:val="000000"/>
          <w:sz w:val="24"/>
          <w:szCs w:val="24"/>
          <w:lang w:val="id-ID" w:eastAsia="id-ID" w:bidi="id-ID"/>
        </w:rPr>
        <w:tab/>
        <w:t>d. menempatkan tanggung jawab sosial dalam</w:t>
      </w:r>
    </w:p>
    <w:p w:rsidR="007B4407" w:rsidRPr="009468F9" w:rsidRDefault="007B4407" w:rsidP="007B4407">
      <w:pPr>
        <w:pStyle w:val="BodyText1"/>
        <w:spacing w:after="0"/>
        <w:ind w:firstLine="74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t>kehidupan bermasyarakat, berbangsa, dan bernegara, tanpa mengabaikan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kepentingan perorangan atau kelompok.</w:t>
      </w:r>
    </w:p>
    <w:p w:rsidR="007B4407" w:rsidRPr="009468F9" w:rsidRDefault="007B4407" w:rsidP="007B4407">
      <w:pPr>
        <w:pStyle w:val="BodyText1"/>
        <w:spacing w:after="0"/>
        <w:ind w:firstLine="740"/>
        <w:jc w:val="both"/>
        <w:rPr>
          <w:sz w:val="24"/>
          <w:szCs w:val="24"/>
        </w:rPr>
      </w:pPr>
      <w:r w:rsidRPr="009468F9">
        <w:rPr>
          <w:color w:val="000000"/>
          <w:sz w:val="24"/>
          <w:szCs w:val="24"/>
          <w:lang w:val="id-ID" w:eastAsia="id-ID" w:bidi="id-ID"/>
        </w:rPr>
        <w:lastRenderedPageBreak/>
        <w:t>Iklim yang kondusif masih terlalu umum karena tidak dijelaskan iklim</w:t>
      </w:r>
      <w:r w:rsidRPr="009468F9">
        <w:rPr>
          <w:color w:val="000000"/>
          <w:sz w:val="24"/>
          <w:szCs w:val="24"/>
          <w:lang w:val="id-ID" w:eastAsia="id-ID" w:bidi="id-ID"/>
        </w:rPr>
        <w:br/>
        <w:t>kondusif yang seperti apa secara yuridis. Juga, John Rawls menyebutkan di dalam</w:t>
      </w:r>
      <w:r w:rsidRPr="009468F9">
        <w:rPr>
          <w:color w:val="000000"/>
          <w:sz w:val="24"/>
          <w:szCs w:val="24"/>
          <w:lang w:val="id-ID" w:eastAsia="id-ID" w:bidi="id-ID"/>
        </w:rPr>
        <w:br/>
      </w:r>
      <w:r w:rsidRPr="009468F9">
        <w:rPr>
          <w:i/>
          <w:iCs/>
          <w:color w:val="000000"/>
          <w:sz w:val="24"/>
          <w:szCs w:val="24"/>
          <w:lang w:val="id-ID" w:eastAsia="id-ID" w:bidi="id-ID"/>
        </w:rPr>
        <w:t>Theory of Justice-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50"/>
      </w:r>
      <w:r w:rsidRPr="009468F9">
        <w:rPr>
          <w:color w:val="000000"/>
          <w:sz w:val="24"/>
          <w:szCs w:val="24"/>
          <w:lang w:val="id-ID" w:eastAsia="id-ID" w:bidi="id-ID"/>
        </w:rPr>
        <w:t>nya, bahwa keadilan memusatkan diri pada struktur dasar</w:t>
      </w:r>
      <w:r w:rsidRPr="009468F9">
        <w:rPr>
          <w:color w:val="000000"/>
          <w:sz w:val="24"/>
          <w:szCs w:val="24"/>
          <w:lang w:val="id-ID" w:eastAsia="id-ID" w:bidi="id-ID"/>
        </w:rPr>
        <w:br/>
        <w:t>masyarakat. Struktur dasar masyarakat meliputi hak primer di dalam antropologi.</w:t>
      </w:r>
      <w:r w:rsidRPr="009468F9">
        <w:rPr>
          <w:color w:val="000000"/>
          <w:sz w:val="24"/>
          <w:szCs w:val="24"/>
          <w:lang w:val="id-ID" w:eastAsia="id-ID" w:bidi="id-ID"/>
        </w:rPr>
        <w:br/>
        <w:t>Yakni, sandang, pangan, dan papan. Problem daripada keadilan sering berputar di</w:t>
      </w:r>
      <w:r w:rsidRPr="009468F9">
        <w:rPr>
          <w:color w:val="000000"/>
          <w:sz w:val="24"/>
          <w:szCs w:val="24"/>
          <w:lang w:val="id-ID" w:eastAsia="id-ID" w:bidi="id-ID"/>
        </w:rPr>
        <w:br/>
        <w:t>lingkarang hak primer ini. HAM atau Hak Asasi Manusia menjamin kebebasan</w:t>
      </w:r>
      <w:r w:rsidRPr="009468F9">
        <w:rPr>
          <w:color w:val="000000"/>
          <w:sz w:val="24"/>
          <w:szCs w:val="24"/>
          <w:lang w:val="id-ID" w:eastAsia="id-ID" w:bidi="id-ID"/>
        </w:rPr>
        <w:br/>
        <w:t>orang selama hidup</w:t>
      </w:r>
      <w:r w:rsidRPr="009468F9">
        <w:rPr>
          <w:color w:val="000000"/>
          <w:sz w:val="24"/>
          <w:szCs w:val="24"/>
          <w:vertAlign w:val="superscript"/>
          <w:lang w:val="id-ID" w:eastAsia="id-ID" w:bidi="id-ID"/>
        </w:rPr>
        <w:footnoteReference w:id="51"/>
      </w:r>
      <w:r w:rsidRPr="009468F9">
        <w:rPr>
          <w:color w:val="000000"/>
          <w:sz w:val="24"/>
          <w:szCs w:val="24"/>
          <w:lang w:val="id-ID" w:eastAsia="id-ID" w:bidi="id-ID"/>
        </w:rPr>
        <w:t xml:space="preserve"> ini juga termaktub di dalam UU Nomor 9 Tahun 1998.</w:t>
      </w:r>
    </w:p>
    <w:p w:rsidR="00D77426" w:rsidRPr="007B4407" w:rsidRDefault="003C5597" w:rsidP="007B4407">
      <w:bookmarkStart w:id="10" w:name="_GoBack"/>
      <w:bookmarkEnd w:id="10"/>
    </w:p>
    <w:sectPr w:rsidR="00D77426" w:rsidRPr="007B4407" w:rsidSect="00147613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597" w:rsidRDefault="003C5597" w:rsidP="00787992">
      <w:r>
        <w:separator/>
      </w:r>
    </w:p>
  </w:endnote>
  <w:endnote w:type="continuationSeparator" w:id="1">
    <w:p w:rsidR="003C5597" w:rsidRDefault="003C5597" w:rsidP="0078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50" w:rsidRDefault="006F5F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07" w:rsidRDefault="00AE5085">
    <w:pPr>
      <w:pStyle w:val="Footer"/>
      <w:jc w:val="center"/>
    </w:pPr>
    <w:r>
      <w:rPr>
        <w:noProof w:val="0"/>
      </w:rPr>
      <w:fldChar w:fldCharType="begin"/>
    </w:r>
    <w:r w:rsidR="007B4407">
      <w:instrText xml:space="preserve"> PAGE   \* MERGEFORMAT </w:instrText>
    </w:r>
    <w:r>
      <w:rPr>
        <w:noProof w:val="0"/>
      </w:rPr>
      <w:fldChar w:fldCharType="separate"/>
    </w:r>
    <w:r w:rsidR="006F5F50">
      <w:t>1</w:t>
    </w:r>
    <w:r>
      <w:fldChar w:fldCharType="end"/>
    </w:r>
  </w:p>
  <w:p w:rsidR="007B4407" w:rsidRDefault="007B4407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50" w:rsidRDefault="006F5F5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AE5085">
    <w:pPr>
      <w:pStyle w:val="Footer"/>
      <w:jc w:val="center"/>
    </w:pPr>
    <w:r>
      <w:fldChar w:fldCharType="begin"/>
    </w:r>
    <w:r w:rsidR="00074854">
      <w:instrText xml:space="preserve"> PAGE   \* MERGEFORMAT </w:instrText>
    </w:r>
    <w:r>
      <w:fldChar w:fldCharType="separate"/>
    </w:r>
    <w:r w:rsidR="006F5F50">
      <w:t>15</w:t>
    </w:r>
    <w:r>
      <w:fldChar w:fldCharType="end"/>
    </w:r>
  </w:p>
  <w:p w:rsidR="00D82CB9" w:rsidRDefault="003C559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AE5085">
    <w:pPr>
      <w:pStyle w:val="Footer"/>
      <w:jc w:val="center"/>
    </w:pPr>
    <w:r>
      <w:rPr>
        <w:noProof w:val="0"/>
      </w:rPr>
      <w:fldChar w:fldCharType="begin"/>
    </w:r>
    <w:r w:rsidR="00074854">
      <w:instrText xml:space="preserve"> PAGE   \* MERGEFORMAT </w:instrText>
    </w:r>
    <w:r>
      <w:rPr>
        <w:noProof w:val="0"/>
      </w:rPr>
      <w:fldChar w:fldCharType="separate"/>
    </w:r>
    <w:r w:rsidR="00147613">
      <w:t>i</w:t>
    </w:r>
    <w:r>
      <w:fldChar w:fldCharType="end"/>
    </w:r>
  </w:p>
  <w:p w:rsidR="00D82CB9" w:rsidRDefault="003C55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597" w:rsidRDefault="003C5597" w:rsidP="00787992">
      <w:r>
        <w:separator/>
      </w:r>
    </w:p>
  </w:footnote>
  <w:footnote w:type="continuationSeparator" w:id="1">
    <w:p w:rsidR="003C5597" w:rsidRDefault="003C5597" w:rsidP="00787992">
      <w:r>
        <w:continuationSeparator/>
      </w:r>
    </w:p>
  </w:footnote>
  <w:footnote w:id="2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>Anton Tabah, Membangun Polri yang Kuat (Belajar dari Macan-Macan Asia), Mitra</w:t>
      </w:r>
      <w:r>
        <w:rPr>
          <w:color w:val="000000"/>
          <w:lang w:val="id-ID" w:eastAsia="id-ID" w:bidi="id-ID"/>
        </w:rPr>
        <w:br/>
        <w:t>Hardhasuma, Jakarta, 2002; hal 33.</w:t>
      </w:r>
    </w:p>
  </w:footnote>
  <w:footnote w:id="3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Satjipto Rahardjo, 2009, Penegakan Hukum Suatu Tinjauan Sosiologis, Genta Publishing,</w:t>
      </w:r>
      <w:r>
        <w:rPr>
          <w:color w:val="000000"/>
          <w:lang w:val="id-ID" w:eastAsia="id-ID" w:bidi="id-ID"/>
        </w:rPr>
        <w:br/>
        <w:t>Yogyakarta</w:t>
      </w:r>
    </w:p>
  </w:footnote>
  <w:footnote w:id="4">
    <w:p w:rsidR="007B4407" w:rsidRDefault="007B4407" w:rsidP="007B4407">
      <w:pPr>
        <w:pStyle w:val="Footnote0"/>
        <w:ind w:left="284" w:hanging="284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>Baihaki, Eki. 2009. Dialektika Polisi, Masyarakat Dan Komunikasi, UnpadPress. Hal. 44.</w:t>
      </w:r>
    </w:p>
  </w:footnote>
  <w:footnote w:id="5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https://id.wikipedia.org/wiki/Kepolisian_Negara_Republik_Indonesia diakses pada </w:t>
      </w:r>
      <w:r>
        <w:rPr>
          <w:color w:val="000000"/>
          <w:lang w:eastAsia="id-ID" w:bidi="id-ID"/>
        </w:rPr>
        <w:t>12 Januari</w:t>
      </w:r>
      <w:r>
        <w:rPr>
          <w:color w:val="000000"/>
          <w:lang w:val="id-ID" w:eastAsia="id-ID" w:bidi="id-ID"/>
        </w:rPr>
        <w:t xml:space="preserve"> 202</w:t>
      </w:r>
      <w:r>
        <w:rPr>
          <w:color w:val="000000"/>
          <w:lang w:eastAsia="id-ID" w:bidi="id-ID"/>
        </w:rPr>
        <w:t>5</w:t>
      </w:r>
      <w:r>
        <w:rPr>
          <w:color w:val="000000"/>
          <w:lang w:val="id-ID" w:eastAsia="id-ID" w:bidi="id-ID"/>
        </w:rPr>
        <w:t xml:space="preserve"> pukul 14.10.</w:t>
      </w:r>
    </w:p>
  </w:footnote>
  <w:footnote w:id="6">
    <w:p w:rsidR="007B4407" w:rsidRPr="003B2E24" w:rsidRDefault="007B4407" w:rsidP="007B4407">
      <w:pPr>
        <w:pStyle w:val="Footnote0"/>
        <w:ind w:left="284" w:hanging="284"/>
        <w:jc w:val="both"/>
      </w:pPr>
      <w:r w:rsidRPr="003B2E24">
        <w:rPr>
          <w:color w:val="000000"/>
          <w:vertAlign w:val="superscript"/>
          <w:lang w:val="id-ID" w:eastAsia="id-ID" w:bidi="id-ID"/>
        </w:rPr>
        <w:footnoteRef/>
      </w:r>
      <w:r w:rsidRPr="003B2E24">
        <w:rPr>
          <w:color w:val="000000"/>
          <w:lang w:val="id-ID" w:eastAsia="id-ID" w:bidi="id-ID"/>
        </w:rPr>
        <w:t xml:space="preserve"> Warsiti Hadi Utomo. H, Hukum Kepolisian Di Indonesia, Prestasi Pustaka Publisher,</w:t>
      </w:r>
      <w:r w:rsidRPr="003B2E24">
        <w:rPr>
          <w:color w:val="000000"/>
          <w:lang w:val="id-ID" w:eastAsia="id-ID" w:bidi="id-ID"/>
        </w:rPr>
        <w:br/>
        <w:t>Jakarta, 2005. Hal 12.</w:t>
      </w:r>
    </w:p>
  </w:footnote>
  <w:footnote w:id="7">
    <w:p w:rsidR="007B4407" w:rsidRPr="003B2E24" w:rsidRDefault="007B4407" w:rsidP="007B4407">
      <w:pPr>
        <w:pStyle w:val="Footnote0"/>
        <w:ind w:left="284" w:hanging="284"/>
        <w:jc w:val="both"/>
      </w:pPr>
      <w:r w:rsidRPr="003B2E24">
        <w:rPr>
          <w:color w:val="000000"/>
          <w:vertAlign w:val="superscript"/>
          <w:lang w:val="id-ID" w:eastAsia="id-ID" w:bidi="id-ID"/>
        </w:rPr>
        <w:footnoteRef/>
      </w:r>
      <w:r w:rsidRPr="003B2E24">
        <w:rPr>
          <w:color w:val="000000"/>
          <w:lang w:val="id-ID" w:eastAsia="id-ID" w:bidi="id-ID"/>
        </w:rPr>
        <w:t xml:space="preserve"> Muhammad Arif, Tugas Dan Fungsi Kepolisian Dalam Perannya Sebagai Penegak Hukum</w:t>
      </w:r>
      <w:r w:rsidRPr="003B2E24">
        <w:rPr>
          <w:color w:val="000000"/>
          <w:lang w:val="id-ID" w:eastAsia="id-ID" w:bidi="id-ID"/>
        </w:rPr>
        <w:br/>
        <w:t>Menurut Undang-Undang Nomor 2 Tahun 2002 Tentang Kepolisian, Ai’ ADI Jurnal Hukum Vol.13,No. 1. 2021, hal 123.</w:t>
      </w:r>
    </w:p>
  </w:footnote>
  <w:footnote w:id="8">
    <w:p w:rsidR="007B4407" w:rsidRPr="003B2E24" w:rsidRDefault="007B4407" w:rsidP="007B4407">
      <w:pPr>
        <w:pStyle w:val="Footnote0"/>
        <w:ind w:left="284" w:hanging="284"/>
        <w:jc w:val="both"/>
      </w:pPr>
      <w:r w:rsidRPr="003B2E24">
        <w:rPr>
          <w:color w:val="000000"/>
          <w:vertAlign w:val="superscript"/>
          <w:lang w:val="id-ID" w:eastAsia="id-ID" w:bidi="id-ID"/>
        </w:rPr>
        <w:footnoteRef/>
      </w:r>
      <w:r w:rsidRPr="003B2E24">
        <w:rPr>
          <w:color w:val="000000"/>
          <w:lang w:val="id-ID" w:eastAsia="id-ID" w:bidi="id-ID"/>
        </w:rPr>
        <w:t xml:space="preserve"> Septi Nur Wijayanti, Hubungan Antara Pusat dan Daerah Dalam Negara Kesatuan</w:t>
      </w:r>
      <w:r w:rsidRPr="003B2E24">
        <w:rPr>
          <w:color w:val="000000"/>
          <w:lang w:val="id-ID" w:eastAsia="id-ID" w:bidi="id-ID"/>
        </w:rPr>
        <w:br/>
        <w:t>Republik Indonesia Berdasarkan Undang-Undang Nomor 23 Tahun 2014, Jurnal Media HukumVol.23, No. 2. 2016, hal 186-199.</w:t>
      </w:r>
    </w:p>
  </w:footnote>
  <w:footnote w:id="9">
    <w:p w:rsidR="007B4407" w:rsidRDefault="007B4407" w:rsidP="007B4407">
      <w:pPr>
        <w:pStyle w:val="Footnote0"/>
        <w:ind w:left="284" w:hanging="284"/>
        <w:jc w:val="both"/>
      </w:pPr>
      <w:r w:rsidRPr="003B2E24">
        <w:rPr>
          <w:color w:val="000000"/>
          <w:vertAlign w:val="superscript"/>
          <w:lang w:val="id-ID" w:eastAsia="id-ID" w:bidi="id-ID"/>
        </w:rPr>
        <w:footnoteRef/>
      </w:r>
      <w:r w:rsidRPr="003B2E24">
        <w:rPr>
          <w:color w:val="000000"/>
          <w:lang w:val="id-ID" w:eastAsia="id-ID" w:bidi="id-ID"/>
        </w:rPr>
        <w:t xml:space="preserve"> Ryanto Ulil Anshar dan Joko Setiyono, Tugas dan Fungsi Polisi Sebagai Penegak</w:t>
      </w:r>
      <w:r w:rsidRPr="003B2E24">
        <w:rPr>
          <w:color w:val="000000"/>
          <w:lang w:val="id-ID" w:eastAsia="id-ID" w:bidi="id-ID"/>
        </w:rPr>
        <w:br/>
      </w:r>
      <w:r>
        <w:rPr>
          <w:color w:val="000000"/>
          <w:lang w:val="id-ID" w:eastAsia="id-ID" w:bidi="id-ID"/>
        </w:rPr>
        <w:t>HukumdalamPerspektif Pancasila, Jurnal Pembangunan Hukum Indonesia Vol. 2, No. 3. 2020, hal359-372.</w:t>
      </w:r>
    </w:p>
  </w:footnote>
  <w:footnote w:id="10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Putu Heri Sukarnita dan I Nyoman Surata, Peranan Profesi Dan Pengamanan Dalam</w:t>
      </w:r>
      <w:r>
        <w:rPr>
          <w:color w:val="000000"/>
          <w:lang w:val="id-ID" w:eastAsia="id-ID" w:bidi="id-ID"/>
        </w:rPr>
        <w:br/>
        <w:t>Penegakan Kode Etik Kepolisian Berdasarkan Undang-Undang Nomor 2 Tahun 2002 Tentang</w:t>
      </w:r>
      <w:r>
        <w:rPr>
          <w:color w:val="000000"/>
          <w:lang w:val="id-ID" w:eastAsia="id-ID" w:bidi="id-ID"/>
        </w:rPr>
        <w:br/>
        <w:t>Kepolisian Negara Republik Indonesia Di Kepolisian Resor Buleleng, Kertha Widya Jurnal HukumVol. 8 No. 1. 2020, hal 38-66.</w:t>
      </w:r>
    </w:p>
  </w:footnote>
  <w:footnote w:id="11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Anton Tabah, Membangun Polri yang Kuat (Belajar dari Macan-Macan Asia), Mitra</w:t>
      </w:r>
      <w:r>
        <w:rPr>
          <w:color w:val="000000"/>
          <w:lang w:val="id-ID" w:eastAsia="id-ID" w:bidi="id-ID"/>
        </w:rPr>
        <w:br/>
        <w:t>Hardhasuma, Jakarta, 2002, hlm. 71.</w:t>
      </w:r>
    </w:p>
  </w:footnote>
  <w:footnote w:id="12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Ida Bagus Kade Danendra, Kedudukan Dan Fungsi Kepolisian Dalam Struktur Organisasi</w:t>
      </w:r>
      <w:r>
        <w:rPr>
          <w:color w:val="000000"/>
          <w:lang w:val="id-ID" w:eastAsia="id-ID" w:bidi="id-ID"/>
        </w:rPr>
        <w:br/>
        <w:t>Negara Republik Indonesia, Lex Crime Vol. 1, No. 4. 2012, hal 41-59.</w:t>
      </w:r>
    </w:p>
  </w:footnote>
  <w:footnote w:id="13">
    <w:p w:rsidR="007B4407" w:rsidRDefault="007B4407" w:rsidP="007B4407">
      <w:pPr>
        <w:pStyle w:val="Footnote0"/>
        <w:ind w:left="284" w:hanging="284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>Undang-Undang No. 2 Tahun 2002 Tentang Kepolisian Negara Republik Indonesia</w:t>
      </w:r>
    </w:p>
  </w:footnote>
  <w:footnote w:id="14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hyperlink r:id="rId1" w:history="1">
        <w:r>
          <w:rPr>
            <w:color w:val="000000"/>
            <w:lang w:val="id-ID" w:eastAsia="id-ID" w:bidi="id-ID"/>
          </w:rPr>
          <w:t xml:space="preserve">https://www.academia.edu/12442266/peranan_kepolisian_di_masyarakat </w:t>
        </w:r>
      </w:hyperlink>
      <w:r>
        <w:rPr>
          <w:color w:val="000000"/>
          <w:lang w:val="id-ID" w:eastAsia="id-ID" w:bidi="id-ID"/>
        </w:rPr>
        <w:t xml:space="preserve">diakses pada </w:t>
      </w:r>
      <w:r>
        <w:rPr>
          <w:color w:val="000000"/>
          <w:lang w:eastAsia="id-ID" w:bidi="id-ID"/>
        </w:rPr>
        <w:t xml:space="preserve">12 Januari 2025 </w:t>
      </w:r>
      <w:r>
        <w:rPr>
          <w:color w:val="000000"/>
          <w:lang w:val="id-ID" w:eastAsia="id-ID" w:bidi="id-ID"/>
        </w:rPr>
        <w:t>pukul 12.50.</w:t>
      </w:r>
    </w:p>
  </w:footnote>
  <w:footnote w:id="15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Danendra, I, B, K. (2012). Kedudukan Dan Fungsi Kepolisian Dalam Struktur Organisasi</w:t>
      </w:r>
      <w:r>
        <w:rPr>
          <w:color w:val="000000"/>
          <w:lang w:val="id-ID" w:eastAsia="id-ID" w:bidi="id-ID"/>
        </w:rPr>
        <w:br/>
        <w:t>Negara Republik Indonesia. Lex Crimenvol, Volume 1, No.4, hal 8.</w:t>
      </w:r>
    </w:p>
  </w:footnote>
  <w:footnote w:id="16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Wahyono Wahyono, Dinamika Fungsi Kepolisian Dan Hubungannya Dengan Program</w:t>
      </w:r>
      <w:r>
        <w:rPr>
          <w:color w:val="000000"/>
          <w:lang w:val="id-ID" w:eastAsia="id-ID" w:bidi="id-ID"/>
        </w:rPr>
        <w:br/>
        <w:t>Perpolisian Masyarakat, Perspektif Vol. 26, No. 3. 2011, hal 160-171.</w:t>
      </w:r>
    </w:p>
  </w:footnote>
  <w:footnote w:id="17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Aslati, Silawati, Darmawati, dan M. Fahli Zatrahadi, Sinergi Polri Bersama Masyarakat</w:t>
      </w:r>
      <w:r>
        <w:rPr>
          <w:color w:val="000000"/>
          <w:lang w:val="id-ID" w:eastAsia="id-ID" w:bidi="id-ID"/>
        </w:rPr>
        <w:br/>
        <w:t>Di Tanjung Balai Karimun Dalam Mencegah Radikalisme Dan Pengamalan Hadist Intoleransi,</w:t>
      </w:r>
      <w:r>
        <w:rPr>
          <w:color w:val="000000"/>
          <w:lang w:val="id-ID" w:eastAsia="id-ID" w:bidi="id-ID"/>
        </w:rPr>
        <w:br/>
        <w:t>Sosiohumaniora Jurnal Ilmu-ilmu Sosial dan Humaniora Vol. 21, No. 3. 2019, hal 228-236.</w:t>
      </w:r>
    </w:p>
  </w:footnote>
  <w:footnote w:id="18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Sukamto Satoto, Membangun Kemandirian dan Profesionalisme Polisi Republik Indonesia</w:t>
      </w:r>
      <w:r>
        <w:rPr>
          <w:color w:val="000000"/>
          <w:lang w:val="id-ID" w:eastAsia="id-ID" w:bidi="id-ID"/>
        </w:rPr>
        <w:br/>
        <w:t>Sebagai Pelindung Pengayom dan Penegak Hukum, Jurnal Inovatif Vol. VII, No. III. 2014, hal 59-78.</w:t>
      </w:r>
    </w:p>
  </w:footnote>
  <w:footnote w:id="19">
    <w:p w:rsidR="007B4407" w:rsidRDefault="007B4407" w:rsidP="007B4407">
      <w:pPr>
        <w:pStyle w:val="Footnote0"/>
        <w:ind w:left="284" w:hanging="284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eastAsia="id-ID" w:bidi="id-ID"/>
        </w:rPr>
        <w:tab/>
      </w:r>
      <w:r>
        <w:rPr>
          <w:color w:val="000000"/>
          <w:lang w:val="id-ID" w:eastAsia="id-ID" w:bidi="id-ID"/>
        </w:rPr>
        <w:t>Undang-Undang Nomor 2 Tahun 2002 tentang Polri</w:t>
      </w:r>
    </w:p>
  </w:footnote>
  <w:footnote w:id="20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eastAsia="id-ID" w:bidi="id-ID"/>
        </w:rPr>
        <w:tab/>
      </w:r>
      <w:r>
        <w:rPr>
          <w:color w:val="000000"/>
          <w:lang w:val="id-ID" w:eastAsia="id-ID" w:bidi="id-ID"/>
        </w:rPr>
        <w:t>Khoidin, M. (2007), Mengenal Figur Polisi Kita. Laksbang Pressindo. Yogyakarta, hal 21.</w:t>
      </w:r>
    </w:p>
  </w:footnote>
  <w:footnote w:id="21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SD. Fuji Lestari Hasibuan, Melisa, Novel, Peran Kepolisian Dalam Melakukan Pembinaan</w:t>
      </w:r>
      <w:r>
        <w:rPr>
          <w:color w:val="000000"/>
          <w:lang w:val="id-ID" w:eastAsia="id-ID" w:bidi="id-ID"/>
        </w:rPr>
        <w:br/>
        <w:t>Keamanan Dan Ketertiban Masyarakat Desa Melalui Pendekatan Komprehensip (Penelitian Di</w:t>
      </w:r>
      <w:r>
        <w:rPr>
          <w:color w:val="000000"/>
          <w:lang w:val="id-ID" w:eastAsia="id-ID" w:bidi="id-ID"/>
        </w:rPr>
        <w:br/>
        <w:t>Polsek Baturaja Barat), Jurnal Pro Justitia (JPJ) Vol. 2, No. 1. 2021, hal 76-88.</w:t>
      </w:r>
    </w:p>
  </w:footnote>
  <w:footnote w:id="22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>Muhammad Guntur, Fungsi Kepolisian Negara Dalam Pemeliharaan Keamanan Dan</w:t>
      </w:r>
      <w:r>
        <w:rPr>
          <w:color w:val="000000"/>
          <w:lang w:val="id-ID" w:eastAsia="id-ID" w:bidi="id-ID"/>
        </w:rPr>
        <w:br/>
        <w:t>Ketertiban Pada Masyarakat Kota Sengkang Kabupaten Wajo, Al hikam Vol. 1, No. 3. 2017, hal 64-78</w:t>
      </w:r>
    </w:p>
  </w:footnote>
  <w:footnote w:id="23">
    <w:p w:rsidR="007B4407" w:rsidRDefault="007B4407" w:rsidP="007B4407">
      <w:pPr>
        <w:pStyle w:val="Footnote0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>Sadjijono, Mengenal Hukum Kepolisian. Surabaya: Laksbang Mediatama, 2008, hal 12.</w:t>
      </w:r>
    </w:p>
  </w:footnote>
  <w:footnote w:id="24">
    <w:p w:rsidR="007B4407" w:rsidRDefault="007B4407" w:rsidP="007B4407">
      <w:pPr>
        <w:pStyle w:val="Footnote0"/>
        <w:ind w:left="284" w:hanging="284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eastAsia="id-ID" w:bidi="id-ID"/>
        </w:rPr>
        <w:tab/>
      </w:r>
      <w:r>
        <w:rPr>
          <w:color w:val="000000"/>
          <w:lang w:val="id-ID" w:eastAsia="id-ID" w:bidi="id-ID"/>
        </w:rPr>
        <w:t>Ibid.</w:t>
      </w:r>
    </w:p>
  </w:footnote>
  <w:footnote w:id="25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H. R. Abdussalam. Hukum Kepolisian Sebagai Hukum Positif dalam Disiplin Hukum.</w:t>
      </w:r>
      <w:r>
        <w:rPr>
          <w:color w:val="000000"/>
          <w:lang w:val="id-ID" w:eastAsia="id-ID" w:bidi="id-ID"/>
        </w:rPr>
        <w:br/>
        <w:t>Restu Agung, Jakarta. 2009, hal 11.</w:t>
      </w:r>
    </w:p>
  </w:footnote>
  <w:footnote w:id="26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Adi Prasetijo. (2019). Hukum Perlindungan dan Penegakan HAM dalam Unjuk Rasa.</w:t>
      </w:r>
      <w:r>
        <w:rPr>
          <w:color w:val="000000"/>
          <w:lang w:val="id-ID" w:eastAsia="id-ID" w:bidi="id-ID"/>
        </w:rPr>
        <w:br/>
        <w:t>Yogyakarta: Pustaka Pelajar. Hal 15.</w:t>
      </w:r>
    </w:p>
  </w:footnote>
  <w:footnote w:id="27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Muhammad Najih. (2018). Dinamika Unjuk Rasa di Indonesia. Jakarta: Kompas Media</w:t>
      </w:r>
      <w:r>
        <w:rPr>
          <w:color w:val="000000"/>
          <w:lang w:val="id-ID" w:eastAsia="id-ID" w:bidi="id-ID"/>
        </w:rPr>
        <w:br/>
        <w:t>Nusantara. Hal 18.</w:t>
      </w:r>
    </w:p>
  </w:footnote>
  <w:footnote w:id="28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Badaruddin, Sukri. 2020. Penanganan Unjuk Rasa Di Kaji Dalam Sudut Pandang Yuridis,</w:t>
      </w:r>
      <w:r>
        <w:rPr>
          <w:color w:val="000000"/>
          <w:lang w:val="id-ID" w:eastAsia="id-ID" w:bidi="id-ID"/>
        </w:rPr>
        <w:br/>
        <w:t>Jurnal Qisthosia: Jurnal Syariah dan Hukum, Vol. 1, No. 2. Hal 21.</w:t>
      </w:r>
    </w:p>
  </w:footnote>
  <w:footnote w:id="29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Guntur Priyantoko, Penerapan Diskresi Kepolisian Dalam Penanganan Unjuk Rasa,</w:t>
      </w:r>
      <w:r>
        <w:rPr>
          <w:color w:val="000000"/>
          <w:lang w:val="id-ID" w:eastAsia="id-ID" w:bidi="id-ID"/>
        </w:rPr>
        <w:br/>
        <w:t>Delega Lata Jurnal Ilmu Hukum Vol. 1, No. 1. 2016, hal 203.</w:t>
      </w:r>
    </w:p>
  </w:footnote>
  <w:footnote w:id="30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Hanna Theresia Febiola Toha, Cornelis Djelfie Massie, Grace Yurico Bawole, Tanggung</w:t>
      </w:r>
      <w:r>
        <w:rPr>
          <w:color w:val="000000"/>
          <w:lang w:val="id-ID" w:eastAsia="id-ID" w:bidi="id-ID"/>
        </w:rPr>
        <w:br/>
        <w:t>Jawab Oknum Kepolisian Yang Bertindak Represif Dalam Pengamanan Demonstrasi Anarkis, LexPrivatum Vo.13. No. 2. 2024, hal 60.</w:t>
      </w:r>
    </w:p>
  </w:footnote>
  <w:footnote w:id="31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Andrizal, Alexsander Yandra, Pelaksanaan Hak Konstitusional Warga Negara Dalam Aksi</w:t>
      </w:r>
      <w:r>
        <w:rPr>
          <w:color w:val="000000"/>
          <w:lang w:val="id-ID" w:eastAsia="id-ID" w:bidi="id-ID"/>
        </w:rPr>
        <w:br/>
        <w:t>Berdemonstrasi, Journal of Administration Law Vlo. 4, No. 3. 2023, hal 196-213.</w:t>
      </w:r>
    </w:p>
  </w:footnote>
  <w:footnote w:id="32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Jimly Asshidique, Konstitusi Dan Konstitusionalisme Indonesia, (Jakarta: SInar Grafik,</w:t>
      </w:r>
      <w:r>
        <w:rPr>
          <w:color w:val="000000"/>
          <w:lang w:val="id-ID" w:eastAsia="id-ID" w:bidi="id-ID"/>
        </w:rPr>
        <w:br/>
        <w:t>2010) hal. 7-9</w:t>
      </w:r>
    </w:p>
  </w:footnote>
  <w:footnote w:id="33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Andrizal Andrizal, Demonstrasi Mahasiswa Di Kota Pekanbaru Berdasarkan Undang-</w:t>
      </w:r>
      <w:r>
        <w:rPr>
          <w:color w:val="000000"/>
          <w:lang w:val="id-ID" w:eastAsia="id-ID" w:bidi="id-ID"/>
        </w:rPr>
        <w:br/>
        <w:t>Undang Nomor 9 Tahun 1998 Tentang Kebebasan Menyampaikan Pendapat Di Muka Umum, JurnalHukum RESPUBLICA Vol. 16, No. 1. 2016, hal 1-200.</w:t>
      </w:r>
    </w:p>
  </w:footnote>
  <w:footnote w:id="34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Badaruddin, Sukri. 2020. Penanganan Unjuk Rasa Di Kaji Dalam Sudut Pandang Yuridis,</w:t>
      </w:r>
      <w:r>
        <w:rPr>
          <w:color w:val="000000"/>
          <w:lang w:val="id-ID" w:eastAsia="id-ID" w:bidi="id-ID"/>
        </w:rPr>
        <w:br/>
        <w:t>Jurnal Qisthosia: Jurnal Syariah dan Hukum, Vol. 1, No. 2. Hal 302.</w:t>
      </w:r>
    </w:p>
  </w:footnote>
  <w:footnote w:id="35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Yuli Priyanto. (2013). Polisi dalam Mengatasi Kerusuhan dan Unjuk Rasa. Jakarta:</w:t>
      </w:r>
      <w:r>
        <w:rPr>
          <w:color w:val="000000"/>
          <w:lang w:val="id-ID" w:eastAsia="id-ID" w:bidi="id-ID"/>
        </w:rPr>
        <w:br/>
        <w:t>Kencana Prenada Media Group. Hal 211.</w:t>
      </w:r>
    </w:p>
  </w:footnote>
  <w:footnote w:id="36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Widodo Wiyanto. (2016). Konflik Sosial dan Unjuk Rasa: Studi atas Gerakan Mahasiswa</w:t>
      </w:r>
      <w:r>
        <w:rPr>
          <w:color w:val="000000"/>
          <w:lang w:val="id-ID" w:eastAsia="id-ID" w:bidi="id-ID"/>
        </w:rPr>
        <w:br/>
        <w:t>di Yogyakarta. Yogyakarta: Pustaka Pelajar. Hal 23.</w:t>
      </w:r>
    </w:p>
  </w:footnote>
  <w:footnote w:id="37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>Mercy Gladys Pajow, Perlindungan Hukum Terhadap Korban Penembakan Yang</w:t>
      </w:r>
      <w:r>
        <w:rPr>
          <w:color w:val="000000"/>
          <w:lang w:val="id-ID" w:eastAsia="id-ID" w:bidi="id-ID"/>
        </w:rPr>
        <w:br/>
        <w:t>Dilakukan Polisi Dalam Berdemonstrasi Menurut Undang-Undang Nomor 9 Tahun 1998, Lex</w:t>
      </w:r>
      <w:r>
        <w:rPr>
          <w:color w:val="000000"/>
          <w:lang w:val="id-ID" w:eastAsia="id-ID" w:bidi="id-ID"/>
        </w:rPr>
        <w:br/>
        <w:t>Administratum Vol. 4, No. 3. 2016, hal 124.</w:t>
      </w:r>
    </w:p>
  </w:footnote>
  <w:footnote w:id="38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Aris Septiono, Nyoman Serikat Putra Jaya, Kebijakan Hukum Pidana Dalam Perlindungan</w:t>
      </w:r>
      <w:r>
        <w:rPr>
          <w:color w:val="000000"/>
          <w:lang w:val="id-ID" w:eastAsia="id-ID" w:bidi="id-ID"/>
        </w:rPr>
        <w:br/>
        <w:t>Hak Kebebasan Berserikat Bagi Pekerja/Buruh Indonesia, Law Reform Vol. 8, No. 2. 2013, hal 20-32.</w:t>
      </w:r>
    </w:p>
  </w:footnote>
  <w:footnote w:id="39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Hasan Basri, Filsafat Pendidikan Islam, (Bandung: Pustaka Setia, 2009). Cet. Ke-1. hal.</w:t>
      </w:r>
      <w:r>
        <w:rPr>
          <w:color w:val="000000"/>
          <w:lang w:val="id-ID" w:eastAsia="id-ID" w:bidi="id-ID"/>
        </w:rPr>
        <w:br/>
        <w:t>37.</w:t>
      </w:r>
    </w:p>
  </w:footnote>
  <w:footnote w:id="40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Meilanny Budiarti S., “Mengurai Konsep Dasar Manusia Sebagai Individu Melalui Relasi</w:t>
      </w:r>
      <w:r>
        <w:rPr>
          <w:color w:val="000000"/>
          <w:lang w:val="id-ID" w:eastAsia="id-ID" w:bidi="id-ID"/>
        </w:rPr>
        <w:br/>
        <w:t>Sosial Yang Dibangunnya”, Prosiding KS: Riset &amp; PKM Vol. 4 No. 1 (2017): 104-105.</w:t>
      </w:r>
    </w:p>
  </w:footnote>
  <w:footnote w:id="41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Septiana Dwiputri Maharani, “Manusia Sebagai Homo Economicus: Refleksi Atas Kasus-</w:t>
      </w:r>
      <w:r>
        <w:rPr>
          <w:color w:val="000000"/>
          <w:lang w:val="id-ID" w:eastAsia="id-ID" w:bidi="id-ID"/>
        </w:rPr>
        <w:br/>
        <w:t>Kasus Kejahatan di Indonesia”, Jurnal Filsafat Vol. 26 No. 1 (2016), hlm. 540.</w:t>
      </w:r>
    </w:p>
  </w:footnote>
  <w:footnote w:id="42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Nikson Gans Lalu, “Pidana Mati dan Hak Asasi Manusia”, Jurnal Hukum To-Ra Vol. 1</w:t>
      </w:r>
      <w:r>
        <w:rPr>
          <w:color w:val="000000"/>
          <w:lang w:val="id-ID" w:eastAsia="id-ID" w:bidi="id-ID"/>
        </w:rPr>
        <w:br/>
        <w:t>No. 1 (2015) : 63.</w:t>
      </w:r>
    </w:p>
  </w:footnote>
  <w:footnote w:id="43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Dian J. Hariadi. (2018). "Perlindungan HakAsasiManusia dan Penerapan Prinsip-Prinsip</w:t>
      </w:r>
      <w:r>
        <w:rPr>
          <w:color w:val="000000"/>
          <w:lang w:val="id-ID" w:eastAsia="id-ID" w:bidi="id-ID"/>
        </w:rPr>
        <w:br/>
        <w:t>HAMdalam Sistem Hukum Indonesia". Jurnal Hukum dan Pembangunan, Vol. 48, No. (2), 193-209.</w:t>
      </w:r>
    </w:p>
  </w:footnote>
  <w:footnote w:id="44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Warjiyati, Sri. "Instrumen Hukum Penegakan Hak Asasi Manusia di Indonesia." Justicia</w:t>
      </w:r>
      <w:r>
        <w:rPr>
          <w:color w:val="000000"/>
          <w:lang w:val="id-ID" w:eastAsia="id-ID" w:bidi="id-ID"/>
        </w:rPr>
        <w:br/>
        <w:t>Islamica: Jurnal Kajian Hukum dan Sosial 15.1 (2018): 123-138.</w:t>
      </w:r>
    </w:p>
  </w:footnote>
  <w:footnote w:id="45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>Serlika Aprita dan Yonani Hasyim, Hukum dan Hak Asasi Manusia, (Bogor: Mitra Wacana</w:t>
      </w:r>
      <w:r>
        <w:rPr>
          <w:color w:val="000000"/>
          <w:lang w:val="id-ID" w:eastAsia="id-ID" w:bidi="id-ID"/>
        </w:rPr>
        <w:br/>
        <w:t>Media, 2020), hal. 6.</w:t>
      </w:r>
    </w:p>
  </w:footnote>
  <w:footnote w:id="46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Ibid.</w:t>
      </w:r>
    </w:p>
  </w:footnote>
  <w:footnote w:id="47">
    <w:p w:rsidR="007B4407" w:rsidRDefault="007B4407" w:rsidP="007B4407">
      <w:pPr>
        <w:pStyle w:val="Footnote0"/>
        <w:ind w:left="284" w:hanging="284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Teori Keadilan yang dipelopori oleh John Rawls</w:t>
      </w:r>
    </w:p>
  </w:footnote>
  <w:footnote w:id="48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Damanhuri Fattah, </w:t>
      </w:r>
      <w:r>
        <w:rPr>
          <w:i/>
          <w:iCs/>
          <w:color w:val="000000"/>
          <w:lang w:val="id-ID" w:eastAsia="id-ID" w:bidi="id-ID"/>
        </w:rPr>
        <w:t>Teori Keadilan Menurut John Rawls,</w:t>
      </w:r>
      <w:r>
        <w:rPr>
          <w:color w:val="000000"/>
          <w:lang w:val="id-ID" w:eastAsia="id-ID" w:bidi="id-ID"/>
        </w:rPr>
        <w:t xml:space="preserve"> IAIN Raden Intan Bandar</w:t>
      </w:r>
      <w:r>
        <w:rPr>
          <w:color w:val="000000"/>
          <w:lang w:val="id-ID" w:eastAsia="id-ID" w:bidi="id-ID"/>
        </w:rPr>
        <w:br/>
        <w:t>Lampung (2017)</w:t>
      </w:r>
    </w:p>
  </w:footnote>
  <w:footnote w:id="49">
    <w:p w:rsidR="007B4407" w:rsidRDefault="007B4407" w:rsidP="007B4407">
      <w:pPr>
        <w:pStyle w:val="Footnote0"/>
        <w:ind w:left="284" w:hanging="284"/>
        <w:jc w:val="both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Utilitarianisme adalah suatu teori dari segi etika normatif yang menyatakan bahwa</w:t>
      </w:r>
      <w:r>
        <w:rPr>
          <w:color w:val="000000"/>
          <w:lang w:val="id-ID" w:eastAsia="id-ID" w:bidi="id-ID"/>
        </w:rPr>
        <w:br/>
        <w:t>suatu tindakan yang patut adalah yang memaksimalkan penggunaan, biasanya didefinisikan</w:t>
      </w:r>
      <w:r>
        <w:rPr>
          <w:color w:val="000000"/>
          <w:lang w:val="id-ID" w:eastAsia="id-ID" w:bidi="id-ID"/>
        </w:rPr>
        <w:br/>
        <w:t>sebagai memaksimalkan kebahagiaan dan mengurangi penderitaan.</w:t>
      </w:r>
    </w:p>
  </w:footnote>
  <w:footnote w:id="50">
    <w:p w:rsidR="007B4407" w:rsidRDefault="007B4407" w:rsidP="007B4407">
      <w:pPr>
        <w:pStyle w:val="Footnote0"/>
        <w:ind w:left="284" w:hanging="284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John Rawls, </w:t>
      </w:r>
      <w:r>
        <w:rPr>
          <w:i/>
          <w:iCs/>
          <w:color w:val="000000"/>
          <w:lang w:val="id-ID" w:eastAsia="id-ID" w:bidi="id-ID"/>
        </w:rPr>
        <w:t>Teori Keadilan,</w:t>
      </w:r>
      <w:r>
        <w:rPr>
          <w:color w:val="000000"/>
          <w:lang w:val="id-ID" w:eastAsia="id-ID" w:bidi="id-ID"/>
        </w:rPr>
        <w:t xml:space="preserve"> Pustaka Pelajar ( Jakarta., 2021).</w:t>
      </w:r>
    </w:p>
  </w:footnote>
  <w:footnote w:id="51">
    <w:p w:rsidR="007B4407" w:rsidRDefault="007B4407" w:rsidP="007B4407">
      <w:pPr>
        <w:pStyle w:val="Footnote0"/>
        <w:ind w:left="284" w:hanging="284"/>
      </w:pPr>
      <w:r>
        <w:rPr>
          <w:color w:val="000000"/>
          <w:vertAlign w:val="superscript"/>
          <w:lang w:val="id-ID" w:eastAsia="id-ID" w:bidi="id-ID"/>
        </w:rPr>
        <w:footnoteRef/>
      </w:r>
      <w:r>
        <w:rPr>
          <w:color w:val="000000"/>
          <w:lang w:val="id-ID" w:eastAsia="id-ID" w:bidi="id-ID"/>
        </w:rPr>
        <w:t xml:space="preserve"> Undang-Undang Nomor 39 Tahun 1999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07" w:rsidRDefault="00AE5085">
    <w:pPr>
      <w:pStyle w:val="Header"/>
    </w:pPr>
    <w:r w:rsidRPr="00AE5085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803" o:spid="_x0000_s2056" type="#_x0000_t75" style="position:absolute;margin-left:0;margin-top:0;width:396.75pt;height:391.5pt;z-index:-25164902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50" w:rsidRPr="004053D5" w:rsidRDefault="006F5F50" w:rsidP="006F5F50">
    <w:pPr>
      <w:pStyle w:val="Header"/>
      <w:jc w:val="right"/>
      <w:rPr>
        <w:lang w:val="id-ID"/>
      </w:rPr>
    </w:pPr>
    <w:r w:rsidRPr="00076BEF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0;width:396.75pt;height:391.5pt;z-index:-25164595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10:37:35</w:t>
    </w:r>
  </w:p>
  <w:p w:rsidR="007B4407" w:rsidRDefault="00AE5085" w:rsidP="00AC41FA">
    <w:pPr>
      <w:pStyle w:val="Header"/>
      <w:ind w:right="360"/>
    </w:pPr>
    <w:r w:rsidRPr="00AE5085">
      <w:rPr>
        <w:lang w:val="en-US" w:eastAsia="en-US"/>
      </w:rPr>
      <w:pict>
        <v:shape id="WordPictureWatermark4602804" o:spid="_x0000_s2057" type="#_x0000_t75" style="position:absolute;margin-left:0;margin-top:0;width:396.75pt;height:391.5pt;z-index:-251648000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07" w:rsidRDefault="00AE5085">
    <w:pPr>
      <w:pStyle w:val="Header"/>
    </w:pPr>
    <w:r w:rsidRPr="00AE5085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802" o:spid="_x0000_s2055" type="#_x0000_t75" style="position:absolute;margin-left:0;margin-top:0;width:396.75pt;height:391.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4C" w:rsidRDefault="00AE5085">
    <w:pPr>
      <w:pStyle w:val="Header"/>
    </w:pPr>
    <w:r w:rsidRPr="00AE5085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797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50" w:rsidRPr="004053D5" w:rsidRDefault="006F5F50" w:rsidP="006F5F50">
    <w:pPr>
      <w:pStyle w:val="Header"/>
      <w:jc w:val="right"/>
      <w:rPr>
        <w:lang w:val="id-ID"/>
      </w:rPr>
    </w:pPr>
    <w:r w:rsidRPr="00076BEF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0;margin-top:0;width:396.75pt;height:391.5pt;z-index:-25164390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10:37:35</w:t>
    </w:r>
  </w:p>
  <w:p w:rsidR="007B7F4C" w:rsidRDefault="00AE5085">
    <w:pPr>
      <w:pStyle w:val="Header"/>
    </w:pPr>
    <w:r w:rsidRPr="00AE5085">
      <w:rPr>
        <w:lang w:val="en-US" w:eastAsia="en-US"/>
      </w:rPr>
      <w:pict>
        <v:shape id="WordPictureWatermark4602798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4C" w:rsidRDefault="00AE5085">
    <w:pPr>
      <w:pStyle w:val="Header"/>
    </w:pPr>
    <w:r w:rsidRPr="00AE5085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796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A85"/>
    <w:multiLevelType w:val="multilevel"/>
    <w:tmpl w:val="1660B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601A3"/>
    <w:multiLevelType w:val="multilevel"/>
    <w:tmpl w:val="11C0637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68BC"/>
    <w:multiLevelType w:val="hybridMultilevel"/>
    <w:tmpl w:val="37169E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4160C"/>
    <w:multiLevelType w:val="hybridMultilevel"/>
    <w:tmpl w:val="0A001224"/>
    <w:lvl w:ilvl="0" w:tplc="1C544650">
      <w:start w:val="1"/>
      <w:numFmt w:val="decimal"/>
      <w:lvlText w:val="%1."/>
      <w:lvlJc w:val="left"/>
      <w:pPr>
        <w:ind w:left="237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3655"/>
    <w:multiLevelType w:val="multilevel"/>
    <w:tmpl w:val="2DA0DB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BD2728"/>
    <w:multiLevelType w:val="hybridMultilevel"/>
    <w:tmpl w:val="CD7E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644D2"/>
    <w:multiLevelType w:val="multilevel"/>
    <w:tmpl w:val="CCC2B6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944B4A"/>
    <w:multiLevelType w:val="hybridMultilevel"/>
    <w:tmpl w:val="33A0F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D3F3D"/>
    <w:multiLevelType w:val="multilevel"/>
    <w:tmpl w:val="80A6B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formatting="1" w:enforcement="1" w:cryptProviderType="rsaFull" w:cryptAlgorithmClass="hash" w:cryptAlgorithmType="typeAny" w:cryptAlgorithmSid="4" w:cryptSpinCount="50000" w:hash="y5WpMmJH8ypAc/ZJ+Lp5wEhtI4s=" w:salt="TfihaGv1Ll6D/n6tDoPT5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7613"/>
    <w:rsid w:val="00074854"/>
    <w:rsid w:val="00147613"/>
    <w:rsid w:val="003C5597"/>
    <w:rsid w:val="00686850"/>
    <w:rsid w:val="006F5F50"/>
    <w:rsid w:val="00787992"/>
    <w:rsid w:val="007B4407"/>
    <w:rsid w:val="00907774"/>
    <w:rsid w:val="0098695C"/>
    <w:rsid w:val="00AE5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1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907774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noProof w:val="0"/>
      <w:color w:val="2E74B5"/>
      <w:sz w:val="28"/>
      <w:szCs w:val="28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styleId="PageNumber">
    <w:name w:val="page number"/>
    <w:uiPriority w:val="99"/>
    <w:semiHidden/>
    <w:unhideWhenUsed/>
    <w:rsid w:val="0014761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customStyle="1" w:styleId="Heading1Char">
    <w:name w:val="Heading 1 Char"/>
    <w:basedOn w:val="DefaultParagraphFont"/>
    <w:link w:val="Heading1"/>
    <w:uiPriority w:val="1"/>
    <w:rsid w:val="00907774"/>
    <w:rPr>
      <w:rFonts w:ascii="Calibri Light" w:eastAsia="Times New Roman" w:hAnsi="Calibri Light" w:cs="Times New Roman"/>
      <w:b/>
      <w:bCs/>
      <w:color w:val="2E74B5"/>
      <w:sz w:val="28"/>
      <w:szCs w:val="28"/>
      <w:lang/>
    </w:rPr>
  </w:style>
  <w:style w:type="character" w:styleId="Strong">
    <w:name w:val="Strong"/>
    <w:uiPriority w:val="22"/>
    <w:qFormat/>
    <w:rsid w:val="00907774"/>
    <w:rPr>
      <w:b/>
      <w:bCs/>
    </w:rPr>
  </w:style>
  <w:style w:type="paragraph" w:customStyle="1" w:styleId="whitespace-normal">
    <w:name w:val="whitespace-normal"/>
    <w:basedOn w:val="Normal"/>
    <w:rsid w:val="00907774"/>
    <w:pPr>
      <w:spacing w:before="100" w:beforeAutospacing="1" w:after="100" w:afterAutospacing="1"/>
    </w:pPr>
    <w:rPr>
      <w:noProof w:val="0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8695C"/>
    <w:pPr>
      <w:ind w:left="720"/>
      <w:contextualSpacing/>
    </w:pPr>
    <w:rPr>
      <w:sz w:val="20"/>
      <w:szCs w:val="20"/>
      <w:lang/>
    </w:rPr>
  </w:style>
  <w:style w:type="character" w:styleId="Hyperlink">
    <w:name w:val="Hyperlink"/>
    <w:uiPriority w:val="99"/>
    <w:unhideWhenUsed/>
    <w:rsid w:val="0098695C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98695C"/>
    <w:rPr>
      <w:rFonts w:ascii="Times New Roman" w:eastAsia="Times New Roman" w:hAnsi="Times New Roman" w:cs="Times New Roman"/>
      <w:noProof/>
      <w:sz w:val="20"/>
      <w:szCs w:val="20"/>
      <w:lang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695C"/>
    <w:pPr>
      <w:spacing w:line="276" w:lineRule="auto"/>
      <w:outlineLvl w:val="9"/>
    </w:pPr>
    <w:rPr>
      <w:rFonts w:ascii="Cambria" w:hAnsi="Cambria"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8695C"/>
    <w:pPr>
      <w:tabs>
        <w:tab w:val="right" w:leader="dot" w:pos="7927"/>
      </w:tabs>
      <w:spacing w:line="360" w:lineRule="auto"/>
      <w:ind w:left="1134" w:hanging="1134"/>
      <w:jc w:val="center"/>
    </w:pPr>
    <w:rPr>
      <w:b/>
      <w:color w:val="0D0D0D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8695C"/>
    <w:pPr>
      <w:tabs>
        <w:tab w:val="left" w:pos="880"/>
        <w:tab w:val="right" w:leader="dot" w:pos="7927"/>
      </w:tabs>
      <w:spacing w:line="360" w:lineRule="auto"/>
      <w:ind w:left="1560" w:hanging="426"/>
      <w:jc w:val="both"/>
    </w:pPr>
    <w:rPr>
      <w:bCs/>
      <w:lang w:val="en-US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5C"/>
    <w:rPr>
      <w:rFonts w:ascii="Tahoma" w:eastAsia="Times New Roman" w:hAnsi="Tahoma" w:cs="Tahoma"/>
      <w:noProof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992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rsid w:val="00787992"/>
    <w:rPr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7992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styleId="FootnoteReference">
    <w:name w:val="footnote reference"/>
    <w:uiPriority w:val="99"/>
    <w:unhideWhenUsed/>
    <w:rsid w:val="00787992"/>
    <w:rPr>
      <w:rFonts w:cs="Times New Roman"/>
      <w:vertAlign w:val="superscript"/>
    </w:rPr>
  </w:style>
  <w:style w:type="character" w:customStyle="1" w:styleId="Bodytext">
    <w:name w:val="Body text_"/>
    <w:link w:val="Bodytext0"/>
    <w:locked/>
    <w:rsid w:val="00787992"/>
  </w:style>
  <w:style w:type="paragraph" w:customStyle="1" w:styleId="Bodytext0">
    <w:name w:val="Body text"/>
    <w:basedOn w:val="Normal"/>
    <w:link w:val="Bodytext"/>
    <w:qFormat/>
    <w:rsid w:val="00787992"/>
    <w:pPr>
      <w:widowControl w:val="0"/>
      <w:spacing w:line="480" w:lineRule="auto"/>
      <w:ind w:firstLine="40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Footnote">
    <w:name w:val="Footnote_"/>
    <w:link w:val="Footnote0"/>
    <w:locked/>
    <w:rsid w:val="007B4407"/>
    <w:rPr>
      <w:rFonts w:cs="Times New Roman"/>
      <w:sz w:val="20"/>
      <w:szCs w:val="20"/>
    </w:rPr>
  </w:style>
  <w:style w:type="paragraph" w:customStyle="1" w:styleId="Footnote0">
    <w:name w:val="Footnote"/>
    <w:basedOn w:val="Normal"/>
    <w:link w:val="Footnote"/>
    <w:rsid w:val="007B4407"/>
    <w:pPr>
      <w:widowControl w:val="0"/>
    </w:pPr>
    <w:rPr>
      <w:rFonts w:asciiTheme="minorHAnsi" w:eastAsiaTheme="minorHAnsi" w:hAnsiTheme="minorHAnsi"/>
      <w:noProof w:val="0"/>
      <w:sz w:val="20"/>
      <w:szCs w:val="20"/>
      <w:lang w:val="en-US"/>
    </w:rPr>
  </w:style>
  <w:style w:type="paragraph" w:styleId="BodyText1">
    <w:name w:val="Body Text"/>
    <w:basedOn w:val="Normal"/>
    <w:link w:val="BodyTextChar"/>
    <w:uiPriority w:val="1"/>
    <w:qFormat/>
    <w:rsid w:val="007B4407"/>
    <w:pPr>
      <w:widowControl w:val="0"/>
      <w:spacing w:after="240" w:line="480" w:lineRule="auto"/>
    </w:pPr>
    <w:rPr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1"/>
    <w:uiPriority w:val="1"/>
    <w:rsid w:val="007B4407"/>
    <w:rPr>
      <w:rFonts w:ascii="Times New Roman" w:eastAsia="Times New Roman" w:hAnsi="Times New Roman" w:cs="Times New Roman"/>
      <w:noProof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1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907774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noProof w:val="0"/>
      <w:color w:val="2E74B5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PageNumber">
    <w:name w:val="page number"/>
    <w:uiPriority w:val="99"/>
    <w:semiHidden/>
    <w:unhideWhenUsed/>
    <w:rsid w:val="0014761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907774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907774"/>
    <w:rPr>
      <w:b/>
      <w:bCs/>
    </w:rPr>
  </w:style>
  <w:style w:type="paragraph" w:customStyle="1" w:styleId="whitespace-normal">
    <w:name w:val="whitespace-normal"/>
    <w:basedOn w:val="Normal"/>
    <w:rsid w:val="00907774"/>
    <w:pPr>
      <w:spacing w:before="100" w:beforeAutospacing="1" w:after="100" w:afterAutospacing="1"/>
    </w:pPr>
    <w:rPr>
      <w:noProof w:val="0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8695C"/>
    <w:pPr>
      <w:ind w:left="720"/>
      <w:contextualSpacing/>
    </w:pPr>
    <w:rPr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98695C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98695C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695C"/>
    <w:pPr>
      <w:spacing w:line="276" w:lineRule="auto"/>
      <w:outlineLvl w:val="9"/>
    </w:pPr>
    <w:rPr>
      <w:rFonts w:ascii="Cambria" w:hAnsi="Cambria"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8695C"/>
    <w:pPr>
      <w:tabs>
        <w:tab w:val="right" w:leader="dot" w:pos="7927"/>
      </w:tabs>
      <w:spacing w:line="360" w:lineRule="auto"/>
      <w:ind w:left="1134" w:hanging="1134"/>
      <w:jc w:val="center"/>
    </w:pPr>
    <w:rPr>
      <w:b/>
      <w:color w:val="0D0D0D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8695C"/>
    <w:pPr>
      <w:tabs>
        <w:tab w:val="left" w:pos="880"/>
        <w:tab w:val="right" w:leader="dot" w:pos="7927"/>
      </w:tabs>
      <w:spacing w:line="360" w:lineRule="auto"/>
      <w:ind w:left="1560" w:hanging="426"/>
      <w:jc w:val="both"/>
    </w:pPr>
    <w:rPr>
      <w:bCs/>
      <w:lang w:val="en-US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5C"/>
    <w:rPr>
      <w:rFonts w:ascii="Tahoma" w:eastAsia="Times New Roman" w:hAnsi="Tahoma" w:cs="Tahoma"/>
      <w:noProof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992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rsid w:val="00787992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7992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787992"/>
    <w:rPr>
      <w:rFonts w:cs="Times New Roman"/>
      <w:vertAlign w:val="superscript"/>
    </w:rPr>
  </w:style>
  <w:style w:type="character" w:customStyle="1" w:styleId="Bodytext">
    <w:name w:val="Body text_"/>
    <w:link w:val="Bodytext0"/>
    <w:locked/>
    <w:rsid w:val="00787992"/>
  </w:style>
  <w:style w:type="paragraph" w:customStyle="1" w:styleId="Bodytext0">
    <w:name w:val="Body text"/>
    <w:basedOn w:val="Normal"/>
    <w:link w:val="Bodytext"/>
    <w:qFormat/>
    <w:rsid w:val="00787992"/>
    <w:pPr>
      <w:widowControl w:val="0"/>
      <w:spacing w:line="480" w:lineRule="auto"/>
      <w:ind w:firstLine="40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Footnote">
    <w:name w:val="Footnote_"/>
    <w:link w:val="Footnote0"/>
    <w:locked/>
    <w:rsid w:val="007B4407"/>
    <w:rPr>
      <w:rFonts w:cs="Times New Roman"/>
      <w:sz w:val="20"/>
      <w:szCs w:val="20"/>
    </w:rPr>
  </w:style>
  <w:style w:type="paragraph" w:customStyle="1" w:styleId="Footnote0">
    <w:name w:val="Footnote"/>
    <w:basedOn w:val="Normal"/>
    <w:link w:val="Footnote"/>
    <w:rsid w:val="007B4407"/>
    <w:pPr>
      <w:widowControl w:val="0"/>
    </w:pPr>
    <w:rPr>
      <w:rFonts w:asciiTheme="minorHAnsi" w:eastAsiaTheme="minorHAnsi" w:hAnsiTheme="minorHAnsi"/>
      <w:noProof w:val="0"/>
      <w:sz w:val="20"/>
      <w:szCs w:val="20"/>
      <w:lang w:val="en-US"/>
    </w:rPr>
  </w:style>
  <w:style w:type="paragraph" w:styleId="BodyText1">
    <w:name w:val="Body Text"/>
    <w:basedOn w:val="Normal"/>
    <w:link w:val="BodyTextChar"/>
    <w:uiPriority w:val="1"/>
    <w:qFormat/>
    <w:rsid w:val="007B4407"/>
    <w:pPr>
      <w:widowControl w:val="0"/>
      <w:spacing w:after="240" w:line="480" w:lineRule="auto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1"/>
    <w:uiPriority w:val="1"/>
    <w:rsid w:val="007B4407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Indonesia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s://id.wikipedia.org/wiki/Polis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.wikipedia.org/wiki/Kepala_Kepolisian_Negara_Republik_Indonesi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s://id.wikipedia.org/wiki/Indonesia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id.wikipedia.org/wiki/Presiden_Republik_Indonesia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ademia.edu/12442266/PERANAN_KEPOLISIAN_DI_MASYARAK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2025-11-26T03:47:00Z</dcterms:created>
  <dcterms:modified xsi:type="dcterms:W3CDTF">2025-11-26T03:47:00Z</dcterms:modified>
</cp:coreProperties>
</file>