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4F9" w:rsidRPr="00AB107E" w:rsidRDefault="00E354F9" w:rsidP="00E354F9">
      <w:pPr>
        <w:pStyle w:val="BodyText"/>
        <w:autoSpaceDE w:val="0"/>
        <w:autoSpaceDN w:val="0"/>
        <w:adjustRightInd w:val="0"/>
        <w:jc w:val="center"/>
        <w:rPr>
          <w:b/>
          <w:color w:val="000000"/>
        </w:rPr>
      </w:pPr>
      <w:r w:rsidRPr="00AB107E">
        <w:rPr>
          <w:b/>
          <w:color w:val="000000"/>
        </w:rPr>
        <w:t>BAB II</w:t>
      </w:r>
    </w:p>
    <w:p w:rsidR="00E354F9" w:rsidRPr="00AB107E" w:rsidRDefault="00E354F9" w:rsidP="00E354F9">
      <w:pPr>
        <w:pStyle w:val="BodyText"/>
        <w:autoSpaceDE w:val="0"/>
        <w:autoSpaceDN w:val="0"/>
        <w:adjustRightInd w:val="0"/>
        <w:jc w:val="center"/>
        <w:rPr>
          <w:b/>
          <w:color w:val="000000"/>
        </w:rPr>
      </w:pPr>
      <w:r w:rsidRPr="00AB107E">
        <w:rPr>
          <w:rFonts w:eastAsia="MS Mincho"/>
          <w:b/>
          <w:bCs/>
        </w:rPr>
        <w:t>TINJAUAN PUSTAKA</w:t>
      </w:r>
    </w:p>
    <w:p w:rsidR="00E354F9" w:rsidRPr="00AB107E" w:rsidRDefault="00E354F9" w:rsidP="00CC209A">
      <w:pPr>
        <w:numPr>
          <w:ilvl w:val="2"/>
          <w:numId w:val="1"/>
        </w:numPr>
        <w:spacing w:line="480" w:lineRule="auto"/>
        <w:ind w:left="360"/>
        <w:jc w:val="both"/>
        <w:rPr>
          <w:b/>
        </w:rPr>
      </w:pPr>
      <w:bookmarkStart w:id="0" w:name="_Hlk138626810"/>
      <w:r w:rsidRPr="00AB107E">
        <w:rPr>
          <w:b/>
        </w:rPr>
        <w:t>Gambaran Umum Tentang Advokat</w:t>
      </w:r>
    </w:p>
    <w:p w:rsidR="00E354F9" w:rsidRPr="00AB107E" w:rsidRDefault="00E354F9" w:rsidP="00CC209A">
      <w:pPr>
        <w:numPr>
          <w:ilvl w:val="3"/>
          <w:numId w:val="1"/>
        </w:numPr>
        <w:spacing w:line="480" w:lineRule="auto"/>
        <w:ind w:left="720"/>
        <w:jc w:val="both"/>
      </w:pPr>
      <w:r w:rsidRPr="00AB107E">
        <w:rPr>
          <w:b/>
        </w:rPr>
        <w:t xml:space="preserve">Pengertian Advokat </w:t>
      </w:r>
      <w:bookmarkEnd w:id="0"/>
    </w:p>
    <w:p w:rsidR="00E354F9" w:rsidRPr="00AB107E" w:rsidRDefault="00E354F9" w:rsidP="00E354F9">
      <w:pPr>
        <w:spacing w:line="480" w:lineRule="auto"/>
        <w:ind w:firstLine="748"/>
        <w:jc w:val="both"/>
      </w:pPr>
      <w:r w:rsidRPr="00AB107E">
        <w:rPr>
          <w:color w:val="000000"/>
          <w:lang w:eastAsia="id-ID"/>
        </w:rPr>
        <w:t xml:space="preserve">Pasal 1 angka 1 </w:t>
      </w:r>
      <w:r w:rsidRPr="00AB107E">
        <w:rPr>
          <w:bCs/>
          <w:lang w:eastAsia="id-ID"/>
        </w:rPr>
        <w:t>Undang-Undang Nomor 18 Tahun 2003 Tentang Advokat (selanjutnya disebut UU Advokat) menyebutkan bahwa a</w:t>
      </w:r>
      <w:r w:rsidRPr="00AB107E">
        <w:t xml:space="preserve">dvokat adalah orang yang berprofesi memberi jasa hukum, baik di dalam maupun di luar pengadilan yang memenuhi persyaratan berdasarkan ketentuan Undang-Undang ini. Cakupan advokat meliputi mereka yang melakukan pekerjaan baik di pengadilan maupun di luar pengadilan, sebagaimana diatur didalam UU Advokat. Selanjutnya dalam UU Advokat dinyatakan bahwa advokat adalah penegak hukum yang memiliki kedudukan setara dengan penegak hukum lainnya (hakim, jaksa, dan polisi). Namun demikian, meskipun sama-sama sebagai penegak hukum, peran dan fungsi para penegak hukum ini berbeda satu sama lain. </w:t>
      </w:r>
    </w:p>
    <w:p w:rsidR="00E354F9" w:rsidRPr="00AB107E" w:rsidRDefault="00E354F9" w:rsidP="00E354F9">
      <w:pPr>
        <w:spacing w:line="480" w:lineRule="auto"/>
        <w:ind w:firstLine="748"/>
        <w:jc w:val="both"/>
      </w:pPr>
      <w:r w:rsidRPr="00AB107E">
        <w:t>Ketentuan Pasal 5 Ayat (1) UU Advokat memberikan status kepada advokat sebagai penegak hukum yang mempunyai kedudukan setara dengan penegak hukum lainnya dalam menegakkan hukum dan keadilan”.</w:t>
      </w:r>
      <w:r w:rsidRPr="00AB107E">
        <w:rPr>
          <w:rStyle w:val="FootnoteReference"/>
        </w:rPr>
        <w:footnoteReference w:id="2"/>
      </w:r>
      <w:r w:rsidRPr="00AB107E">
        <w:t xml:space="preserve"> Dalam kekuasaan yudikatif, advokat menjadi salah satu lembaga yang perannya sangat penting, selain peran dari instansi kepolisian dan kejaksaan. Kepolisian dan kejaksaan adalah lembaga yang mewakili kepentingan pemerintah, sedangkan advokat mewakili kepentingan masyarakat. Dengan demikian secara umum, dalam sistem kehakiman di Indonesia, hakim ditempatkan sebagai pihak yang mewakili kepentingan negara, jaksa dan kepolisian mewakili kepentingan </w:t>
      </w:r>
      <w:r w:rsidRPr="00AB107E">
        <w:lastRenderedPageBreak/>
        <w:t>pemerintah, sedangkan advokat menjaga dan mewakili kepentingan masyarakat. Pada posisi inilah peran advokat menjadi penting karena dapat menjaga keseimbangan antara kepentingan negara dan pemerintah.</w:t>
      </w:r>
    </w:p>
    <w:p w:rsidR="00E354F9" w:rsidRPr="00AB107E" w:rsidRDefault="00E354F9" w:rsidP="00E354F9">
      <w:pPr>
        <w:spacing w:line="480" w:lineRule="auto"/>
        <w:ind w:firstLine="748"/>
        <w:jc w:val="both"/>
      </w:pPr>
      <w:r w:rsidRPr="00AB107E">
        <w:t xml:space="preserve">Advokat merupakan suatu bentuk profesi terhormat sehingga ia sering disebut sebagai </w:t>
      </w:r>
      <w:r w:rsidRPr="00AB107E">
        <w:rPr>
          <w:i/>
          <w:iCs/>
        </w:rPr>
        <w:t xml:space="preserve">officium nobile </w:t>
      </w:r>
      <w:r w:rsidRPr="00AB107E">
        <w:t>yakni sebagai pemberi jasa yang mulia dalam hukum. Ia disebut mulia karena ia merupakan salah satu pilar dalam menegakkan supremasi hukum dan hak asasi manusia dan yang mengupayakan pemberdayaan masyarakat dalam menyadarkan hak-hak fundamental mereka didepan hukum.</w:t>
      </w:r>
      <w:r w:rsidRPr="00AB107E">
        <w:rPr>
          <w:rStyle w:val="FootnoteReference"/>
        </w:rPr>
        <w:footnoteReference w:id="3"/>
      </w:r>
    </w:p>
    <w:p w:rsidR="00E354F9" w:rsidRPr="00AB107E" w:rsidRDefault="00E354F9" w:rsidP="00E354F9">
      <w:pPr>
        <w:spacing w:line="456" w:lineRule="auto"/>
        <w:ind w:firstLine="748"/>
        <w:jc w:val="both"/>
      </w:pPr>
      <w:r w:rsidRPr="00AB107E">
        <w:t xml:space="preserve">Seorang advokat dalam menjalankan profesi harus memiliki kebebasan yang didasarkan kepada kehormatan dan kepribadian advokat berpegang teguh kepada kejujuran, kemandirian, kerahasiaan dan keterbukaan, guna mencegah lahirnya sikap-sikap tidak terpuji dan berperilakuan kurang terhormat. Advokat dikonsepsikan memiliki kedudukan yang subjektif dengan cara berpikir yang objektif. Kedudukan subjektif advokat ini sebab mewakili kepentingan masyarakat (klien) untuk membela hak-hak hukumnya. Namun, dalam membela hak-hak hukum tersebut, cara berpikir advokat harus objektif menilainya berdasarkan keahlian yang dimiliki dan kode etik profesi. Untuk itu, dalam kode etik ditentukan diantaranya, advokat boleh menolak menangani perkara yang menurut keahliannya tidak ada dasar hukumnya, dilarang memberikan informasi yang menyesatkan dan menjanjikan kemenangan kepada klien. Seorang advokat wajib berusaha memperoleh pengetahuan yang sebanyak-banyaknya dan sebaik-baiknya tentang kasus kliennya, sebelum memberikan nasihat dan bantuan hukum. </w:t>
      </w:r>
      <w:r w:rsidRPr="00AB107E">
        <w:lastRenderedPageBreak/>
        <w:t>Advokat  wajib memberikan pendapatnya secara terus terang (</w:t>
      </w:r>
      <w:r w:rsidRPr="00AB107E">
        <w:rPr>
          <w:i/>
          <w:iCs/>
        </w:rPr>
        <w:t>candid</w:t>
      </w:r>
      <w:r w:rsidRPr="00AB107E">
        <w:t>) tentang untung ruginya (</w:t>
      </w:r>
      <w:r w:rsidRPr="00AB107E">
        <w:rPr>
          <w:i/>
          <w:iCs/>
        </w:rPr>
        <w:t>merus</w:t>
      </w:r>
      <w:r w:rsidRPr="00AB107E">
        <w:t>) perkara yang akan dilitigasi dan kemungkinan hasilnya.</w:t>
      </w:r>
    </w:p>
    <w:p w:rsidR="00E354F9" w:rsidRPr="00AB107E" w:rsidRDefault="00E354F9" w:rsidP="00E354F9">
      <w:pPr>
        <w:jc w:val="center"/>
        <w:rPr>
          <w:b/>
        </w:rPr>
      </w:pPr>
    </w:p>
    <w:p w:rsidR="00E354F9" w:rsidRPr="00AB107E" w:rsidRDefault="00E354F9" w:rsidP="00CC209A">
      <w:pPr>
        <w:numPr>
          <w:ilvl w:val="3"/>
          <w:numId w:val="1"/>
        </w:numPr>
        <w:spacing w:line="456" w:lineRule="auto"/>
        <w:ind w:left="360"/>
        <w:rPr>
          <w:b/>
        </w:rPr>
      </w:pPr>
      <w:bookmarkStart w:id="1" w:name="_Hlk138626974"/>
      <w:r w:rsidRPr="00AB107E">
        <w:rPr>
          <w:b/>
        </w:rPr>
        <w:t>Bantuan Hukum Oleh Advokat Terhadap Klien</w:t>
      </w:r>
      <w:bookmarkEnd w:id="1"/>
    </w:p>
    <w:p w:rsidR="00E354F9" w:rsidRPr="00AB107E" w:rsidRDefault="00E354F9" w:rsidP="00E354F9">
      <w:pPr>
        <w:spacing w:line="480" w:lineRule="auto"/>
        <w:ind w:firstLine="748"/>
        <w:jc w:val="both"/>
        <w:rPr>
          <w:color w:val="000000"/>
          <w:lang w:eastAsia="id-ID"/>
        </w:rPr>
      </w:pPr>
      <w:r w:rsidRPr="00AB107E">
        <w:rPr>
          <w:color w:val="000000"/>
          <w:lang w:eastAsia="id-ID"/>
        </w:rPr>
        <w:t>Istilah bantuan hukum merupakan hal yang baru bagi bangsa Indonesia. Bantuan hukum yang berkembang di Indonesia pada hakikatnya tidak luput dari perkembangan bantuan hukum yang terdapat pada negara-negara yang telah maju.</w:t>
      </w:r>
    </w:p>
    <w:p w:rsidR="00E354F9" w:rsidRPr="00AB107E" w:rsidRDefault="00E354F9" w:rsidP="00E354F9">
      <w:pPr>
        <w:spacing w:line="456" w:lineRule="auto"/>
        <w:ind w:firstLine="748"/>
        <w:jc w:val="both"/>
        <w:rPr>
          <w:color w:val="000000"/>
          <w:lang w:eastAsia="id-ID"/>
        </w:rPr>
      </w:pPr>
      <w:r w:rsidRPr="00AB107E">
        <w:rPr>
          <w:color w:val="000000"/>
          <w:lang w:eastAsia="id-ID"/>
        </w:rPr>
        <w:t>Menurut Pasal 1 Undang-Undang Nomor 16 Tahun 2011  Tentang Bantuan Hukum disebutkan bahwa:</w:t>
      </w:r>
    </w:p>
    <w:p w:rsidR="00E354F9" w:rsidRPr="00AB107E" w:rsidRDefault="00E354F9" w:rsidP="00CC209A">
      <w:pPr>
        <w:numPr>
          <w:ilvl w:val="0"/>
          <w:numId w:val="8"/>
        </w:numPr>
        <w:ind w:left="993"/>
        <w:jc w:val="both"/>
        <w:rPr>
          <w:lang w:eastAsia="id-ID"/>
        </w:rPr>
      </w:pPr>
      <w:r w:rsidRPr="00AB107E">
        <w:rPr>
          <w:lang w:eastAsia="id-ID"/>
        </w:rPr>
        <w:t>Bantuan hukum adalah jasa hukum yang diberikan oleh pemberi bantuan hukum secara cuma-cuma kepada penerima bantuan hukum.</w:t>
      </w:r>
    </w:p>
    <w:p w:rsidR="00E354F9" w:rsidRPr="00AB107E" w:rsidRDefault="00E354F9" w:rsidP="00CC209A">
      <w:pPr>
        <w:numPr>
          <w:ilvl w:val="0"/>
          <w:numId w:val="8"/>
        </w:numPr>
        <w:autoSpaceDE w:val="0"/>
        <w:autoSpaceDN w:val="0"/>
        <w:adjustRightInd w:val="0"/>
        <w:ind w:left="993"/>
        <w:jc w:val="both"/>
        <w:rPr>
          <w:color w:val="000000"/>
          <w:lang w:eastAsia="id-ID"/>
        </w:rPr>
      </w:pPr>
      <w:r w:rsidRPr="00AB107E">
        <w:rPr>
          <w:color w:val="000000"/>
          <w:lang w:eastAsia="id-ID"/>
        </w:rPr>
        <w:t xml:space="preserve">Penerima Bantuan Hukum adalah orang atau kelompok orang miskin. </w:t>
      </w:r>
    </w:p>
    <w:p w:rsidR="00E354F9" w:rsidRPr="00AB107E" w:rsidRDefault="00E354F9" w:rsidP="00CC209A">
      <w:pPr>
        <w:numPr>
          <w:ilvl w:val="0"/>
          <w:numId w:val="8"/>
        </w:numPr>
        <w:autoSpaceDE w:val="0"/>
        <w:autoSpaceDN w:val="0"/>
        <w:adjustRightInd w:val="0"/>
        <w:ind w:left="993"/>
        <w:jc w:val="both"/>
        <w:rPr>
          <w:color w:val="000000"/>
          <w:lang w:eastAsia="id-ID"/>
        </w:rPr>
      </w:pPr>
      <w:r w:rsidRPr="00AB107E">
        <w:rPr>
          <w:color w:val="000000"/>
          <w:lang w:eastAsia="id-ID"/>
        </w:rPr>
        <w:t xml:space="preserve">Pemberi Bantuan Hukum adalah lembaga bantuan hukum atau organisasi kemasyarakatan yang memberi layanan Bantuan Hukum berdasarkan Undang-Undang ini. </w:t>
      </w:r>
    </w:p>
    <w:p w:rsidR="00E354F9" w:rsidRPr="00AB107E" w:rsidRDefault="00E354F9" w:rsidP="00E354F9">
      <w:pPr>
        <w:ind w:left="720"/>
        <w:jc w:val="both"/>
        <w:rPr>
          <w:lang w:eastAsia="id-ID"/>
        </w:rPr>
      </w:pPr>
    </w:p>
    <w:p w:rsidR="00E354F9" w:rsidRPr="00AB107E" w:rsidRDefault="00E354F9" w:rsidP="00E354F9">
      <w:pPr>
        <w:spacing w:line="480" w:lineRule="auto"/>
        <w:ind w:firstLine="720"/>
        <w:jc w:val="both"/>
        <w:rPr>
          <w:color w:val="000000"/>
          <w:lang w:eastAsia="id-ID"/>
        </w:rPr>
      </w:pPr>
      <w:r w:rsidRPr="00AB107E">
        <w:rPr>
          <w:color w:val="000000"/>
          <w:lang w:eastAsia="id-ID"/>
        </w:rPr>
        <w:t xml:space="preserve">Pasal 1 angka 9 </w:t>
      </w:r>
      <w:r w:rsidRPr="00AB107E">
        <w:rPr>
          <w:bCs/>
          <w:lang w:eastAsia="id-ID"/>
        </w:rPr>
        <w:t xml:space="preserve">Undang-Undang Nomor 18 Tahun 2003 Tentang Advokat menyebutkan bantuan hukum adalah </w:t>
      </w:r>
      <w:r w:rsidRPr="00AB107E">
        <w:rPr>
          <w:lang w:eastAsia="id-ID"/>
        </w:rPr>
        <w:t>jasa hukum yang diberikan oleh Advokat secara cuma-cuma kepada Klien yang tidak mampu.</w:t>
      </w:r>
    </w:p>
    <w:p w:rsidR="00E354F9" w:rsidRPr="00AB107E" w:rsidRDefault="00E354F9" w:rsidP="00E354F9">
      <w:pPr>
        <w:spacing w:line="480" w:lineRule="auto"/>
        <w:ind w:firstLine="748"/>
        <w:jc w:val="both"/>
        <w:rPr>
          <w:color w:val="000000"/>
          <w:lang w:eastAsia="id-ID"/>
        </w:rPr>
      </w:pPr>
      <w:r w:rsidRPr="00AB107E">
        <w:rPr>
          <w:color w:val="000000"/>
          <w:lang w:eastAsia="id-ID"/>
        </w:rPr>
        <w:t>Pasal 1 ayat (4) Surat Edaran Mahkamah Agung Nomor  10 Tahun 2010 Tentang Pedoman Bantuan Hukum disebutkan, bantuan hukum adalah pemberian jasa hukum yang difasilitasi oleh negara melalui Peradilan Agama, baik dalam perkara perdata gugatan dan permohonan maupun perkara jinayat</w:t>
      </w:r>
    </w:p>
    <w:p w:rsidR="00E354F9" w:rsidRPr="00AB107E" w:rsidRDefault="00E354F9" w:rsidP="00E354F9">
      <w:pPr>
        <w:spacing w:line="480" w:lineRule="auto"/>
        <w:ind w:firstLine="748"/>
        <w:jc w:val="both"/>
        <w:rPr>
          <w:color w:val="000000"/>
          <w:lang w:eastAsia="id-ID"/>
        </w:rPr>
      </w:pPr>
      <w:r w:rsidRPr="00AB107E">
        <w:rPr>
          <w:color w:val="000000"/>
          <w:lang w:eastAsia="id-ID"/>
        </w:rPr>
        <w:t xml:space="preserve">Menurut Adnan Buyung </w:t>
      </w:r>
      <w:r w:rsidRPr="00AB107E">
        <w:rPr>
          <w:bCs/>
          <w:color w:val="000000"/>
          <w:lang w:eastAsia="id-ID"/>
        </w:rPr>
        <w:t>Nasution,</w:t>
      </w:r>
      <w:r w:rsidRPr="00AB107E">
        <w:rPr>
          <w:color w:val="000000"/>
          <w:lang w:eastAsia="id-ID"/>
        </w:rPr>
        <w:t>bantuan hukum adalah l</w:t>
      </w:r>
      <w:r w:rsidRPr="00AB107E">
        <w:rPr>
          <w:i/>
          <w:iCs/>
          <w:color w:val="000000"/>
          <w:lang w:eastAsia="id-ID"/>
        </w:rPr>
        <w:t xml:space="preserve">egal aid, </w:t>
      </w:r>
      <w:r w:rsidRPr="00AB107E">
        <w:rPr>
          <w:color w:val="000000"/>
          <w:lang w:eastAsia="id-ID"/>
        </w:rPr>
        <w:t xml:space="preserve">yang berarti pemberian jasa di bidang hukum kepada seseorang yang terlibat dalam suatu kasus atau perkara: </w:t>
      </w:r>
    </w:p>
    <w:p w:rsidR="00E354F9" w:rsidRPr="00AB107E" w:rsidRDefault="00E354F9" w:rsidP="00CC209A">
      <w:pPr>
        <w:numPr>
          <w:ilvl w:val="0"/>
          <w:numId w:val="5"/>
        </w:numPr>
        <w:ind w:left="1134"/>
        <w:jc w:val="both"/>
      </w:pPr>
      <w:r w:rsidRPr="00AB107E">
        <w:t>Pemberian jasa bantuan hukum dilakukan dengan cuma-Cuma.</w:t>
      </w:r>
    </w:p>
    <w:p w:rsidR="00E354F9" w:rsidRPr="00AB107E" w:rsidRDefault="00E354F9" w:rsidP="00CC209A">
      <w:pPr>
        <w:numPr>
          <w:ilvl w:val="0"/>
          <w:numId w:val="5"/>
        </w:numPr>
        <w:ind w:left="1134"/>
        <w:jc w:val="both"/>
      </w:pPr>
      <w:r w:rsidRPr="00AB107E">
        <w:t xml:space="preserve">Bantuan jasa hukum dalam </w:t>
      </w:r>
      <w:r w:rsidRPr="00AB107E">
        <w:rPr>
          <w:i/>
          <w:iCs/>
        </w:rPr>
        <w:t xml:space="preserve">legal aid </w:t>
      </w:r>
      <w:r w:rsidRPr="00AB107E">
        <w:t>lebih dikhususkan bagi yang tidak mampu dalam lapisan masyarakat miskin.</w:t>
      </w:r>
    </w:p>
    <w:p w:rsidR="00E354F9" w:rsidRPr="00AB107E" w:rsidRDefault="00E354F9" w:rsidP="00CC209A">
      <w:pPr>
        <w:numPr>
          <w:ilvl w:val="0"/>
          <w:numId w:val="5"/>
        </w:numPr>
        <w:ind w:left="1134"/>
        <w:jc w:val="both"/>
      </w:pPr>
      <w:r w:rsidRPr="00AB107E">
        <w:lastRenderedPageBreak/>
        <w:t xml:space="preserve">Dengan demikian motivasi utama konsep </w:t>
      </w:r>
      <w:r w:rsidRPr="00AB107E">
        <w:rPr>
          <w:i/>
          <w:iCs/>
        </w:rPr>
        <w:t xml:space="preserve">legal aid </w:t>
      </w:r>
      <w:r w:rsidRPr="00AB107E">
        <w:t>adalah menegakkan hukum dengan jalan membela kepentingan hak asasi rakyat kecil yang tidak punya dan buta hukum.</w:t>
      </w:r>
      <w:r w:rsidRPr="00AB107E">
        <w:rPr>
          <w:rStyle w:val="FootnoteReference"/>
        </w:rPr>
        <w:footnoteReference w:id="4"/>
      </w:r>
    </w:p>
    <w:p w:rsidR="00E354F9" w:rsidRPr="00AB107E" w:rsidRDefault="00E354F9" w:rsidP="00E354F9">
      <w:pPr>
        <w:ind w:firstLine="748"/>
        <w:jc w:val="both"/>
      </w:pPr>
    </w:p>
    <w:p w:rsidR="00E354F9" w:rsidRPr="00AB107E" w:rsidRDefault="00E354F9" w:rsidP="00E354F9">
      <w:pPr>
        <w:spacing w:line="456" w:lineRule="auto"/>
        <w:ind w:firstLine="748"/>
        <w:jc w:val="both"/>
      </w:pPr>
      <w:r w:rsidRPr="00AB107E">
        <w:t xml:space="preserve">Menurut M. </w:t>
      </w:r>
      <w:r w:rsidRPr="00AB107E">
        <w:rPr>
          <w:bCs/>
        </w:rPr>
        <w:t>Yahya Harahap</w:t>
      </w:r>
      <w:r w:rsidRPr="00AB107E">
        <w:t xml:space="preserve">bantuan hukum adalah </w:t>
      </w:r>
      <w:r w:rsidRPr="00AB107E">
        <w:rPr>
          <w:i/>
          <w:iCs/>
        </w:rPr>
        <w:t xml:space="preserve">legal service </w:t>
      </w:r>
      <w:r w:rsidRPr="00AB107E">
        <w:t>atau pelayanan hukum yang terkandung makna atau tujuan:</w:t>
      </w:r>
    </w:p>
    <w:p w:rsidR="00E354F9" w:rsidRPr="00AB107E" w:rsidRDefault="00E354F9" w:rsidP="00CC209A">
      <w:pPr>
        <w:numPr>
          <w:ilvl w:val="0"/>
          <w:numId w:val="6"/>
        </w:numPr>
        <w:tabs>
          <w:tab w:val="left" w:pos="993"/>
        </w:tabs>
        <w:ind w:left="993"/>
        <w:jc w:val="both"/>
      </w:pPr>
      <w:r w:rsidRPr="00AB107E">
        <w:t xml:space="preserve">Memberi bantuan kepada anggota masyarakat yang operasionalnya menghapuskan kenyataan-kenyataan yang </w:t>
      </w:r>
      <w:r w:rsidRPr="00AB107E">
        <w:rPr>
          <w:i/>
          <w:iCs/>
        </w:rPr>
        <w:t xml:space="preserve">diskriminatif </w:t>
      </w:r>
      <w:r w:rsidRPr="00AB107E">
        <w:t>dalam penegakan dan pemberian jasa bantuan hukum antara rakyat miskin yang berpenghasilan kecil dengan masyarakat kaya yang menguasai sumber dana dan posisi kekuasaan.</w:t>
      </w:r>
    </w:p>
    <w:p w:rsidR="00E354F9" w:rsidRPr="00AB107E" w:rsidRDefault="00E354F9" w:rsidP="00CC209A">
      <w:pPr>
        <w:numPr>
          <w:ilvl w:val="0"/>
          <w:numId w:val="6"/>
        </w:numPr>
        <w:ind w:left="993"/>
        <w:jc w:val="both"/>
      </w:pPr>
      <w:r w:rsidRPr="00AB107E">
        <w:t>Dengan pelayanan hukum yang diberikan kepada anggota masyarakat yang memerlukan, dapat diwujudkan kebenaran hukum itu sendiri oleh aparat penegak hukum dengan jalan menghormati setiap hak yang diberikan hukum kepada setiap anggota masyarakat tanpa membedakan yang kaya dan miskin.</w:t>
      </w:r>
    </w:p>
    <w:p w:rsidR="00E354F9" w:rsidRPr="00AB107E" w:rsidRDefault="00E354F9" w:rsidP="00CC209A">
      <w:pPr>
        <w:numPr>
          <w:ilvl w:val="0"/>
          <w:numId w:val="6"/>
        </w:numPr>
        <w:ind w:left="993"/>
        <w:jc w:val="both"/>
      </w:pPr>
      <w:r w:rsidRPr="00AB107E">
        <w:rPr>
          <w:i/>
          <w:iCs/>
        </w:rPr>
        <w:t xml:space="preserve">Legal service </w:t>
      </w:r>
      <w:r w:rsidRPr="00AB107E">
        <w:t>dalam operasionalnya lebih cenderung menyelesaikan setiap persengketaan dengan jalan menempuh cara perdamaian.</w:t>
      </w:r>
      <w:r w:rsidRPr="00AB107E">
        <w:rPr>
          <w:rStyle w:val="FootnoteReference"/>
        </w:rPr>
        <w:footnoteReference w:id="5"/>
      </w:r>
    </w:p>
    <w:p w:rsidR="00E354F9" w:rsidRPr="00AB107E" w:rsidRDefault="00E354F9" w:rsidP="00E354F9">
      <w:pPr>
        <w:ind w:left="720"/>
        <w:jc w:val="both"/>
      </w:pPr>
    </w:p>
    <w:p w:rsidR="00E354F9" w:rsidRPr="00AB107E" w:rsidRDefault="00E354F9" w:rsidP="00E354F9">
      <w:pPr>
        <w:autoSpaceDE w:val="0"/>
        <w:autoSpaceDN w:val="0"/>
        <w:adjustRightInd w:val="0"/>
        <w:spacing w:line="480" w:lineRule="auto"/>
        <w:ind w:firstLine="720"/>
        <w:jc w:val="both"/>
        <w:rPr>
          <w:lang w:eastAsia="id-ID"/>
        </w:rPr>
      </w:pPr>
      <w:r w:rsidRPr="00AB107E">
        <w:rPr>
          <w:lang w:eastAsia="id-ID"/>
        </w:rPr>
        <w:t>Pada dasarnya, baik Eropa maupun di Amerika, terdapat dua model (sistem) bantuan hukum, yaitu :</w:t>
      </w:r>
    </w:p>
    <w:p w:rsidR="00E354F9" w:rsidRPr="00AB107E" w:rsidRDefault="00E354F9" w:rsidP="00CC209A">
      <w:pPr>
        <w:numPr>
          <w:ilvl w:val="1"/>
          <w:numId w:val="2"/>
        </w:numPr>
        <w:tabs>
          <w:tab w:val="left" w:pos="709"/>
        </w:tabs>
        <w:autoSpaceDE w:val="0"/>
        <w:autoSpaceDN w:val="0"/>
        <w:adjustRightInd w:val="0"/>
        <w:ind w:left="1080"/>
        <w:jc w:val="both"/>
        <w:rPr>
          <w:lang w:eastAsia="id-ID"/>
        </w:rPr>
      </w:pPr>
      <w:r w:rsidRPr="00AB107E">
        <w:rPr>
          <w:i/>
          <w:iCs/>
          <w:lang w:eastAsia="id-ID"/>
        </w:rPr>
        <w:t xml:space="preserve">Ajuridicial Right </w:t>
      </w:r>
      <w:r w:rsidRPr="00AB107E">
        <w:rPr>
          <w:lang w:eastAsia="id-ID"/>
        </w:rPr>
        <w:t>(model yuridis-individual).</w:t>
      </w:r>
    </w:p>
    <w:p w:rsidR="00E354F9" w:rsidRPr="00AB107E" w:rsidRDefault="00E354F9" w:rsidP="00E354F9">
      <w:pPr>
        <w:autoSpaceDE w:val="0"/>
        <w:autoSpaceDN w:val="0"/>
        <w:adjustRightInd w:val="0"/>
        <w:ind w:left="1080"/>
        <w:jc w:val="both"/>
        <w:rPr>
          <w:lang w:eastAsia="id-ID"/>
        </w:rPr>
      </w:pPr>
      <w:r w:rsidRPr="00AB107E">
        <w:rPr>
          <w:lang w:eastAsia="id-ID"/>
        </w:rPr>
        <w:t xml:space="preserve">Model </w:t>
      </w:r>
      <w:r w:rsidRPr="00AB107E">
        <w:rPr>
          <w:i/>
          <w:iCs/>
          <w:lang w:eastAsia="id-ID"/>
        </w:rPr>
        <w:t xml:space="preserve">A Juridicial Right </w:t>
      </w:r>
      <w:r w:rsidRPr="00AB107E">
        <w:rPr>
          <w:lang w:eastAsia="id-ID"/>
        </w:rPr>
        <w:t>menekankan pada sifat individualistis. Sifat individualistis ini maksudnya adalah setiap orang akan selalu mendapat hak untuk memperoleh bantuan hukum. Pada model yuridis individual masih terdapat ciri-ciri pola klasik dari bantuan hukum, artinya permintaan akan bantuan hukum atau perlindungan hukum tergantung pada warga masyarakat yang memerlukannya. Warga masyarakat yang memerlukan bantuan hukum menemui pengacara, dan pengacara akan memperoleh imbalan atas jasa-jasa yang diberikan kepada negara. Jadi, bilamana seseorang tidak mampu, maka seseorang itu akan mendapatkan bantuan hukum secara cuma-cuma (</w:t>
      </w:r>
      <w:r w:rsidRPr="00AB107E">
        <w:rPr>
          <w:i/>
          <w:iCs/>
          <w:lang w:eastAsia="id-ID"/>
        </w:rPr>
        <w:t>prodeo</w:t>
      </w:r>
      <w:r w:rsidRPr="00AB107E">
        <w:rPr>
          <w:lang w:eastAsia="id-ID"/>
        </w:rPr>
        <w:t>).</w:t>
      </w:r>
    </w:p>
    <w:p w:rsidR="00E354F9" w:rsidRPr="00AB107E" w:rsidRDefault="00E354F9" w:rsidP="00CC209A">
      <w:pPr>
        <w:numPr>
          <w:ilvl w:val="1"/>
          <w:numId w:val="2"/>
        </w:numPr>
        <w:tabs>
          <w:tab w:val="left" w:pos="709"/>
        </w:tabs>
        <w:autoSpaceDE w:val="0"/>
        <w:autoSpaceDN w:val="0"/>
        <w:adjustRightInd w:val="0"/>
        <w:ind w:left="1080"/>
        <w:jc w:val="both"/>
        <w:rPr>
          <w:lang w:eastAsia="id-ID"/>
        </w:rPr>
      </w:pPr>
      <w:r w:rsidRPr="00AB107E">
        <w:rPr>
          <w:i/>
          <w:iCs/>
          <w:lang w:eastAsia="id-ID"/>
        </w:rPr>
        <w:t xml:space="preserve">A Welfare Right </w:t>
      </w:r>
      <w:r w:rsidRPr="00AB107E">
        <w:rPr>
          <w:lang w:eastAsia="id-ID"/>
        </w:rPr>
        <w:t>(model kesejahteraan)</w:t>
      </w:r>
    </w:p>
    <w:p w:rsidR="00E354F9" w:rsidRPr="00AB107E" w:rsidRDefault="00E354F9" w:rsidP="00E354F9">
      <w:pPr>
        <w:tabs>
          <w:tab w:val="left" w:pos="709"/>
        </w:tabs>
        <w:autoSpaceDE w:val="0"/>
        <w:autoSpaceDN w:val="0"/>
        <w:adjustRightInd w:val="0"/>
        <w:ind w:left="1080"/>
        <w:jc w:val="both"/>
        <w:rPr>
          <w:lang w:eastAsia="id-ID"/>
        </w:rPr>
      </w:pPr>
      <w:r w:rsidRPr="00AB107E">
        <w:rPr>
          <w:lang w:eastAsia="id-ID"/>
        </w:rPr>
        <w:t xml:space="preserve">Sistem hukum di Amerika Serikat agak berbeda. Bantuan hukum di Amerika Serikat berada dibawah pengaturan </w:t>
      </w:r>
      <w:r w:rsidRPr="00AB107E">
        <w:rPr>
          <w:i/>
          <w:iCs/>
          <w:lang w:eastAsia="id-ID"/>
        </w:rPr>
        <w:t xml:space="preserve">criminal justice act </w:t>
      </w:r>
      <w:r w:rsidRPr="00AB107E">
        <w:rPr>
          <w:lang w:eastAsia="id-ID"/>
        </w:rPr>
        <w:t xml:space="preserve">dan </w:t>
      </w:r>
      <w:r w:rsidRPr="00AB107E">
        <w:rPr>
          <w:i/>
          <w:iCs/>
          <w:lang w:eastAsia="id-ID"/>
        </w:rPr>
        <w:t xml:space="preserve">economic opportunity act. </w:t>
      </w:r>
      <w:r w:rsidRPr="00AB107E">
        <w:rPr>
          <w:lang w:eastAsia="id-ID"/>
        </w:rPr>
        <w:t>Kedua peraturan tersebut mengarahkan bantuan hukum sebagai alat untuk mendapatkan keadilan bagi seluruh rakyat, terutama bagi mereka yang tidak mampu.</w:t>
      </w:r>
      <w:r w:rsidRPr="00AB107E">
        <w:rPr>
          <w:rStyle w:val="FootnoteReference"/>
          <w:lang w:eastAsia="id-ID"/>
        </w:rPr>
        <w:footnoteReference w:id="6"/>
      </w:r>
    </w:p>
    <w:p w:rsidR="00E354F9" w:rsidRPr="00AB107E" w:rsidRDefault="00E354F9" w:rsidP="00E354F9">
      <w:pPr>
        <w:autoSpaceDE w:val="0"/>
        <w:autoSpaceDN w:val="0"/>
        <w:adjustRightInd w:val="0"/>
        <w:spacing w:line="480" w:lineRule="auto"/>
        <w:ind w:firstLine="720"/>
        <w:jc w:val="both"/>
        <w:rPr>
          <w:lang w:eastAsia="id-ID"/>
        </w:rPr>
      </w:pPr>
      <w:r w:rsidRPr="00AB107E">
        <w:rPr>
          <w:lang w:eastAsia="id-ID"/>
        </w:rPr>
        <w:lastRenderedPageBreak/>
        <w:t>Melihat kedua model bantuan hukum tersebut, dapat diambil kesimpulan, dimana di satu pihak bantuan hukum dapat dilihat sebagai suatu hak yang diberikan kepada warga masyarakat untuk melindungi kepentingankepentingan individual dan di lain pihak sebagai suatu hak akan kesejahteraan yang menjadi bagian dari kerangka perlindungan sosial yang diberikan suatu negara kesejahteraan. Kedua model bantuan hukum tersebut kemudian menjadi model dasar beberapa pengertian tentang bantuan hukum yang berkembang di dunia barat pada umumnya. Pengertian bantuan hukum mempunyai ciri dalam istilah yang berbeda, yaitu :</w:t>
      </w:r>
    </w:p>
    <w:p w:rsidR="00E354F9" w:rsidRPr="00AB107E" w:rsidRDefault="00E354F9" w:rsidP="00CC209A">
      <w:pPr>
        <w:numPr>
          <w:ilvl w:val="0"/>
          <w:numId w:val="7"/>
        </w:numPr>
        <w:tabs>
          <w:tab w:val="left" w:pos="993"/>
        </w:tabs>
        <w:autoSpaceDE w:val="0"/>
        <w:autoSpaceDN w:val="0"/>
        <w:adjustRightInd w:val="0"/>
        <w:ind w:left="993"/>
        <w:jc w:val="both"/>
        <w:rPr>
          <w:lang w:eastAsia="id-ID"/>
        </w:rPr>
      </w:pPr>
      <w:r w:rsidRPr="00AB107E">
        <w:rPr>
          <w:i/>
          <w:iCs/>
          <w:lang w:eastAsia="id-ID"/>
        </w:rPr>
        <w:t xml:space="preserve">Legal aid. </w:t>
      </w:r>
      <w:r w:rsidRPr="00AB107E">
        <w:rPr>
          <w:lang w:eastAsia="id-ID"/>
        </w:rPr>
        <w:t xml:space="preserve">Bantuan hukum, sistem nasional yang diatur secara lokal dimana bantuan hukum ditunjukan bagi mereka yang kurang keuangannya dan tidak mampu membayar penasehat hukum pribadi. Dari pengertian ini jelas bahwa bantuan hukum yang dapat membantu mereka yang tidak mampu menyewa jasa penasehat hukum. Jadi </w:t>
      </w:r>
      <w:r w:rsidRPr="00AB107E">
        <w:rPr>
          <w:i/>
          <w:iCs/>
          <w:lang w:eastAsia="id-ID"/>
        </w:rPr>
        <w:t xml:space="preserve">Legal aid </w:t>
      </w:r>
      <w:r w:rsidRPr="00AB107E">
        <w:rPr>
          <w:lang w:eastAsia="id-ID"/>
        </w:rPr>
        <w:t>berarti pemberian jasa di bidang hukum kepada seseorang yang terlibat dalam suatu kasus atau perkara dimana dalam hal ini :</w:t>
      </w:r>
    </w:p>
    <w:p w:rsidR="00E354F9" w:rsidRPr="00AB107E" w:rsidRDefault="00E354F9" w:rsidP="00CC209A">
      <w:pPr>
        <w:numPr>
          <w:ilvl w:val="1"/>
          <w:numId w:val="7"/>
        </w:numPr>
        <w:autoSpaceDE w:val="0"/>
        <w:autoSpaceDN w:val="0"/>
        <w:adjustRightInd w:val="0"/>
        <w:ind w:left="1353"/>
        <w:jc w:val="both"/>
        <w:rPr>
          <w:lang w:eastAsia="id-ID"/>
        </w:rPr>
      </w:pPr>
      <w:r w:rsidRPr="00AB107E">
        <w:rPr>
          <w:lang w:eastAsia="id-ID"/>
        </w:rPr>
        <w:t>Pemberian jasa bantuan hukum dilakukan dengan cuma-Cuma.</w:t>
      </w:r>
    </w:p>
    <w:p w:rsidR="00E354F9" w:rsidRPr="00AB107E" w:rsidRDefault="00E354F9" w:rsidP="00CC209A">
      <w:pPr>
        <w:numPr>
          <w:ilvl w:val="1"/>
          <w:numId w:val="7"/>
        </w:numPr>
        <w:autoSpaceDE w:val="0"/>
        <w:autoSpaceDN w:val="0"/>
        <w:adjustRightInd w:val="0"/>
        <w:ind w:left="1418" w:hanging="425"/>
        <w:jc w:val="both"/>
        <w:rPr>
          <w:lang w:eastAsia="id-ID"/>
        </w:rPr>
      </w:pPr>
      <w:r w:rsidRPr="00AB107E">
        <w:rPr>
          <w:lang w:eastAsia="id-ID"/>
        </w:rPr>
        <w:t xml:space="preserve">Bantuan jasa hukum dalam </w:t>
      </w:r>
      <w:r w:rsidRPr="00AB107E">
        <w:rPr>
          <w:i/>
          <w:iCs/>
          <w:lang w:eastAsia="id-ID"/>
        </w:rPr>
        <w:t xml:space="preserve">legal aid </w:t>
      </w:r>
      <w:r w:rsidRPr="00AB107E">
        <w:rPr>
          <w:lang w:eastAsia="id-ID"/>
        </w:rPr>
        <w:t>lebih dikhususkan bagi yang tidak mampu dalam lapisan masyarakat miskin.</w:t>
      </w:r>
    </w:p>
    <w:p w:rsidR="00E354F9" w:rsidRPr="00AB107E" w:rsidRDefault="00E354F9" w:rsidP="00CC209A">
      <w:pPr>
        <w:numPr>
          <w:ilvl w:val="1"/>
          <w:numId w:val="7"/>
        </w:numPr>
        <w:autoSpaceDE w:val="0"/>
        <w:autoSpaceDN w:val="0"/>
        <w:adjustRightInd w:val="0"/>
        <w:ind w:left="1418" w:hanging="425"/>
        <w:jc w:val="both"/>
        <w:rPr>
          <w:i/>
          <w:iCs/>
          <w:lang w:eastAsia="id-ID"/>
        </w:rPr>
      </w:pPr>
      <w:r w:rsidRPr="00AB107E">
        <w:rPr>
          <w:lang w:eastAsia="id-ID"/>
        </w:rPr>
        <w:t xml:space="preserve">Degan demikian motivasi utama dalam konsep </w:t>
      </w:r>
      <w:r w:rsidRPr="00AB107E">
        <w:rPr>
          <w:i/>
          <w:iCs/>
          <w:lang w:eastAsia="id-ID"/>
        </w:rPr>
        <w:t xml:space="preserve">legal aid </w:t>
      </w:r>
      <w:r w:rsidRPr="00AB107E">
        <w:rPr>
          <w:lang w:eastAsia="id-ID"/>
        </w:rPr>
        <w:t>adalah menegakkan hukum dengan jalan berbeda kepentingan dan hak asasi rakyat kecil yang tidak punya dan buta hukum.</w:t>
      </w:r>
    </w:p>
    <w:p w:rsidR="00E354F9" w:rsidRPr="00AB107E" w:rsidRDefault="00E354F9" w:rsidP="00CC209A">
      <w:pPr>
        <w:numPr>
          <w:ilvl w:val="0"/>
          <w:numId w:val="7"/>
        </w:numPr>
        <w:autoSpaceDE w:val="0"/>
        <w:autoSpaceDN w:val="0"/>
        <w:adjustRightInd w:val="0"/>
        <w:ind w:left="993"/>
        <w:jc w:val="both"/>
        <w:rPr>
          <w:i/>
          <w:iCs/>
          <w:lang w:eastAsia="id-ID"/>
        </w:rPr>
      </w:pPr>
      <w:r w:rsidRPr="00AB107E">
        <w:rPr>
          <w:i/>
          <w:iCs/>
          <w:lang w:eastAsia="id-ID"/>
        </w:rPr>
        <w:t xml:space="preserve">Legal assistance. </w:t>
      </w:r>
      <w:r w:rsidRPr="00AB107E">
        <w:rPr>
          <w:lang w:eastAsia="id-ID"/>
        </w:rPr>
        <w:t xml:space="preserve">Pengertian </w:t>
      </w:r>
      <w:r w:rsidRPr="00AB107E">
        <w:rPr>
          <w:i/>
          <w:iCs/>
          <w:lang w:eastAsia="id-ID"/>
        </w:rPr>
        <w:t xml:space="preserve">legal assistance </w:t>
      </w:r>
      <w:r w:rsidRPr="00AB107E">
        <w:rPr>
          <w:lang w:eastAsia="id-ID"/>
        </w:rPr>
        <w:t xml:space="preserve">menjelaskan makna dan tujuan dari bantuan hukum lebih luas dari </w:t>
      </w:r>
      <w:r w:rsidRPr="00AB107E">
        <w:rPr>
          <w:i/>
          <w:iCs/>
          <w:lang w:eastAsia="id-ID"/>
        </w:rPr>
        <w:t>legal aid</w:t>
      </w:r>
      <w:r w:rsidRPr="00AB107E">
        <w:rPr>
          <w:lang w:eastAsia="id-ID"/>
        </w:rPr>
        <w:t xml:space="preserve">. </w:t>
      </w:r>
      <w:r w:rsidRPr="00AB107E">
        <w:rPr>
          <w:i/>
          <w:iCs/>
          <w:lang w:eastAsia="id-ID"/>
        </w:rPr>
        <w:t xml:space="preserve">Legal assistance </w:t>
      </w:r>
      <w:r w:rsidRPr="00AB107E">
        <w:rPr>
          <w:lang w:eastAsia="id-ID"/>
        </w:rPr>
        <w:t xml:space="preserve">lebih memaparkan profesi dari penasehat hukum sebagai ahli hukum, sehingga dalam pengertian itu sebagai ahli hukum, </w:t>
      </w:r>
      <w:r w:rsidRPr="00AB107E">
        <w:rPr>
          <w:i/>
          <w:iCs/>
          <w:lang w:eastAsia="id-ID"/>
        </w:rPr>
        <w:t xml:space="preserve">legal assistance </w:t>
      </w:r>
      <w:r w:rsidRPr="00AB107E">
        <w:rPr>
          <w:lang w:eastAsia="id-ID"/>
        </w:rPr>
        <w:t xml:space="preserve">dapat menyediakan jasa bantuan hukum untuk siapa saja tanpa terkecuali. Artinya, keahlian seorang ahli hukum dalam memberikan bantuan hukum tersebut tidak terbatas pada masyarakat miskin saja, tetapi juga bagi yang mampu membayar prestasi. Bagi sementara orang kata </w:t>
      </w:r>
      <w:r w:rsidRPr="00AB107E">
        <w:rPr>
          <w:i/>
          <w:iCs/>
          <w:lang w:eastAsia="id-ID"/>
        </w:rPr>
        <w:t xml:space="preserve">legal aid </w:t>
      </w:r>
      <w:r w:rsidRPr="00AB107E">
        <w:rPr>
          <w:lang w:eastAsia="id-ID"/>
        </w:rPr>
        <w:t xml:space="preserve">selalu harus dihubungkan dengan orang miskin yang tidak mampu membayar advokat, tetapi bagi sementara orang kata </w:t>
      </w:r>
      <w:r w:rsidRPr="00AB107E">
        <w:rPr>
          <w:i/>
          <w:iCs/>
          <w:lang w:eastAsia="id-ID"/>
        </w:rPr>
        <w:t xml:space="preserve">legal aid </w:t>
      </w:r>
      <w:r w:rsidRPr="00AB107E">
        <w:rPr>
          <w:lang w:eastAsia="id-ID"/>
        </w:rPr>
        <w:t xml:space="preserve">ini ditafsirkan sama dengan </w:t>
      </w:r>
      <w:r w:rsidRPr="00AB107E">
        <w:rPr>
          <w:i/>
          <w:iCs/>
          <w:lang w:eastAsia="id-ID"/>
        </w:rPr>
        <w:t xml:space="preserve">legal assistance </w:t>
      </w:r>
      <w:r w:rsidRPr="00AB107E">
        <w:rPr>
          <w:lang w:eastAsia="id-ID"/>
        </w:rPr>
        <w:t xml:space="preserve">yang biasanya punya konotasi pelayanan hukum atau jasa hukum dari masyarakat advokat kepada masyarakat mampu dan tidak mampu. Tafsiran umum yang dianut belakangan ini adalah </w:t>
      </w:r>
      <w:r w:rsidRPr="00AB107E">
        <w:rPr>
          <w:i/>
          <w:iCs/>
          <w:lang w:eastAsia="id-ID"/>
        </w:rPr>
        <w:t xml:space="preserve">legal aid </w:t>
      </w:r>
      <w:r w:rsidRPr="00AB107E">
        <w:rPr>
          <w:lang w:eastAsia="id-ID"/>
        </w:rPr>
        <w:t>sebagai bantuan hukum kepada masyarakat tidak mampu.</w:t>
      </w:r>
    </w:p>
    <w:p w:rsidR="00E354F9" w:rsidRPr="00AB107E" w:rsidRDefault="00E354F9" w:rsidP="00CC209A">
      <w:pPr>
        <w:numPr>
          <w:ilvl w:val="0"/>
          <w:numId w:val="7"/>
        </w:numPr>
        <w:autoSpaceDE w:val="0"/>
        <w:autoSpaceDN w:val="0"/>
        <w:adjustRightInd w:val="0"/>
        <w:ind w:left="993"/>
        <w:jc w:val="both"/>
        <w:rPr>
          <w:i/>
          <w:iCs/>
          <w:lang w:eastAsia="id-ID"/>
        </w:rPr>
      </w:pPr>
      <w:r w:rsidRPr="00AB107E">
        <w:rPr>
          <w:i/>
          <w:iCs/>
          <w:lang w:eastAsia="id-ID"/>
        </w:rPr>
        <w:lastRenderedPageBreak/>
        <w:t xml:space="preserve">Legal Service. </w:t>
      </w:r>
      <w:r w:rsidRPr="00AB107E">
        <w:rPr>
          <w:lang w:eastAsia="id-ID"/>
        </w:rPr>
        <w:t xml:space="preserve">Bila diterjemahkan secara bebas, arti dari </w:t>
      </w:r>
      <w:r w:rsidRPr="00AB107E">
        <w:rPr>
          <w:i/>
          <w:iCs/>
          <w:lang w:eastAsia="id-ID"/>
        </w:rPr>
        <w:t xml:space="preserve">legal service </w:t>
      </w:r>
      <w:r w:rsidRPr="00AB107E">
        <w:rPr>
          <w:lang w:eastAsia="id-ID"/>
        </w:rPr>
        <w:t xml:space="preserve">adalah pelayanan hukum, sehingga dalam pengertian </w:t>
      </w:r>
      <w:r w:rsidRPr="00AB107E">
        <w:rPr>
          <w:i/>
          <w:iCs/>
          <w:lang w:eastAsia="id-ID"/>
        </w:rPr>
        <w:t>legal service</w:t>
      </w:r>
      <w:r w:rsidRPr="00AB107E">
        <w:rPr>
          <w:lang w:eastAsia="id-ID"/>
        </w:rPr>
        <w:t>, bantuan hukum yang dimaksud sebagai gejala bentuk pemberian pelayanan oleh kaum profesi hukum kepada khalayak di dalam masyarakat dengan maksud untuk menjamin agar tidak ada seorang pun di dalam masyarakat yang terampas haknya untuk memperoleh nasehat-nasehat hukum yang diperlukannya hanya oleh karena sebab tidak dimilikinya sumber daya finansial yang cukup</w:t>
      </w:r>
      <w:r w:rsidRPr="00AB107E">
        <w:rPr>
          <w:i/>
          <w:iCs/>
          <w:lang w:eastAsia="id-ID"/>
        </w:rPr>
        <w:t>.</w:t>
      </w:r>
      <w:r w:rsidRPr="00AB107E">
        <w:rPr>
          <w:rStyle w:val="FootnoteReference"/>
          <w:iCs/>
          <w:lang w:eastAsia="id-ID"/>
        </w:rPr>
        <w:footnoteReference w:id="7"/>
      </w:r>
    </w:p>
    <w:p w:rsidR="00E354F9" w:rsidRPr="00AB107E" w:rsidRDefault="00E354F9" w:rsidP="00E354F9">
      <w:pPr>
        <w:autoSpaceDE w:val="0"/>
        <w:autoSpaceDN w:val="0"/>
        <w:adjustRightInd w:val="0"/>
        <w:jc w:val="both"/>
        <w:rPr>
          <w:lang w:eastAsia="id-ID"/>
        </w:rPr>
      </w:pPr>
    </w:p>
    <w:p w:rsidR="00E354F9" w:rsidRPr="00AB107E" w:rsidRDefault="00E354F9" w:rsidP="00E354F9">
      <w:pPr>
        <w:autoSpaceDE w:val="0"/>
        <w:autoSpaceDN w:val="0"/>
        <w:adjustRightInd w:val="0"/>
        <w:spacing w:line="456" w:lineRule="auto"/>
        <w:ind w:firstLine="720"/>
        <w:jc w:val="both"/>
        <w:rPr>
          <w:lang w:eastAsia="id-ID"/>
        </w:rPr>
      </w:pPr>
      <w:r w:rsidRPr="00AB107E">
        <w:rPr>
          <w:lang w:eastAsia="id-ID"/>
        </w:rPr>
        <w:t xml:space="preserve">Istilah </w:t>
      </w:r>
      <w:r w:rsidRPr="00AB107E">
        <w:rPr>
          <w:i/>
          <w:iCs/>
          <w:lang w:eastAsia="id-ID"/>
        </w:rPr>
        <w:t xml:space="preserve">legal service </w:t>
      </w:r>
      <w:r w:rsidRPr="00AB107E">
        <w:rPr>
          <w:lang w:eastAsia="id-ID"/>
        </w:rPr>
        <w:t xml:space="preserve">ini merupakan langkah-langkah yang diambil untuk menjamin agar operasi sistem hukum di dalam kenyataan tidak akan menajdi diskriminatif sebagai adanya perbedaan tingkat penghasilan, kekayaan dan sumber-sumber lainnya yang dikuasai individu-individu di dalam masyarakat. Hal ini dapat dilihat pada konsep dan ide </w:t>
      </w:r>
      <w:r w:rsidRPr="00AB107E">
        <w:rPr>
          <w:i/>
          <w:iCs/>
          <w:lang w:eastAsia="id-ID"/>
        </w:rPr>
        <w:t xml:space="preserve">legal service </w:t>
      </w:r>
      <w:r w:rsidRPr="00AB107E">
        <w:rPr>
          <w:lang w:eastAsia="id-ID"/>
        </w:rPr>
        <w:t>yang terkandung makna dan tujuan sebagai berikut :</w:t>
      </w:r>
    </w:p>
    <w:p w:rsidR="00E354F9" w:rsidRPr="00AB107E" w:rsidRDefault="00E354F9" w:rsidP="00CC209A">
      <w:pPr>
        <w:numPr>
          <w:ilvl w:val="1"/>
          <w:numId w:val="8"/>
        </w:numPr>
        <w:tabs>
          <w:tab w:val="left" w:pos="709"/>
        </w:tabs>
        <w:autoSpaceDE w:val="0"/>
        <w:autoSpaceDN w:val="0"/>
        <w:adjustRightInd w:val="0"/>
        <w:ind w:left="1080"/>
        <w:jc w:val="both"/>
        <w:rPr>
          <w:lang w:eastAsia="id-ID"/>
        </w:rPr>
      </w:pPr>
      <w:r w:rsidRPr="00AB107E">
        <w:rPr>
          <w:lang w:eastAsia="id-ID"/>
        </w:rPr>
        <w:t>Memberi bantuan kepada anggota masyarakat yang operasionalnya bertujuan menghapuskan kenyataan-kenyataan diskriminatif dalam penegakan dan pemberian jasa bantuan antara rakyat miskin yang berpenghasilan kecil dengan masyarakat kaya yang menguasai sumber dana dan posisi kekuasaan.</w:t>
      </w:r>
    </w:p>
    <w:p w:rsidR="00E354F9" w:rsidRPr="00AB107E" w:rsidRDefault="00E354F9" w:rsidP="00CC209A">
      <w:pPr>
        <w:numPr>
          <w:ilvl w:val="1"/>
          <w:numId w:val="8"/>
        </w:numPr>
        <w:tabs>
          <w:tab w:val="left" w:pos="709"/>
        </w:tabs>
        <w:autoSpaceDE w:val="0"/>
        <w:autoSpaceDN w:val="0"/>
        <w:adjustRightInd w:val="0"/>
        <w:ind w:left="1080"/>
        <w:jc w:val="both"/>
        <w:rPr>
          <w:lang w:eastAsia="id-ID"/>
        </w:rPr>
      </w:pPr>
      <w:r w:rsidRPr="00AB107E">
        <w:rPr>
          <w:lang w:eastAsia="id-ID"/>
        </w:rPr>
        <w:t>Dengan pelayanan hukum yang diberikan kepada anggota masyarakat yang memerlukan, dapat diwujudkan kebenaran hukum itu sendiri oleh aparat penegak hukum dengan jalan menghormati setiap hak yang dibenarkan hukum bagi setiap anggota masyarakat tanpa membedakan yang kaya dan miskin.</w:t>
      </w:r>
    </w:p>
    <w:p w:rsidR="00E354F9" w:rsidRPr="00AB107E" w:rsidRDefault="00E354F9" w:rsidP="00CC209A">
      <w:pPr>
        <w:numPr>
          <w:ilvl w:val="1"/>
          <w:numId w:val="8"/>
        </w:numPr>
        <w:tabs>
          <w:tab w:val="left" w:pos="709"/>
        </w:tabs>
        <w:autoSpaceDE w:val="0"/>
        <w:autoSpaceDN w:val="0"/>
        <w:adjustRightInd w:val="0"/>
        <w:ind w:left="1080"/>
        <w:jc w:val="both"/>
        <w:rPr>
          <w:lang w:eastAsia="id-ID"/>
        </w:rPr>
      </w:pPr>
      <w:r w:rsidRPr="00AB107E">
        <w:rPr>
          <w:lang w:eastAsia="id-ID"/>
        </w:rPr>
        <w:t xml:space="preserve">Di samping untuk menegakkan hukum dan penghormatan kepada yang di berikan hukum kepada setiap orang, </w:t>
      </w:r>
      <w:r w:rsidRPr="00AB107E">
        <w:rPr>
          <w:i/>
          <w:iCs/>
          <w:lang w:eastAsia="id-ID"/>
        </w:rPr>
        <w:t xml:space="preserve">legal service </w:t>
      </w:r>
      <w:r w:rsidRPr="00AB107E">
        <w:rPr>
          <w:lang w:eastAsia="id-ID"/>
        </w:rPr>
        <w:t>di dalam operasionalnya, lebih cendrung untuk menyelesaikan setiap persengketaan dengan jalan menempuh cara perdamaian.</w:t>
      </w:r>
      <w:r w:rsidRPr="00AB107E">
        <w:rPr>
          <w:rStyle w:val="FootnoteReference"/>
          <w:lang w:eastAsia="id-ID"/>
        </w:rPr>
        <w:footnoteReference w:id="8"/>
      </w:r>
    </w:p>
    <w:p w:rsidR="00E354F9" w:rsidRPr="00AB107E" w:rsidRDefault="00E354F9" w:rsidP="00E354F9">
      <w:pPr>
        <w:tabs>
          <w:tab w:val="left" w:pos="709"/>
        </w:tabs>
        <w:autoSpaceDE w:val="0"/>
        <w:autoSpaceDN w:val="0"/>
        <w:adjustRightInd w:val="0"/>
        <w:ind w:left="709"/>
        <w:jc w:val="both"/>
        <w:rPr>
          <w:lang w:eastAsia="id-ID"/>
        </w:rPr>
      </w:pPr>
    </w:p>
    <w:p w:rsidR="00E354F9" w:rsidRPr="00AB107E" w:rsidRDefault="00E354F9" w:rsidP="00E354F9">
      <w:pPr>
        <w:autoSpaceDE w:val="0"/>
        <w:autoSpaceDN w:val="0"/>
        <w:adjustRightInd w:val="0"/>
        <w:spacing w:line="528" w:lineRule="auto"/>
        <w:ind w:firstLine="709"/>
        <w:jc w:val="both"/>
        <w:rPr>
          <w:lang w:eastAsia="id-ID"/>
        </w:rPr>
      </w:pPr>
      <w:r w:rsidRPr="00AB107E">
        <w:rPr>
          <w:lang w:eastAsia="id-ID"/>
        </w:rPr>
        <w:t xml:space="preserve">Pelaksanaan di Indonesia, dalam kenyataan sehari-hari jarang sekali membedakan ketiga istilah tersebut, dan memang tampak sangat sulit memilih istilah bahasa hukum Indonesia bagi bentuk bantuan hukum di atas, baik di </w:t>
      </w:r>
      <w:r w:rsidRPr="00AB107E">
        <w:rPr>
          <w:lang w:eastAsia="id-ID"/>
        </w:rPr>
        <w:lastRenderedPageBreak/>
        <w:t>kalangan profesi hukum dan praktisi hukum, dan apalagi masyarakat yang awam hanya mempergunakan istilah bantuan hukum.</w:t>
      </w:r>
    </w:p>
    <w:p w:rsidR="00E354F9" w:rsidRPr="00AB107E" w:rsidRDefault="00E354F9" w:rsidP="00E354F9">
      <w:pPr>
        <w:autoSpaceDE w:val="0"/>
        <w:autoSpaceDN w:val="0"/>
        <w:adjustRightInd w:val="0"/>
        <w:spacing w:line="528" w:lineRule="auto"/>
        <w:ind w:firstLine="720"/>
        <w:jc w:val="both"/>
        <w:rPr>
          <w:lang w:eastAsia="id-ID"/>
        </w:rPr>
      </w:pPr>
      <w:r w:rsidRPr="00AB107E">
        <w:rPr>
          <w:lang w:eastAsia="id-ID"/>
        </w:rPr>
        <w:t>Arti dan tujuan program bantuan hukum berbeda-beda dan berubah-ubah, bukan saja dari suatu negara ke negara lainnya, melainkan juga dari satu zaman ke zaman lainnya. Sejarah pertumbuhan program bantuan hukum telah dilakukan oleh Mauro Cappeleti, dari penelitian tersebut ternyata program bantuan hukum kepada masyarakat miskin telah dimulai sejak zaman Romawi. Dari penelitian tersebut, dinyatakan bahwa tiap zaman arti dan tujuan pemberian bantuan hukum kepada masyarakat yang tidak mampu erat hubungannya dengan nilai-nilai moral, pandangan politik dan falsafah hukum yang berlaku.</w:t>
      </w:r>
      <w:r w:rsidRPr="00AB107E">
        <w:rPr>
          <w:rStyle w:val="FootnoteReference"/>
          <w:lang w:eastAsia="id-ID"/>
        </w:rPr>
        <w:footnoteReference w:id="9"/>
      </w:r>
    </w:p>
    <w:p w:rsidR="00E354F9" w:rsidRPr="00AB107E" w:rsidRDefault="00E354F9" w:rsidP="00E354F9">
      <w:pPr>
        <w:autoSpaceDE w:val="0"/>
        <w:autoSpaceDN w:val="0"/>
        <w:adjustRightInd w:val="0"/>
        <w:spacing w:line="528" w:lineRule="auto"/>
        <w:ind w:firstLine="720"/>
        <w:jc w:val="both"/>
        <w:rPr>
          <w:lang w:eastAsia="id-ID"/>
        </w:rPr>
      </w:pPr>
      <w:r w:rsidRPr="00AB107E">
        <w:rPr>
          <w:lang w:eastAsia="id-ID"/>
        </w:rPr>
        <w:t xml:space="preserve">Berdasarkan penelitian tersebut, dapat diketahui bahwa banyak faktor yang turut berperan dalam menentukan apa yang sebenarnya menjadi tujuan dari pada suatu program bantuan hukum itu sehingga untuk mengetahui secara jelas apa sebenarnya yang menjadi tujuan daripada suatu program bantuan hukum perlu diketahui bagaimana cita-cita moral yang menguasai suatu masyarakat, bagaimana kemauan politik yang dianut, serta falsafah hukum yang melandasinya. Misalnya saja pada zaman Romawi pemberian bantuan hukum oleh patron hanyalah didorong motivasi mendapatkan pengaruh dari rakyat. </w:t>
      </w:r>
    </w:p>
    <w:p w:rsidR="00E354F9" w:rsidRPr="00AB107E" w:rsidRDefault="00E354F9" w:rsidP="00E354F9">
      <w:pPr>
        <w:autoSpaceDE w:val="0"/>
        <w:autoSpaceDN w:val="0"/>
        <w:adjustRightInd w:val="0"/>
        <w:spacing w:line="480" w:lineRule="auto"/>
        <w:ind w:firstLine="720"/>
        <w:jc w:val="both"/>
        <w:rPr>
          <w:lang w:eastAsia="id-ID"/>
        </w:rPr>
      </w:pPr>
      <w:r w:rsidRPr="00AB107E">
        <w:rPr>
          <w:lang w:eastAsia="id-ID"/>
        </w:rPr>
        <w:t>Bantuan hukum pada zaman abad pertengahan masalah mendapat motivasi baru sebagai akibat pengaruh agama Kristen, yaitu keinginan untuk berlomba-lomba memberikan derma (</w:t>
      </w:r>
      <w:r w:rsidRPr="00AB107E">
        <w:rPr>
          <w:i/>
          <w:iCs/>
          <w:lang w:eastAsia="id-ID"/>
        </w:rPr>
        <w:t>charity</w:t>
      </w:r>
      <w:r w:rsidRPr="00AB107E">
        <w:rPr>
          <w:lang w:eastAsia="id-ID"/>
        </w:rPr>
        <w:t xml:space="preserve">) dalam bentuk membantu masyarakat miskin. </w:t>
      </w:r>
    </w:p>
    <w:p w:rsidR="00E354F9" w:rsidRPr="00AB107E" w:rsidRDefault="00E354F9" w:rsidP="00E354F9">
      <w:pPr>
        <w:autoSpaceDE w:val="0"/>
        <w:autoSpaceDN w:val="0"/>
        <w:adjustRightInd w:val="0"/>
        <w:spacing w:line="480" w:lineRule="auto"/>
        <w:ind w:firstLine="720"/>
        <w:jc w:val="both"/>
        <w:rPr>
          <w:lang w:eastAsia="id-ID"/>
        </w:rPr>
      </w:pPr>
      <w:r w:rsidRPr="00AB107E">
        <w:rPr>
          <w:lang w:eastAsia="id-ID"/>
        </w:rPr>
        <w:lastRenderedPageBreak/>
        <w:t xml:space="preserve">Sejak revolusi Perancis dan Amerika sampai zaman modern sekarang ini, motivasi pemberian bantuan hukum bukan hanya </w:t>
      </w:r>
      <w:r w:rsidRPr="00AB107E">
        <w:rPr>
          <w:i/>
          <w:iCs/>
          <w:lang w:eastAsia="id-ID"/>
        </w:rPr>
        <w:t xml:space="preserve">charity </w:t>
      </w:r>
      <w:r w:rsidRPr="00AB107E">
        <w:rPr>
          <w:lang w:eastAsia="id-ID"/>
        </w:rPr>
        <w:t>atau rasa prikemanusiaan kepada orang-orang yang tidak mampu, melainkan telah menimbulkan aspek hak-hak politik atau hak warga negara yang berlandaskan kepada konsitusi modern. Perkembangan mutakhir, konsep bantuan hukum kini dihubungkan dengan cita-cita negara kesejahteraan (</w:t>
      </w:r>
      <w:r w:rsidRPr="00AB107E">
        <w:rPr>
          <w:i/>
          <w:iCs/>
          <w:lang w:eastAsia="id-ID"/>
        </w:rPr>
        <w:t>welfare state</w:t>
      </w:r>
      <w:r w:rsidRPr="00AB107E">
        <w:rPr>
          <w:lang w:eastAsia="id-ID"/>
        </w:rPr>
        <w:t>) sehingga hampir setiap pemerintah dewasa ini membantu program bantuan hukum di negara-negara berkembang khususnya Asia.</w:t>
      </w:r>
    </w:p>
    <w:p w:rsidR="00E354F9" w:rsidRPr="00AB107E" w:rsidRDefault="00E354F9" w:rsidP="00E354F9">
      <w:pPr>
        <w:autoSpaceDE w:val="0"/>
        <w:autoSpaceDN w:val="0"/>
        <w:adjustRightInd w:val="0"/>
        <w:spacing w:line="480" w:lineRule="auto"/>
        <w:ind w:firstLine="720"/>
        <w:jc w:val="both"/>
        <w:rPr>
          <w:color w:val="000000"/>
          <w:lang w:eastAsia="id-ID"/>
        </w:rPr>
      </w:pPr>
      <w:r w:rsidRPr="00AB107E">
        <w:rPr>
          <w:lang w:eastAsia="id-ID"/>
        </w:rPr>
        <w:t xml:space="preserve">Arti dan tujuan program bantuan hukum di Indonesia adalah sebagimana tercantum dalam Pasal 3 Undang-Undang Nomor 16 Tahun 2011 Tentang Bantuan Hukum yang menyebutkan : </w:t>
      </w:r>
      <w:r w:rsidRPr="00AB107E">
        <w:rPr>
          <w:color w:val="000000"/>
          <w:lang w:eastAsia="id-ID"/>
        </w:rPr>
        <w:t xml:space="preserve">Penyelenggaraan Bantuan Hukum bertujuan untuk: </w:t>
      </w:r>
    </w:p>
    <w:p w:rsidR="00E354F9" w:rsidRPr="00AB107E" w:rsidRDefault="00E354F9" w:rsidP="00CC209A">
      <w:pPr>
        <w:numPr>
          <w:ilvl w:val="1"/>
          <w:numId w:val="3"/>
        </w:numPr>
        <w:tabs>
          <w:tab w:val="left" w:pos="851"/>
        </w:tabs>
        <w:autoSpaceDE w:val="0"/>
        <w:autoSpaceDN w:val="0"/>
        <w:adjustRightInd w:val="0"/>
        <w:ind w:left="1080"/>
        <w:jc w:val="both"/>
        <w:rPr>
          <w:color w:val="000000"/>
          <w:lang w:eastAsia="id-ID"/>
        </w:rPr>
      </w:pPr>
      <w:r w:rsidRPr="00AB107E">
        <w:rPr>
          <w:color w:val="000000"/>
          <w:lang w:eastAsia="id-ID"/>
        </w:rPr>
        <w:t>Menjamin dan memenuhi hak bagi Penerima Bantuan Hukum untuk mendapatkan akses keadilan</w:t>
      </w:r>
    </w:p>
    <w:p w:rsidR="00E354F9" w:rsidRPr="00AB107E" w:rsidRDefault="00E354F9" w:rsidP="00CC209A">
      <w:pPr>
        <w:numPr>
          <w:ilvl w:val="1"/>
          <w:numId w:val="3"/>
        </w:numPr>
        <w:tabs>
          <w:tab w:val="left" w:pos="851"/>
        </w:tabs>
        <w:autoSpaceDE w:val="0"/>
        <w:autoSpaceDN w:val="0"/>
        <w:adjustRightInd w:val="0"/>
        <w:ind w:left="1080"/>
        <w:jc w:val="both"/>
        <w:rPr>
          <w:color w:val="000000"/>
          <w:lang w:eastAsia="id-ID"/>
        </w:rPr>
      </w:pPr>
      <w:r w:rsidRPr="00AB107E">
        <w:rPr>
          <w:color w:val="000000"/>
          <w:lang w:eastAsia="id-ID"/>
        </w:rPr>
        <w:t>Mewujudkan hak konstitusional segala warga negara sesuai dengan prinsip persamaan kedudukan di dalam hukum.</w:t>
      </w:r>
    </w:p>
    <w:p w:rsidR="00E354F9" w:rsidRPr="00AB107E" w:rsidRDefault="00E354F9" w:rsidP="00CC209A">
      <w:pPr>
        <w:numPr>
          <w:ilvl w:val="1"/>
          <w:numId w:val="3"/>
        </w:numPr>
        <w:tabs>
          <w:tab w:val="left" w:pos="851"/>
        </w:tabs>
        <w:autoSpaceDE w:val="0"/>
        <w:autoSpaceDN w:val="0"/>
        <w:adjustRightInd w:val="0"/>
        <w:ind w:left="1080"/>
        <w:jc w:val="both"/>
        <w:rPr>
          <w:color w:val="000000"/>
          <w:lang w:eastAsia="id-ID"/>
        </w:rPr>
      </w:pPr>
      <w:r w:rsidRPr="00AB107E">
        <w:rPr>
          <w:color w:val="000000"/>
          <w:lang w:eastAsia="id-ID"/>
        </w:rPr>
        <w:t>Menjamin kepastian penyelenggaraan Bantuan Hukum dilaksanakan secara merata di seluruh wilayah Negara Republik Indonesia.</w:t>
      </w:r>
    </w:p>
    <w:p w:rsidR="00E354F9" w:rsidRPr="00AB107E" w:rsidRDefault="00E354F9" w:rsidP="00CC209A">
      <w:pPr>
        <w:numPr>
          <w:ilvl w:val="1"/>
          <w:numId w:val="3"/>
        </w:numPr>
        <w:tabs>
          <w:tab w:val="left" w:pos="851"/>
        </w:tabs>
        <w:autoSpaceDE w:val="0"/>
        <w:autoSpaceDN w:val="0"/>
        <w:adjustRightInd w:val="0"/>
        <w:ind w:left="1080"/>
        <w:jc w:val="both"/>
        <w:rPr>
          <w:color w:val="000000"/>
          <w:lang w:eastAsia="id-ID"/>
        </w:rPr>
      </w:pPr>
      <w:r w:rsidRPr="00AB107E">
        <w:rPr>
          <w:color w:val="000000"/>
          <w:lang w:eastAsia="id-ID"/>
        </w:rPr>
        <w:t xml:space="preserve">Mewujudkan peradilan yang efektif, efisien, dan dapat dipertanggungjawabkan. </w:t>
      </w:r>
    </w:p>
    <w:p w:rsidR="00E354F9" w:rsidRPr="00AB107E" w:rsidRDefault="00E354F9" w:rsidP="00E354F9">
      <w:pPr>
        <w:tabs>
          <w:tab w:val="left" w:pos="851"/>
        </w:tabs>
        <w:autoSpaceDE w:val="0"/>
        <w:autoSpaceDN w:val="0"/>
        <w:adjustRightInd w:val="0"/>
        <w:ind w:left="851"/>
        <w:jc w:val="both"/>
        <w:rPr>
          <w:color w:val="000000"/>
          <w:lang w:eastAsia="id-ID"/>
        </w:rPr>
      </w:pPr>
    </w:p>
    <w:p w:rsidR="00E354F9" w:rsidRPr="00AB107E" w:rsidRDefault="00E354F9" w:rsidP="00E354F9">
      <w:pPr>
        <w:autoSpaceDE w:val="0"/>
        <w:autoSpaceDN w:val="0"/>
        <w:adjustRightInd w:val="0"/>
        <w:spacing w:line="480" w:lineRule="auto"/>
        <w:ind w:firstLine="720"/>
        <w:jc w:val="both"/>
        <w:rPr>
          <w:lang w:eastAsia="id-ID"/>
        </w:rPr>
      </w:pPr>
      <w:r w:rsidRPr="00AB107E">
        <w:rPr>
          <w:lang w:eastAsia="id-ID"/>
        </w:rPr>
        <w:t xml:space="preserve">Melihat tujuan dari suatu bantuan hukum sebagaimana yang terdapat dalam Undang-Undang Nomor 16 Tahun 2011 Tentang Bantuan Hukum tersebut diketahui kalau tujuan dari bantuan hukum tidak lagi didasarkan semata-mata pada perasaan amal dan prikemanusiaan untuk memberikan pelayanan hukum. </w:t>
      </w:r>
    </w:p>
    <w:p w:rsidR="00E354F9" w:rsidRPr="00AB107E" w:rsidRDefault="00E354F9" w:rsidP="00CC209A">
      <w:pPr>
        <w:numPr>
          <w:ilvl w:val="0"/>
          <w:numId w:val="4"/>
        </w:numPr>
        <w:spacing w:line="480" w:lineRule="auto"/>
        <w:ind w:left="360"/>
        <w:jc w:val="both"/>
      </w:pPr>
      <w:r w:rsidRPr="00AB107E">
        <w:rPr>
          <w:lang w:eastAsia="id-ID"/>
        </w:rPr>
        <w:t>M</w:t>
      </w:r>
      <w:r w:rsidRPr="00AB107E">
        <w:t>enjamin dan memenuhi hak bagi Penerima Bantuan Hukum untuk mendapatkan akses keadilan.</w:t>
      </w:r>
    </w:p>
    <w:p w:rsidR="00E354F9" w:rsidRPr="00AB107E" w:rsidRDefault="00E354F9" w:rsidP="00CC209A">
      <w:pPr>
        <w:numPr>
          <w:ilvl w:val="0"/>
          <w:numId w:val="4"/>
        </w:numPr>
        <w:spacing w:line="480" w:lineRule="auto"/>
        <w:ind w:left="360"/>
        <w:jc w:val="both"/>
      </w:pPr>
      <w:r w:rsidRPr="00AB107E">
        <w:lastRenderedPageBreak/>
        <w:t>Mewujudkan Hak Konstitusional segala warga Negara sesuai dengan prinsip persamaan kedudukan di dalam hukum.</w:t>
      </w:r>
    </w:p>
    <w:p w:rsidR="00E354F9" w:rsidRPr="00AB107E" w:rsidRDefault="00E354F9" w:rsidP="00CC209A">
      <w:pPr>
        <w:numPr>
          <w:ilvl w:val="0"/>
          <w:numId w:val="4"/>
        </w:numPr>
        <w:spacing w:line="480" w:lineRule="auto"/>
        <w:ind w:left="360"/>
        <w:jc w:val="both"/>
      </w:pPr>
      <w:r w:rsidRPr="00AB107E">
        <w:t>Menjamin kepastian Penyelenggaraan Bantuan Hukum dilaksanakan secara merata di seluruh wilayah Negara Republik Indonesia.</w:t>
      </w:r>
    </w:p>
    <w:p w:rsidR="00E354F9" w:rsidRPr="00AB107E" w:rsidRDefault="00E354F9" w:rsidP="00CC209A">
      <w:pPr>
        <w:numPr>
          <w:ilvl w:val="0"/>
          <w:numId w:val="4"/>
        </w:numPr>
        <w:spacing w:line="480" w:lineRule="auto"/>
        <w:ind w:left="360"/>
        <w:jc w:val="both"/>
      </w:pPr>
      <w:r w:rsidRPr="00AB107E">
        <w:t xml:space="preserve">Mewujudkan peradilan yang efektif, efisien dan dapat dipertanggung jawabkan. </w:t>
      </w:r>
    </w:p>
    <w:p w:rsidR="00E354F9" w:rsidRPr="00AB107E" w:rsidRDefault="00E354F9" w:rsidP="00E354F9">
      <w:pPr>
        <w:spacing w:line="480" w:lineRule="auto"/>
        <w:ind w:firstLine="709"/>
        <w:jc w:val="both"/>
        <w:rPr>
          <w:lang w:eastAsia="id-ID"/>
        </w:rPr>
      </w:pPr>
      <w:r w:rsidRPr="00AB107E">
        <w:rPr>
          <w:lang w:eastAsia="id-ID"/>
        </w:rPr>
        <w:t>Melihat tujuan dari suatu bantuan hukum sebagaimana yang terdapat dalam Undang-Undang Nomor 16 Tahun 2011 Tentang Bantuan Hukum tersebut diketahui kalau tujuan dari bantuan hukum tidak lagi didasarkan semata-mata pada perasaan amal dan prikemanusiaan untuk memberikan pelayanan hukum.</w:t>
      </w:r>
    </w:p>
    <w:p w:rsidR="00E354F9" w:rsidRPr="00AB107E" w:rsidRDefault="00E354F9" w:rsidP="00E354F9">
      <w:pPr>
        <w:spacing w:line="456" w:lineRule="auto"/>
        <w:ind w:firstLine="720"/>
        <w:jc w:val="both"/>
      </w:pPr>
      <w:r w:rsidRPr="00AB107E">
        <w:rPr>
          <w:lang w:val="fi-FI"/>
        </w:rPr>
        <w:t>Adanya jaminan dan perlindungan tersebut memberikan petunjuk akan pentingnya bantuan hukum guna menjamin agar setiap orang dapat terlindungi hak-haknya dari tindakan hukum yang diskriminatif sehingga apa yang menjadi tujuan negara untuk menciptakan persamaan dihadapan hukum, dapat terlaksana karena berjalannya fungsi dari bantuan hukum tersebut</w:t>
      </w:r>
      <w:bookmarkStart w:id="2" w:name="_ftnref2"/>
      <w:bookmarkEnd w:id="2"/>
      <w:r w:rsidRPr="00AB107E">
        <w:rPr>
          <w:rStyle w:val="FootnoteReference"/>
        </w:rPr>
        <w:t>.</w:t>
      </w:r>
    </w:p>
    <w:p w:rsidR="00E354F9" w:rsidRPr="00AB107E" w:rsidRDefault="00E354F9" w:rsidP="00E354F9">
      <w:pPr>
        <w:spacing w:line="456" w:lineRule="auto"/>
        <w:ind w:firstLine="720"/>
        <w:jc w:val="both"/>
        <w:rPr>
          <w:lang w:val="fi-FI"/>
        </w:rPr>
      </w:pPr>
      <w:r w:rsidRPr="00AB107E">
        <w:rPr>
          <w:lang w:val="fi-FI"/>
        </w:rPr>
        <w:t>Bantuan hukum merupakan hal yang sangat esensial dalam menciptakan kehidupan yang adil serta melindungi Hak Asasi Manusia, dimana Bantuan Hukum yang diberikan bertujuan untuk melindungi hak-hak masyarakat dalam hal tersangkut masalah hukum guna menghindari dari segala macam tindakan-tindakan yang dapat membahayakannya atau tindakan sewenang-wenang aparat penegak hukum.</w:t>
      </w:r>
    </w:p>
    <w:p w:rsidR="00E354F9" w:rsidRPr="00AB107E" w:rsidRDefault="00E354F9" w:rsidP="00E354F9">
      <w:pPr>
        <w:spacing w:line="456" w:lineRule="auto"/>
        <w:ind w:firstLine="720"/>
        <w:jc w:val="both"/>
        <w:rPr>
          <w:lang w:val="fi-FI"/>
        </w:rPr>
      </w:pPr>
      <w:r w:rsidRPr="00AB107E">
        <w:rPr>
          <w:lang w:val="fi-FI"/>
        </w:rPr>
        <w:t xml:space="preserve">Tanpa adanya bantuan hukum yang serius dari pihak-pihak yang memahami liku-liku hukum, orang-orang miskin akan terdiskriminasi dihadapan hukum, bantuan hukum akan mambantu mereka yang miskin itu untuk bisa berdiri </w:t>
      </w:r>
      <w:r w:rsidRPr="00AB107E">
        <w:rPr>
          <w:lang w:val="fi-FI"/>
        </w:rPr>
        <w:lastRenderedPageBreak/>
        <w:t>sama tinggi dan duduk sama rendah” dengan golongan-golongan lain yang mampu dihadapan hukum. Bantuan hukum pun akan memulihkan kepercayaan mereka yang berada dilapisan bawah itu kepada hukum, karena dengan bantuan hukum itu mereka akan didengar dan ditanggapi oleh hukum dan para penegaknya.</w:t>
      </w:r>
      <w:bookmarkStart w:id="3" w:name="_ftnref3"/>
      <w:bookmarkEnd w:id="3"/>
    </w:p>
    <w:p w:rsidR="00E354F9" w:rsidRPr="00AB107E" w:rsidRDefault="00E354F9" w:rsidP="00E354F9">
      <w:pPr>
        <w:spacing w:line="456" w:lineRule="auto"/>
        <w:ind w:firstLine="720"/>
        <w:jc w:val="both"/>
      </w:pPr>
      <w:r w:rsidRPr="00AB107E">
        <w:rPr>
          <w:lang w:val="fi-FI"/>
        </w:rPr>
        <w:t>Bantuan hukum pada dasarnya sangat dibutuhkan pada setiap tingkat pemeriksaan, terlebih terhadap terpidana yang sering sekali terabaikan hak-haknya, sering kali terpidana tidak mengetahui akan hak-hak nya hal ini dikarenakan hak-hak yang telah diatur oleh hukum tersebut tidak dilaksanakan dengan baik oleh pelaksananya karena tidak sengaja tidak dilakukan ataupun karena si terpidana tidak mengetahui akan adanya hak-hak tersebut..</w:t>
      </w:r>
      <w:bookmarkStart w:id="4" w:name="_ftnref4"/>
      <w:bookmarkEnd w:id="4"/>
      <w:r w:rsidRPr="00AB107E">
        <w:rPr>
          <w:lang w:val="fi-FI"/>
        </w:rPr>
        <w:t xml:space="preserve"> Sehingga untuk menjamin terlaksananya hak tersebut perlu adanya bantuan hukum yang diberikan terhadap terpidana dalam rangka perlindungan HAM.</w:t>
      </w:r>
    </w:p>
    <w:p w:rsidR="00E354F9" w:rsidRPr="00AB107E" w:rsidRDefault="00E354F9" w:rsidP="00E354F9">
      <w:pPr>
        <w:spacing w:line="456" w:lineRule="auto"/>
        <w:ind w:firstLine="720"/>
        <w:jc w:val="both"/>
        <w:rPr>
          <w:lang w:eastAsia="id-ID"/>
        </w:rPr>
      </w:pPr>
      <w:r w:rsidRPr="00AB107E">
        <w:rPr>
          <w:lang w:val="sv-SE" w:eastAsia="id-ID"/>
        </w:rPr>
        <w:t>Konsepsi Indonesia sebagai sebuah negara hukum</w:t>
      </w:r>
      <w:bookmarkStart w:id="5" w:name="_ftnref10"/>
      <w:bookmarkEnd w:id="5"/>
      <w:r w:rsidRPr="00AB107E">
        <w:rPr>
          <w:lang w:val="sv-SE" w:eastAsia="id-ID"/>
        </w:rPr>
        <w:t xml:space="preserve"> sebagaimana yang termuat dalam konstitusi telah memberikan jaminan yang tegas akan pentingnya perlindungan terhadap Hak Asasi Manusia, perlindungan terhadap HAM tersebut dalam Konstitusi dapat terlihat dari adanya jaminan yang tegas dalam pasal 27 UUD 1945 yang menyatakan bahwa ”</w:t>
      </w:r>
      <w:r w:rsidRPr="00AB107E">
        <w:rPr>
          <w:iCs/>
          <w:lang w:val="sv-SE" w:eastAsia="id-ID"/>
        </w:rPr>
        <w:t>setiap warga negara memiliki kedudukan yang yang sama dihadapan hukum dan pemerintahan”</w:t>
      </w:r>
      <w:r w:rsidRPr="00AB107E">
        <w:rPr>
          <w:iCs/>
          <w:lang w:eastAsia="id-ID"/>
        </w:rPr>
        <w:t>.</w:t>
      </w:r>
      <w:r w:rsidRPr="00AB107E">
        <w:rPr>
          <w:lang w:val="sv-SE" w:eastAsia="id-ID"/>
        </w:rPr>
        <w:t xml:space="preserve"> Ditambahkan pula jaminan bahwa setiap orang berhak atas pengakuan, jaminan, perlindungan dan kepastian hukum yang adil serta perlakuan yang sama dihadapan hukum (pasal 28 D (1)). Ini diperinci lagi dalam pasal 28 I (1) UUD 1945 bahwa hak untuk hidup, hak untuk tidak disiksa, hak kemerdekaan pikiran dan hati nurani, hak untuk beragama, hak untuk tidak diperbudak, hak untuk diakui sebagai pribadi dihadapan hukum dan hak untuk tidak dapat dituntut atas dasar hukum yang </w:t>
      </w:r>
      <w:r w:rsidRPr="00AB107E">
        <w:rPr>
          <w:lang w:val="sv-SE" w:eastAsia="id-ID"/>
        </w:rPr>
        <w:lastRenderedPageBreak/>
        <w:t>berlaku surut adalah hak asasi manusia yang tidak dapat dikurangi dalam keadaan apapun.</w:t>
      </w:r>
      <w:bookmarkStart w:id="6" w:name="_ftnref11"/>
      <w:bookmarkEnd w:id="6"/>
      <w:r w:rsidRPr="00AB107E">
        <w:rPr>
          <w:rStyle w:val="FootnoteReference"/>
          <w:lang w:val="sv-SE" w:eastAsia="id-ID"/>
        </w:rPr>
        <w:footnoteReference w:id="10"/>
      </w:r>
    </w:p>
    <w:p w:rsidR="00E354F9" w:rsidRPr="00AB107E" w:rsidRDefault="00E354F9" w:rsidP="00E354F9">
      <w:pPr>
        <w:spacing w:line="444" w:lineRule="auto"/>
        <w:ind w:firstLine="720"/>
        <w:jc w:val="both"/>
        <w:rPr>
          <w:lang w:eastAsia="id-ID"/>
        </w:rPr>
      </w:pPr>
      <w:r w:rsidRPr="00AB107E">
        <w:rPr>
          <w:lang w:val="sv-SE" w:eastAsia="id-ID"/>
        </w:rPr>
        <w:t>Dimuatnya ketentuan tersebut dalam konstitusi menandakan bahwa pemerintah telah memberikan jaminan perlindungan terhadap HAM, yang pelaksanaannya ditunjukkan dengan adanya peraturan perundang-undangan yang mengatur dan memberikan perlindungan terhadap HAM. Konsepsi HAM yang dianut oleh suatu Negara dapat dengan mudah diteliti melalui praktek kehidupan berbangsa dan bernegara melalui pengaturan hukum positif yang berlaku, termasuk hukum acara pidana yang diterapkan untuk melindungi terpidana, kedudukan terpidana dihadapan hukum adalah sama dengan subjek hukum lainnya, sehingga wajar pula HAM mereka harus dilindungi. Hukum pidana didalam praktek pelaksanaannya merupakan piranti hukum yang sarat dengan muatan Hak Asasi Manusia, karena hukum pidana memuat rambu-rambu yang melindungi manusia dari berbagai pelanggaran berat terhadap hak dan kebebasan dasar manusia. Bentuk hukum pidana tersebut merupakan mata rantai yang terikat dalam kerangka sistem peradilan pidana.</w:t>
      </w:r>
      <w:bookmarkStart w:id="7" w:name="_ftnref12"/>
      <w:bookmarkEnd w:id="7"/>
      <w:r w:rsidRPr="00AB107E">
        <w:rPr>
          <w:lang w:val="sv-SE" w:eastAsia="id-ID"/>
        </w:rPr>
        <w:t xml:space="preserve"> Penjabaran lebih lanjut tampak pada penerapan hukum acara pidana untuk memperoses kasus pidana yang dituduhkan kepada seseorang. Di Indonesia dapat dilihat pada praktek pelaksanaan proses peradilan pidana yang diatur dalam KUHAP, dianggap telah banyak melindungi hak asasi seseorang yang terkait masalah pidana. </w:t>
      </w:r>
    </w:p>
    <w:p w:rsidR="00E354F9" w:rsidRPr="00AB107E" w:rsidRDefault="00E354F9" w:rsidP="00E354F9">
      <w:pPr>
        <w:spacing w:line="480" w:lineRule="auto"/>
        <w:ind w:firstLine="720"/>
        <w:jc w:val="both"/>
        <w:rPr>
          <w:lang w:eastAsia="id-ID"/>
        </w:rPr>
      </w:pPr>
      <w:r w:rsidRPr="00AB107E">
        <w:rPr>
          <w:lang w:val="sv-SE" w:eastAsia="id-ID"/>
        </w:rPr>
        <w:t>Jaminan perlindungan HAM yang terdapat dalam KUHAP dapat dilihat dari adanya 10 asas yang memberikan jaminan dan perlindungan terhadap HAM, antara lain sebagai berikut:</w:t>
      </w:r>
      <w:r w:rsidRPr="00AB107E">
        <w:rPr>
          <w:rStyle w:val="FootnoteReference"/>
          <w:lang w:val="sv-SE" w:eastAsia="id-ID"/>
        </w:rPr>
        <w:footnoteReference w:id="11"/>
      </w:r>
    </w:p>
    <w:p w:rsidR="00E354F9" w:rsidRPr="00AB107E" w:rsidRDefault="00E354F9" w:rsidP="00CC209A">
      <w:pPr>
        <w:numPr>
          <w:ilvl w:val="0"/>
          <w:numId w:val="13"/>
        </w:numPr>
        <w:tabs>
          <w:tab w:val="left" w:pos="1134"/>
        </w:tabs>
        <w:jc w:val="both"/>
        <w:rPr>
          <w:lang w:eastAsia="id-ID"/>
        </w:rPr>
      </w:pPr>
      <w:r w:rsidRPr="00AB107E">
        <w:rPr>
          <w:lang w:val="sv-SE" w:eastAsia="id-ID"/>
        </w:rPr>
        <w:lastRenderedPageBreak/>
        <w:t>Perlakuan yang sama atas diri setiap orang dimuka hukum dengan tidak membedakan perlakuan</w:t>
      </w:r>
    </w:p>
    <w:p w:rsidR="00E354F9" w:rsidRPr="00AB107E" w:rsidRDefault="00E354F9" w:rsidP="00CC209A">
      <w:pPr>
        <w:numPr>
          <w:ilvl w:val="0"/>
          <w:numId w:val="13"/>
        </w:numPr>
        <w:tabs>
          <w:tab w:val="left" w:pos="1134"/>
        </w:tabs>
        <w:ind w:left="1134" w:hanging="425"/>
        <w:jc w:val="both"/>
        <w:rPr>
          <w:lang w:eastAsia="id-ID"/>
        </w:rPr>
      </w:pPr>
      <w:r w:rsidRPr="00AB107E">
        <w:rPr>
          <w:lang w:val="sv-SE" w:eastAsia="id-ID"/>
        </w:rPr>
        <w:t>Penangkapan, penahanan, penggeledahan dan penyitaan hanya dilakukan berdasarkan perintah tertulis oleh pejabat yang diberi wewenang oleh undang-undang dan hanya dalam hal dan cara yang diatur dalam undang-undang</w:t>
      </w:r>
    </w:p>
    <w:p w:rsidR="00E354F9" w:rsidRPr="00AB107E" w:rsidRDefault="00E354F9" w:rsidP="00CC209A">
      <w:pPr>
        <w:numPr>
          <w:ilvl w:val="0"/>
          <w:numId w:val="13"/>
        </w:numPr>
        <w:tabs>
          <w:tab w:val="left" w:pos="1134"/>
        </w:tabs>
        <w:ind w:left="1134" w:hanging="425"/>
        <w:jc w:val="both"/>
        <w:rPr>
          <w:lang w:eastAsia="id-ID"/>
        </w:rPr>
      </w:pPr>
      <w:r w:rsidRPr="00AB107E">
        <w:rPr>
          <w:lang w:val="sv-SE" w:eastAsia="id-ID"/>
        </w:rPr>
        <w:t>Setiap orang yang disangka, ditangkap, ditahan, dituntut ataupun dihadapkan dimuka sidang pengadilan, wajib dianggap tidak bersalah sampai adanya putusan pengadilan yang menyatakan kesalahannya dan berkekuatan hukum tetap.</w:t>
      </w:r>
    </w:p>
    <w:p w:rsidR="00E354F9" w:rsidRPr="00AB107E" w:rsidRDefault="00E354F9" w:rsidP="00CC209A">
      <w:pPr>
        <w:numPr>
          <w:ilvl w:val="0"/>
          <w:numId w:val="13"/>
        </w:numPr>
        <w:tabs>
          <w:tab w:val="left" w:pos="1134"/>
        </w:tabs>
        <w:ind w:left="1134" w:hanging="425"/>
        <w:jc w:val="both"/>
        <w:rPr>
          <w:lang w:eastAsia="id-ID"/>
        </w:rPr>
      </w:pPr>
      <w:r w:rsidRPr="00AB107E">
        <w:rPr>
          <w:lang w:val="sv-SE" w:eastAsia="id-ID"/>
        </w:rPr>
        <w:t>Kepada seseorang yang ditangkap, ditahan, dituntut ataupun diadili tanpa alasan yang berdasarkan undang-undang dan atau karena kekeliruan mengenai orangnya atau hukum yang diterapkan wajib diberi ganti kerugian dan rehabilitasi sejak tingkat penyidikan dan para pejabat penegak hukum yang dengan sengaja atau karena kelalaiannya menyebabklan asas hukum tersebut dilanggar, dituntut, dipidana dan atau dikenakan hukuman administrasi</w:t>
      </w:r>
    </w:p>
    <w:p w:rsidR="00E354F9" w:rsidRPr="00AB107E" w:rsidRDefault="00E354F9" w:rsidP="00CC209A">
      <w:pPr>
        <w:numPr>
          <w:ilvl w:val="0"/>
          <w:numId w:val="13"/>
        </w:numPr>
        <w:tabs>
          <w:tab w:val="left" w:pos="1134"/>
        </w:tabs>
        <w:ind w:left="1134" w:hanging="425"/>
        <w:jc w:val="both"/>
        <w:rPr>
          <w:lang w:eastAsia="id-ID"/>
        </w:rPr>
      </w:pPr>
      <w:r w:rsidRPr="00AB107E">
        <w:rPr>
          <w:lang w:val="sv-SE" w:eastAsia="id-ID"/>
        </w:rPr>
        <w:t>Peradilan harus dilakukan dengan cepat, sederhana dan biaya ringan serta bebas, jujur dan tidak memihak harus diterapkan secara konsekuen pada semua tingkat peradilan</w:t>
      </w:r>
    </w:p>
    <w:p w:rsidR="00E354F9" w:rsidRPr="00AB107E" w:rsidRDefault="00E354F9" w:rsidP="00CC209A">
      <w:pPr>
        <w:numPr>
          <w:ilvl w:val="0"/>
          <w:numId w:val="13"/>
        </w:numPr>
        <w:tabs>
          <w:tab w:val="left" w:pos="1134"/>
        </w:tabs>
        <w:ind w:left="1134" w:hanging="425"/>
        <w:jc w:val="both"/>
        <w:rPr>
          <w:lang w:eastAsia="id-ID"/>
        </w:rPr>
      </w:pPr>
      <w:r w:rsidRPr="00AB107E">
        <w:rPr>
          <w:lang w:val="sv-SE" w:eastAsia="id-ID"/>
        </w:rPr>
        <w:t>Setiap orang yang tersangkut perkara wajib diberi kesempatan memeproleh bantuan hukum yang semata-mata ditujukan untuk melaksanakan kepentingan pembelaaan atas dirinya</w:t>
      </w:r>
    </w:p>
    <w:p w:rsidR="00E354F9" w:rsidRPr="00AB107E" w:rsidRDefault="00E354F9" w:rsidP="00CC209A">
      <w:pPr>
        <w:numPr>
          <w:ilvl w:val="0"/>
          <w:numId w:val="13"/>
        </w:numPr>
        <w:tabs>
          <w:tab w:val="left" w:pos="1134"/>
        </w:tabs>
        <w:ind w:left="1134" w:hanging="425"/>
        <w:jc w:val="both"/>
        <w:rPr>
          <w:lang w:eastAsia="id-ID"/>
        </w:rPr>
      </w:pPr>
      <w:r w:rsidRPr="00AB107E">
        <w:rPr>
          <w:lang w:val="sv-SE" w:eastAsia="id-ID"/>
        </w:rPr>
        <w:t>Kepada seorang tersangka, sejak saat dilakukannya penangkapan dan atau penahanan selain wajib diberitahu apa yang didakwakan kepadanya, juga wajib diberitahu haknya itu termasuk hak untuk menghubungi dan meminta bantuan penasehat hukum</w:t>
      </w:r>
    </w:p>
    <w:p w:rsidR="00E354F9" w:rsidRPr="00AB107E" w:rsidRDefault="00E354F9" w:rsidP="00CC209A">
      <w:pPr>
        <w:numPr>
          <w:ilvl w:val="0"/>
          <w:numId w:val="13"/>
        </w:numPr>
        <w:tabs>
          <w:tab w:val="left" w:pos="1134"/>
        </w:tabs>
        <w:ind w:left="1134" w:hanging="425"/>
        <w:jc w:val="both"/>
        <w:rPr>
          <w:lang w:eastAsia="id-ID"/>
        </w:rPr>
      </w:pPr>
      <w:r w:rsidRPr="00AB107E">
        <w:rPr>
          <w:lang w:val="sv-SE" w:eastAsia="id-ID"/>
        </w:rPr>
        <w:t>Pengadilan memeriksa perkara pidana dengan hadirnya terdakwa</w:t>
      </w:r>
    </w:p>
    <w:p w:rsidR="00E354F9" w:rsidRPr="00AB107E" w:rsidRDefault="00E354F9" w:rsidP="00CC209A">
      <w:pPr>
        <w:numPr>
          <w:ilvl w:val="0"/>
          <w:numId w:val="13"/>
        </w:numPr>
        <w:tabs>
          <w:tab w:val="left" w:pos="1134"/>
        </w:tabs>
        <w:ind w:left="1134" w:hanging="425"/>
        <w:jc w:val="both"/>
        <w:rPr>
          <w:lang w:eastAsia="id-ID"/>
        </w:rPr>
      </w:pPr>
      <w:r w:rsidRPr="00AB107E">
        <w:rPr>
          <w:lang w:val="sv-SE" w:eastAsia="id-ID"/>
        </w:rPr>
        <w:t>Sidang pemeriksaan pengadilan terbuka untuk umum, kecuali dalam hal yang diatur oleh undang-undang</w:t>
      </w:r>
    </w:p>
    <w:p w:rsidR="00E354F9" w:rsidRPr="00AB107E" w:rsidRDefault="00E354F9" w:rsidP="00CC209A">
      <w:pPr>
        <w:numPr>
          <w:ilvl w:val="0"/>
          <w:numId w:val="13"/>
        </w:numPr>
        <w:tabs>
          <w:tab w:val="left" w:pos="1134"/>
        </w:tabs>
        <w:ind w:left="1134" w:hanging="425"/>
        <w:jc w:val="both"/>
        <w:rPr>
          <w:lang w:eastAsia="id-ID"/>
        </w:rPr>
      </w:pPr>
      <w:r w:rsidRPr="00AB107E">
        <w:rPr>
          <w:lang w:val="sv-SE" w:eastAsia="id-ID"/>
        </w:rPr>
        <w:t>Pengawasan pelaksanaan putusan pengadilan dalam perkara pidana dilakukan oleh ketua pengadilan negeri yang bersangkutan.</w:t>
      </w:r>
    </w:p>
    <w:p w:rsidR="00E354F9" w:rsidRPr="00AB107E" w:rsidRDefault="00E354F9" w:rsidP="00E354F9">
      <w:pPr>
        <w:ind w:left="720"/>
        <w:jc w:val="both"/>
        <w:rPr>
          <w:lang w:eastAsia="id-ID"/>
        </w:rPr>
      </w:pPr>
    </w:p>
    <w:p w:rsidR="00E354F9" w:rsidRPr="00AB107E" w:rsidRDefault="00E354F9" w:rsidP="00E354F9">
      <w:pPr>
        <w:spacing w:line="480" w:lineRule="auto"/>
        <w:ind w:firstLine="720"/>
        <w:jc w:val="both"/>
        <w:rPr>
          <w:lang w:eastAsia="id-ID"/>
        </w:rPr>
      </w:pPr>
      <w:r w:rsidRPr="00AB107E">
        <w:rPr>
          <w:lang w:val="sv-SE" w:eastAsia="id-ID"/>
        </w:rPr>
        <w:t>Sehubungan dengan adanya ke 10 Asas yang menjamin perlindungan terhadap HAM dalam KUHAP tersebut, hal ini membuktikan bahwa proses peradilan pidana sangat membutuhkan adanya pemberian bantuan hukum kepada tersangka atau terdakwa serta terpidana yang tidak mampu dan buta hukum, sebab bantuan hukum diberikan kepada mereka yang membutuhkan dalam rangka menjamin perlindungan terhadap hak asasi manusia</w:t>
      </w:r>
      <w:bookmarkStart w:id="8" w:name="_ftnref13"/>
      <w:bookmarkEnd w:id="8"/>
      <w:r w:rsidRPr="00AB107E">
        <w:rPr>
          <w:lang w:val="sv-SE" w:eastAsia="id-ID"/>
        </w:rPr>
        <w:t xml:space="preserve"> serta untuk melakukan perubahan terhadap hukum-hukum yang tidak melindungi hak-hak rakyat didalam </w:t>
      </w:r>
      <w:r w:rsidRPr="00AB107E">
        <w:rPr>
          <w:lang w:val="sv-SE" w:eastAsia="id-ID"/>
        </w:rPr>
        <w:lastRenderedPageBreak/>
        <w:t xml:space="preserve">sebuah Negara hukum. </w:t>
      </w:r>
      <w:r w:rsidRPr="00AB107E">
        <w:rPr>
          <w:lang w:val="fi-FI" w:eastAsia="id-ID"/>
        </w:rPr>
        <w:t>Bahkan bantuan hukum telah menjadi alat untuk melakukan perubahan sosial.</w:t>
      </w:r>
      <w:bookmarkStart w:id="9" w:name="_ftnref14"/>
      <w:bookmarkEnd w:id="9"/>
    </w:p>
    <w:p w:rsidR="00E354F9" w:rsidRPr="00AB107E" w:rsidRDefault="00E354F9" w:rsidP="00E354F9">
      <w:pPr>
        <w:spacing w:line="480" w:lineRule="auto"/>
        <w:ind w:firstLine="720"/>
        <w:jc w:val="both"/>
        <w:rPr>
          <w:lang w:eastAsia="id-ID"/>
        </w:rPr>
      </w:pPr>
      <w:r w:rsidRPr="00AB107E">
        <w:rPr>
          <w:lang w:val="fi-FI" w:eastAsia="id-ID"/>
        </w:rPr>
        <w:t>Terpidana sebagai salah satu pihak yang harus dilindungi, memiliki beberapa hak sebagaimana yang terdapat didalam Undang-Undang No. 12 Tahun 1995 tentang Pemasyarakatan, diatur dalam pasal 14 ayat (1) yaitu sebagai berikut:</w:t>
      </w:r>
    </w:p>
    <w:p w:rsidR="00E354F9" w:rsidRPr="00AB107E" w:rsidRDefault="00E354F9" w:rsidP="00CC209A">
      <w:pPr>
        <w:numPr>
          <w:ilvl w:val="0"/>
          <w:numId w:val="11"/>
        </w:numPr>
        <w:tabs>
          <w:tab w:val="clear" w:pos="720"/>
          <w:tab w:val="num" w:pos="360"/>
        </w:tabs>
        <w:spacing w:line="480" w:lineRule="auto"/>
        <w:ind w:left="360"/>
        <w:jc w:val="both"/>
        <w:rPr>
          <w:lang w:eastAsia="id-ID"/>
        </w:rPr>
      </w:pPr>
      <w:r w:rsidRPr="00AB107E">
        <w:rPr>
          <w:lang w:val="sv-SE" w:eastAsia="id-ID"/>
        </w:rPr>
        <w:t>Melakukan ibadah sesuai dengan agama dan kepercayaannya</w:t>
      </w:r>
    </w:p>
    <w:p w:rsidR="00E354F9" w:rsidRPr="00AB107E" w:rsidRDefault="00E354F9" w:rsidP="00CC209A">
      <w:pPr>
        <w:numPr>
          <w:ilvl w:val="0"/>
          <w:numId w:val="11"/>
        </w:numPr>
        <w:tabs>
          <w:tab w:val="clear" w:pos="720"/>
          <w:tab w:val="num" w:pos="360"/>
        </w:tabs>
        <w:spacing w:line="480" w:lineRule="auto"/>
        <w:ind w:left="360"/>
        <w:jc w:val="both"/>
        <w:rPr>
          <w:lang w:eastAsia="id-ID"/>
        </w:rPr>
      </w:pPr>
      <w:r w:rsidRPr="00AB107E">
        <w:rPr>
          <w:lang w:val="fi-FI" w:eastAsia="id-ID"/>
        </w:rPr>
        <w:t>Mendapatkan perawatan, baik perawatan rohani maupun jasmani</w:t>
      </w:r>
    </w:p>
    <w:p w:rsidR="00E354F9" w:rsidRPr="00AB107E" w:rsidRDefault="00E354F9" w:rsidP="00CC209A">
      <w:pPr>
        <w:numPr>
          <w:ilvl w:val="0"/>
          <w:numId w:val="11"/>
        </w:numPr>
        <w:tabs>
          <w:tab w:val="clear" w:pos="720"/>
          <w:tab w:val="num" w:pos="360"/>
        </w:tabs>
        <w:spacing w:line="480" w:lineRule="auto"/>
        <w:ind w:left="360"/>
        <w:jc w:val="both"/>
        <w:rPr>
          <w:lang w:eastAsia="id-ID"/>
        </w:rPr>
      </w:pPr>
      <w:r w:rsidRPr="00AB107E">
        <w:rPr>
          <w:lang w:val="sv-SE" w:eastAsia="id-ID"/>
        </w:rPr>
        <w:t>Mendapatkan pendidikan dan pengajaran</w:t>
      </w:r>
    </w:p>
    <w:p w:rsidR="00E354F9" w:rsidRPr="00AB107E" w:rsidRDefault="00E354F9" w:rsidP="00CC209A">
      <w:pPr>
        <w:numPr>
          <w:ilvl w:val="0"/>
          <w:numId w:val="11"/>
        </w:numPr>
        <w:tabs>
          <w:tab w:val="clear" w:pos="720"/>
          <w:tab w:val="num" w:pos="360"/>
        </w:tabs>
        <w:spacing w:line="480" w:lineRule="auto"/>
        <w:ind w:left="360"/>
        <w:jc w:val="both"/>
        <w:rPr>
          <w:lang w:eastAsia="id-ID"/>
        </w:rPr>
      </w:pPr>
      <w:r w:rsidRPr="00AB107E">
        <w:rPr>
          <w:lang w:val="sv-SE" w:eastAsia="id-ID"/>
        </w:rPr>
        <w:t>Mendapatkan pelayanan kesehatan dan makanan yang layak</w:t>
      </w:r>
    </w:p>
    <w:p w:rsidR="00E354F9" w:rsidRPr="00AB107E" w:rsidRDefault="00E354F9" w:rsidP="00CC209A">
      <w:pPr>
        <w:numPr>
          <w:ilvl w:val="0"/>
          <w:numId w:val="11"/>
        </w:numPr>
        <w:tabs>
          <w:tab w:val="clear" w:pos="720"/>
          <w:tab w:val="num" w:pos="360"/>
        </w:tabs>
        <w:spacing w:line="480" w:lineRule="auto"/>
        <w:ind w:left="360"/>
        <w:jc w:val="both"/>
        <w:rPr>
          <w:lang w:eastAsia="id-ID"/>
        </w:rPr>
      </w:pPr>
      <w:r w:rsidRPr="00AB107E">
        <w:rPr>
          <w:lang w:val="sv-SE" w:eastAsia="id-ID"/>
        </w:rPr>
        <w:t>Menyampaikan keluhan</w:t>
      </w:r>
    </w:p>
    <w:p w:rsidR="00E354F9" w:rsidRPr="00AB107E" w:rsidRDefault="00E354F9" w:rsidP="00CC209A">
      <w:pPr>
        <w:numPr>
          <w:ilvl w:val="0"/>
          <w:numId w:val="11"/>
        </w:numPr>
        <w:tabs>
          <w:tab w:val="clear" w:pos="720"/>
          <w:tab w:val="num" w:pos="360"/>
        </w:tabs>
        <w:spacing w:line="480" w:lineRule="auto"/>
        <w:ind w:left="360"/>
        <w:jc w:val="both"/>
        <w:rPr>
          <w:lang w:eastAsia="id-ID"/>
        </w:rPr>
      </w:pPr>
      <w:r w:rsidRPr="00AB107E">
        <w:rPr>
          <w:lang w:val="sv-SE" w:eastAsia="id-ID"/>
        </w:rPr>
        <w:t>Mendapatkan bahan bacaan dan siaran media lainya yang tidak dilarang</w:t>
      </w:r>
    </w:p>
    <w:p w:rsidR="00E354F9" w:rsidRPr="00AB107E" w:rsidRDefault="00E354F9" w:rsidP="00CC209A">
      <w:pPr>
        <w:numPr>
          <w:ilvl w:val="0"/>
          <w:numId w:val="11"/>
        </w:numPr>
        <w:tabs>
          <w:tab w:val="clear" w:pos="720"/>
          <w:tab w:val="num" w:pos="360"/>
        </w:tabs>
        <w:spacing w:line="480" w:lineRule="auto"/>
        <w:ind w:left="360"/>
        <w:jc w:val="both"/>
        <w:rPr>
          <w:lang w:eastAsia="id-ID"/>
        </w:rPr>
      </w:pPr>
      <w:r w:rsidRPr="00AB107E">
        <w:rPr>
          <w:lang w:val="sv-SE" w:eastAsia="id-ID"/>
        </w:rPr>
        <w:t>Mendapatkan upah atau premi atas pekerjaan yang dilakukan</w:t>
      </w:r>
    </w:p>
    <w:p w:rsidR="00E354F9" w:rsidRPr="00AB107E" w:rsidRDefault="00E354F9" w:rsidP="00CC209A">
      <w:pPr>
        <w:numPr>
          <w:ilvl w:val="0"/>
          <w:numId w:val="11"/>
        </w:numPr>
        <w:tabs>
          <w:tab w:val="clear" w:pos="720"/>
          <w:tab w:val="num" w:pos="360"/>
        </w:tabs>
        <w:spacing w:line="480" w:lineRule="auto"/>
        <w:ind w:left="360"/>
        <w:jc w:val="both"/>
        <w:rPr>
          <w:lang w:eastAsia="id-ID"/>
        </w:rPr>
      </w:pPr>
      <w:r w:rsidRPr="00AB107E">
        <w:rPr>
          <w:lang w:val="sv-SE" w:eastAsia="id-ID"/>
        </w:rPr>
        <w:t>Menerima kunjungan keluarga, penasehat hukum atau orang tertentu lainnya</w:t>
      </w:r>
    </w:p>
    <w:p w:rsidR="00E354F9" w:rsidRPr="00AB107E" w:rsidRDefault="00E354F9" w:rsidP="00CC209A">
      <w:pPr>
        <w:numPr>
          <w:ilvl w:val="0"/>
          <w:numId w:val="11"/>
        </w:numPr>
        <w:tabs>
          <w:tab w:val="clear" w:pos="720"/>
          <w:tab w:val="num" w:pos="360"/>
        </w:tabs>
        <w:spacing w:line="480" w:lineRule="auto"/>
        <w:ind w:left="360"/>
        <w:jc w:val="both"/>
        <w:rPr>
          <w:lang w:eastAsia="id-ID"/>
        </w:rPr>
      </w:pPr>
      <w:r w:rsidRPr="00AB107E">
        <w:rPr>
          <w:lang w:val="fi-FI" w:eastAsia="id-ID"/>
        </w:rPr>
        <w:t>Mendapatkan pengurangan masa pidana (remisi)</w:t>
      </w:r>
    </w:p>
    <w:p w:rsidR="00E354F9" w:rsidRPr="00AB107E" w:rsidRDefault="00E354F9" w:rsidP="00CC209A">
      <w:pPr>
        <w:numPr>
          <w:ilvl w:val="0"/>
          <w:numId w:val="11"/>
        </w:numPr>
        <w:tabs>
          <w:tab w:val="clear" w:pos="720"/>
          <w:tab w:val="num" w:pos="360"/>
        </w:tabs>
        <w:spacing w:line="480" w:lineRule="auto"/>
        <w:ind w:left="360"/>
        <w:jc w:val="both"/>
        <w:rPr>
          <w:lang w:eastAsia="id-ID"/>
        </w:rPr>
      </w:pPr>
      <w:r w:rsidRPr="00AB107E">
        <w:rPr>
          <w:lang w:val="fi-FI" w:eastAsia="id-ID"/>
        </w:rPr>
        <w:t>Mendapatkan kesempatan berasimilasi termasuk cuti mengunjungi keluarga</w:t>
      </w:r>
    </w:p>
    <w:p w:rsidR="00E354F9" w:rsidRPr="00AB107E" w:rsidRDefault="00E354F9" w:rsidP="00CC209A">
      <w:pPr>
        <w:numPr>
          <w:ilvl w:val="0"/>
          <w:numId w:val="11"/>
        </w:numPr>
        <w:tabs>
          <w:tab w:val="clear" w:pos="720"/>
          <w:tab w:val="num" w:pos="360"/>
        </w:tabs>
        <w:spacing w:line="456" w:lineRule="auto"/>
        <w:ind w:left="360"/>
        <w:jc w:val="both"/>
        <w:rPr>
          <w:lang w:eastAsia="id-ID"/>
        </w:rPr>
      </w:pPr>
      <w:r w:rsidRPr="00AB107E">
        <w:rPr>
          <w:lang w:val="sv-SE" w:eastAsia="id-ID"/>
        </w:rPr>
        <w:t>Mendapatkan pembebasan bersyarat</w:t>
      </w:r>
    </w:p>
    <w:p w:rsidR="00E354F9" w:rsidRPr="00AB107E" w:rsidRDefault="00E354F9" w:rsidP="00CC209A">
      <w:pPr>
        <w:numPr>
          <w:ilvl w:val="0"/>
          <w:numId w:val="11"/>
        </w:numPr>
        <w:tabs>
          <w:tab w:val="clear" w:pos="720"/>
          <w:tab w:val="num" w:pos="360"/>
        </w:tabs>
        <w:spacing w:line="456" w:lineRule="auto"/>
        <w:ind w:left="360"/>
        <w:jc w:val="both"/>
        <w:rPr>
          <w:lang w:eastAsia="id-ID"/>
        </w:rPr>
      </w:pPr>
      <w:r w:rsidRPr="00AB107E">
        <w:rPr>
          <w:lang w:val="sv-SE" w:eastAsia="id-ID"/>
        </w:rPr>
        <w:t>Mendapatkan cuti menjelang bebas</w:t>
      </w:r>
    </w:p>
    <w:p w:rsidR="00E354F9" w:rsidRPr="00AB107E" w:rsidRDefault="00E354F9" w:rsidP="00CC209A">
      <w:pPr>
        <w:numPr>
          <w:ilvl w:val="0"/>
          <w:numId w:val="11"/>
        </w:numPr>
        <w:tabs>
          <w:tab w:val="clear" w:pos="720"/>
          <w:tab w:val="num" w:pos="360"/>
        </w:tabs>
        <w:spacing w:line="456" w:lineRule="auto"/>
        <w:ind w:left="360"/>
        <w:jc w:val="both"/>
        <w:rPr>
          <w:lang w:eastAsia="id-ID"/>
        </w:rPr>
      </w:pPr>
      <w:r w:rsidRPr="00AB107E">
        <w:rPr>
          <w:lang w:val="sv-SE" w:eastAsia="id-ID"/>
        </w:rPr>
        <w:t>Mendapatkan hak-hak lainnya sesuai peraturan perundang-undangan yang berlaku</w:t>
      </w:r>
    </w:p>
    <w:p w:rsidR="00E354F9" w:rsidRPr="00AB107E" w:rsidRDefault="00E354F9" w:rsidP="00E354F9">
      <w:pPr>
        <w:spacing w:line="456" w:lineRule="auto"/>
        <w:ind w:firstLine="720"/>
        <w:jc w:val="both"/>
        <w:rPr>
          <w:lang w:eastAsia="id-ID"/>
        </w:rPr>
      </w:pPr>
      <w:r w:rsidRPr="00AB107E">
        <w:rPr>
          <w:lang w:val="sv-SE" w:eastAsia="id-ID"/>
        </w:rPr>
        <w:t xml:space="preserve">Hak-hak terpidana sebagaimana yang terdapat didalam pasal 14 ayat (1) </w:t>
      </w:r>
      <w:r w:rsidRPr="00AB107E">
        <w:rPr>
          <w:lang w:val="fi-FI" w:eastAsia="id-ID"/>
        </w:rPr>
        <w:t>Undang-Undang No. 12 Tahun 1995 tentang Pemasyarakatan</w:t>
      </w:r>
      <w:r w:rsidRPr="00AB107E">
        <w:rPr>
          <w:lang w:val="sv-SE" w:eastAsia="id-ID"/>
        </w:rPr>
        <w:t xml:space="preserve"> tersebut sesungguh nya belum mampu mengakomodir hak-hak asasi yang seharusnya dimiliki oleh </w:t>
      </w:r>
      <w:r w:rsidRPr="00AB107E">
        <w:rPr>
          <w:lang w:val="sv-SE" w:eastAsia="id-ID"/>
        </w:rPr>
        <w:lastRenderedPageBreak/>
        <w:t>terpidana, adapun hak-hak terpidana yang seharusnya diberikan untuk menjamin terlindunginya hah-hak asasi terpidana antara lain</w:t>
      </w:r>
      <w:bookmarkStart w:id="10" w:name="_ftnref15"/>
      <w:bookmarkEnd w:id="10"/>
      <w:r w:rsidRPr="00AB107E">
        <w:rPr>
          <w:lang w:val="sv-SE" w:eastAsia="id-ID"/>
        </w:rPr>
        <w:t xml:space="preserve">: </w:t>
      </w:r>
      <w:r w:rsidRPr="00AB107E">
        <w:rPr>
          <w:rStyle w:val="FootnoteReference"/>
          <w:color w:val="000000"/>
          <w:lang w:val="sv-SE" w:eastAsia="id-ID"/>
        </w:rPr>
        <w:footnoteReference w:id="12"/>
      </w:r>
    </w:p>
    <w:p w:rsidR="00E354F9" w:rsidRPr="00AB107E" w:rsidRDefault="00E354F9" w:rsidP="00CC209A">
      <w:pPr>
        <w:numPr>
          <w:ilvl w:val="0"/>
          <w:numId w:val="12"/>
        </w:numPr>
        <w:tabs>
          <w:tab w:val="left" w:pos="1134"/>
        </w:tabs>
        <w:ind w:left="1134"/>
        <w:jc w:val="both"/>
        <w:rPr>
          <w:lang w:eastAsia="id-ID"/>
        </w:rPr>
      </w:pPr>
      <w:r w:rsidRPr="00AB107E">
        <w:rPr>
          <w:color w:val="000000"/>
          <w:lang w:val="sv-SE" w:eastAsia="id-ID"/>
        </w:rPr>
        <w:t>Seseorang terdakwa yang telah diputus berhak untuk mendapatkan petikan surat putusan pengadilan yang dapat diberikan kepada terdakwa atau penasehat hukumnya segera setelah putusan diucapkan.</w:t>
      </w:r>
    </w:p>
    <w:p w:rsidR="00E354F9" w:rsidRPr="00AB107E" w:rsidRDefault="00E354F9" w:rsidP="00CC209A">
      <w:pPr>
        <w:numPr>
          <w:ilvl w:val="0"/>
          <w:numId w:val="12"/>
        </w:numPr>
        <w:tabs>
          <w:tab w:val="left" w:pos="1134"/>
        </w:tabs>
        <w:ind w:left="1134" w:hanging="425"/>
        <w:jc w:val="both"/>
        <w:rPr>
          <w:lang w:eastAsia="id-ID"/>
        </w:rPr>
      </w:pPr>
      <w:r w:rsidRPr="00AB107E">
        <w:rPr>
          <w:color w:val="000000"/>
          <w:lang w:val="sv-SE" w:eastAsia="id-ID"/>
        </w:rPr>
        <w:t>Salinan surat putusan pengadilan diberikan kepada penuntut umum dan penyidik, sedangkan kepada terdakwa atau penasihat hukumnya diberikan atas permintaan.</w:t>
      </w:r>
    </w:p>
    <w:p w:rsidR="00E354F9" w:rsidRPr="00AB107E" w:rsidRDefault="00E354F9" w:rsidP="00CC209A">
      <w:pPr>
        <w:numPr>
          <w:ilvl w:val="0"/>
          <w:numId w:val="12"/>
        </w:numPr>
        <w:tabs>
          <w:tab w:val="left" w:pos="1134"/>
        </w:tabs>
        <w:ind w:left="1134" w:hanging="425"/>
        <w:jc w:val="both"/>
        <w:rPr>
          <w:lang w:eastAsia="id-ID"/>
        </w:rPr>
      </w:pPr>
      <w:r w:rsidRPr="00AB107E">
        <w:rPr>
          <w:color w:val="000000"/>
          <w:lang w:val="sv-SE" w:eastAsia="id-ID"/>
        </w:rPr>
        <w:t xml:space="preserve">Pada saat menjalini hukuman, seorang Terpidana juga berhak untuk : </w:t>
      </w:r>
      <w:r w:rsidRPr="00AB107E">
        <w:rPr>
          <w:color w:val="000000"/>
          <w:lang w:val="sv-SE" w:eastAsia="id-ID"/>
        </w:rPr>
        <w:br/>
        <w:t>Menghubungi dan didampingi pengacara.</w:t>
      </w:r>
    </w:p>
    <w:p w:rsidR="00E354F9" w:rsidRPr="00AB107E" w:rsidRDefault="00E354F9" w:rsidP="00CC209A">
      <w:pPr>
        <w:numPr>
          <w:ilvl w:val="3"/>
          <w:numId w:val="10"/>
        </w:numPr>
        <w:tabs>
          <w:tab w:val="clear" w:pos="1021"/>
          <w:tab w:val="left" w:pos="1418"/>
        </w:tabs>
        <w:ind w:left="1418"/>
        <w:jc w:val="both"/>
        <w:rPr>
          <w:lang w:eastAsia="id-ID"/>
        </w:rPr>
      </w:pPr>
      <w:r w:rsidRPr="00AB107E">
        <w:rPr>
          <w:color w:val="000000"/>
          <w:lang w:val="sv-SE" w:eastAsia="id-ID"/>
        </w:rPr>
        <w:t>Menghubungi dan menerima kunjungan pihak keluarga atau orang lain untuk kepentingan penangguhan penahanan atau usaha mendapat bantuan hukum.</w:t>
      </w:r>
    </w:p>
    <w:p w:rsidR="00E354F9" w:rsidRPr="00AB107E" w:rsidRDefault="00E354F9" w:rsidP="00CC209A">
      <w:pPr>
        <w:numPr>
          <w:ilvl w:val="3"/>
          <w:numId w:val="10"/>
        </w:numPr>
        <w:tabs>
          <w:tab w:val="clear" w:pos="1021"/>
          <w:tab w:val="left" w:pos="1418"/>
        </w:tabs>
        <w:ind w:left="1418" w:hanging="284"/>
        <w:jc w:val="both"/>
        <w:rPr>
          <w:lang w:eastAsia="id-ID"/>
        </w:rPr>
      </w:pPr>
      <w:r w:rsidRPr="00AB107E">
        <w:rPr>
          <w:color w:val="000000"/>
          <w:lang w:val="sv-SE" w:eastAsia="id-ID"/>
        </w:rPr>
        <w:t>Menghubungi atau menerima kunjungan dokter pribadinya untuk kepentingan kesehatan.</w:t>
      </w:r>
    </w:p>
    <w:p w:rsidR="00E354F9" w:rsidRPr="00AB107E" w:rsidRDefault="00E354F9" w:rsidP="00CC209A">
      <w:pPr>
        <w:numPr>
          <w:ilvl w:val="3"/>
          <w:numId w:val="10"/>
        </w:numPr>
        <w:tabs>
          <w:tab w:val="clear" w:pos="1021"/>
          <w:tab w:val="left" w:pos="1418"/>
        </w:tabs>
        <w:ind w:left="1418" w:hanging="284"/>
        <w:jc w:val="both"/>
        <w:rPr>
          <w:lang w:eastAsia="id-ID"/>
        </w:rPr>
      </w:pPr>
      <w:r w:rsidRPr="00AB107E">
        <w:rPr>
          <w:color w:val="000000"/>
          <w:lang w:val="sv-SE" w:eastAsia="id-ID"/>
        </w:rPr>
        <w:t>Menghubungi atau menerima kunjungan sanak keluarga.</w:t>
      </w:r>
    </w:p>
    <w:p w:rsidR="00E354F9" w:rsidRPr="00AB107E" w:rsidRDefault="00E354F9" w:rsidP="00CC209A">
      <w:pPr>
        <w:numPr>
          <w:ilvl w:val="3"/>
          <w:numId w:val="10"/>
        </w:numPr>
        <w:tabs>
          <w:tab w:val="clear" w:pos="1021"/>
          <w:tab w:val="left" w:pos="1418"/>
        </w:tabs>
        <w:ind w:left="1418" w:hanging="284"/>
        <w:jc w:val="both"/>
        <w:rPr>
          <w:lang w:eastAsia="id-ID"/>
        </w:rPr>
      </w:pPr>
      <w:r w:rsidRPr="00AB107E">
        <w:rPr>
          <w:color w:val="000000"/>
          <w:lang w:val="sv-SE" w:eastAsia="id-ID"/>
        </w:rPr>
        <w:t>Mengirim surat atau menerima surat dari penasehat hukum dan sanak keluarga tanpa diperiksa oleh penyidik/penuntut umum/hakim/pejabat rumah tahanan Negara.</w:t>
      </w:r>
    </w:p>
    <w:p w:rsidR="00E354F9" w:rsidRPr="00AB107E" w:rsidRDefault="00E354F9" w:rsidP="00CC209A">
      <w:pPr>
        <w:numPr>
          <w:ilvl w:val="3"/>
          <w:numId w:val="10"/>
        </w:numPr>
        <w:tabs>
          <w:tab w:val="clear" w:pos="1021"/>
          <w:tab w:val="left" w:pos="1418"/>
        </w:tabs>
        <w:ind w:left="1418" w:hanging="284"/>
        <w:jc w:val="both"/>
        <w:rPr>
          <w:lang w:eastAsia="id-ID"/>
        </w:rPr>
      </w:pPr>
      <w:r w:rsidRPr="00AB107E">
        <w:rPr>
          <w:color w:val="000000"/>
          <w:lang w:val="sv-SE" w:eastAsia="id-ID"/>
        </w:rPr>
        <w:t>Menghubungi dan menerima kunjungan rohaniawan. Bebas dari tekanan seperti</w:t>
      </w:r>
      <w:r w:rsidRPr="00AB107E">
        <w:rPr>
          <w:color w:val="000000"/>
          <w:lang w:eastAsia="id-ID"/>
        </w:rPr>
        <w:t>,</w:t>
      </w:r>
      <w:r w:rsidRPr="00AB107E">
        <w:rPr>
          <w:color w:val="000000"/>
          <w:lang w:val="sv-SE" w:eastAsia="id-ID"/>
        </w:rPr>
        <w:t xml:space="preserve"> diintimidasi, ditakut-takuti dan disiksa secara fisik.</w:t>
      </w:r>
    </w:p>
    <w:p w:rsidR="00E354F9" w:rsidRPr="00AB107E" w:rsidRDefault="00E354F9" w:rsidP="00E354F9">
      <w:pPr>
        <w:tabs>
          <w:tab w:val="left" w:pos="709"/>
        </w:tabs>
        <w:ind w:left="709"/>
        <w:jc w:val="both"/>
        <w:rPr>
          <w:lang w:eastAsia="id-ID"/>
        </w:rPr>
      </w:pPr>
    </w:p>
    <w:p w:rsidR="00E354F9" w:rsidRPr="00AB107E" w:rsidRDefault="00E354F9" w:rsidP="00E354F9">
      <w:pPr>
        <w:spacing w:line="516" w:lineRule="auto"/>
        <w:ind w:firstLine="720"/>
        <w:jc w:val="both"/>
        <w:rPr>
          <w:lang w:eastAsia="id-ID"/>
        </w:rPr>
      </w:pPr>
      <w:r w:rsidRPr="00AB107E">
        <w:rPr>
          <w:lang w:val="sv-SE" w:eastAsia="id-ID"/>
        </w:rPr>
        <w:t>Untukdapat terjaminnya terpenuhinya hak-hak terpidana tersebut sangat diperlukan adanya program bantuan hukum yang senantiasa memantau pelaksanaan pemberian hak-hak terpidana tersebut.</w:t>
      </w:r>
      <w:r w:rsidRPr="00AB107E">
        <w:rPr>
          <w:rStyle w:val="FootnoteReference"/>
          <w:lang w:val="sv-SE" w:eastAsia="id-ID"/>
        </w:rPr>
        <w:footnoteReference w:id="13"/>
      </w:r>
      <w:r w:rsidRPr="00AB107E">
        <w:rPr>
          <w:lang w:val="sv-SE" w:eastAsia="id-ID"/>
        </w:rPr>
        <w:t xml:space="preserve"> Pemberian bantuan hukum pada dasarnya adalah hak asasi semua orang, yang bukan diberikan oleh negara karena belas kasihan dari negara, hal ini penting, karena sering kali bantuan hukum diartikan sebagai belas kasihan bagi yang tidak mampu. Selain membantu orang miskin bantuan hukum juga merupakan gerakan moral yang memperjuangkan hak asasi manusia. Oleh karena itu, hak tersebut tidak dapat dikurangi, dibatasi apalagi diambil, karena itu sebuah keharusan. </w:t>
      </w:r>
    </w:p>
    <w:p w:rsidR="00E354F9" w:rsidRPr="00AB107E" w:rsidRDefault="00E354F9" w:rsidP="00E354F9">
      <w:pPr>
        <w:spacing w:line="480" w:lineRule="auto"/>
        <w:ind w:firstLine="720"/>
        <w:jc w:val="both"/>
        <w:rPr>
          <w:lang w:eastAsia="id-ID"/>
        </w:rPr>
      </w:pPr>
      <w:r w:rsidRPr="00AB107E">
        <w:rPr>
          <w:lang w:val="sv-SE" w:eastAsia="id-ID"/>
        </w:rPr>
        <w:lastRenderedPageBreak/>
        <w:t>Pemenuhan hak atas bantuan hukum terhadap terpidana harus dilakukan oleh Pemerintah sedini mungkin hal ini untuk mencegah agar tidak ada lagi terpidana yang dirampas hak-haknya oleh para aparatur penegak hukum misalnya dibanyak kasus yang sering dijumpai, banyak terpidana yang telah ditahan melebihi masa pidana yang semestinya dijalani, kekerasan sering muncul dalam lembaga pemasyarakatan bahkan intensitasnya menjadi sangat tinggi, kekerasan menjadi ritual dan mengkristal dalam setiap pemeriksaan. Kekerasan berlangsung mulai dari yang spesifik, halus, tidak terasa sampai pada bentuk kekerasan fisik yang menimbulkan cacat permanen. Perilaku ini tidak dibenarkan dalam aturan tetapi selalu ada dalam pemeriksaan, bahkan tidak jarang terjadi pelecehan seksual atau perilaku tidak bermoral lainnya.</w:t>
      </w:r>
      <w:bookmarkStart w:id="11" w:name="_ftnref16"/>
      <w:bookmarkEnd w:id="11"/>
      <w:r w:rsidRPr="00AB107E">
        <w:rPr>
          <w:lang w:val="sv-SE" w:eastAsia="id-ID"/>
        </w:rPr>
        <w:t xml:space="preserve"> Serta tidak tidak terpenuhinya hak-hak terpidana sebagaimana yang diamanatkan oleh undang-undang. </w:t>
      </w:r>
    </w:p>
    <w:p w:rsidR="00E354F9" w:rsidRPr="00AB107E" w:rsidRDefault="00E354F9" w:rsidP="00E354F9">
      <w:pPr>
        <w:spacing w:line="480" w:lineRule="auto"/>
        <w:ind w:firstLine="720"/>
        <w:jc w:val="both"/>
        <w:rPr>
          <w:lang w:eastAsia="id-ID"/>
        </w:rPr>
      </w:pPr>
      <w:r w:rsidRPr="00AB107E">
        <w:rPr>
          <w:lang w:val="sv-SE" w:eastAsia="id-ID"/>
        </w:rPr>
        <w:t xml:space="preserve">Pemenuhan hak atas bantuan hukum mempunyai arti bahwa negara harus menggunakan seluruh sumberdaya nya termasuk dalam bidang eksekutif, legislatif dan administratif untuk mewujudkan hak atas bantuan hukum secara progresif. Negara seharusnya membuat tindakan dengan membuat kebijakan bantuan hukum dalam perspektif </w:t>
      </w:r>
      <w:r w:rsidRPr="00AB107E">
        <w:rPr>
          <w:i/>
          <w:lang w:val="sv-SE" w:eastAsia="id-ID"/>
        </w:rPr>
        <w:t>acces to justice</w:t>
      </w:r>
      <w:r w:rsidRPr="00AB107E">
        <w:rPr>
          <w:lang w:val="sv-SE" w:eastAsia="id-ID"/>
        </w:rPr>
        <w:t>.</w:t>
      </w:r>
      <w:bookmarkStart w:id="12" w:name="_ftnref17"/>
      <w:bookmarkEnd w:id="12"/>
      <w:r w:rsidRPr="00AB107E">
        <w:rPr>
          <w:lang w:val="sv-SE" w:eastAsia="id-ID"/>
        </w:rPr>
        <w:t xml:space="preserve">Sejatinya, sudah seharusnya pemerintah mulai serius dalam membuat serta menumbuhkan sebuah gerakan bantuan hukum, salah satunya dengan membuat regulasi yang mampu mangatur secara efektif program bantuan hukum terutama terhadap si terpidana yang cendrung diabaikan bahkan tidak di acuhkan, Dalam rangka perhormatan, pengakuan dan penegakan atas hukum dan HAM maka arah kebijakan ditujukan kepada peningkatan pemahaman, menciptakan penegakan dan kepastian hukum yang konsisten </w:t>
      </w:r>
      <w:r w:rsidRPr="00AB107E">
        <w:rPr>
          <w:lang w:val="sv-SE" w:eastAsia="id-ID"/>
        </w:rPr>
        <w:lastRenderedPageBreak/>
        <w:t>terhadap nilai-nilai Hak Asasi Manusia dengan menunjukan perilaku yang adil dan tidak diskriminatif.</w:t>
      </w:r>
      <w:bookmarkStart w:id="13" w:name="_ftnref18"/>
      <w:bookmarkEnd w:id="13"/>
      <w:r w:rsidRPr="00AB107E">
        <w:rPr>
          <w:lang w:val="sv-SE" w:eastAsia="id-ID"/>
        </w:rPr>
        <w:t xml:space="preserve"> penyelenggaraan bantuan hukum yang tidak serius merupakan pelanggaran Hak Asasi Manusia yang berarti bertentangan dengan hak konstitusional warga negaranya</w:t>
      </w:r>
      <w:bookmarkStart w:id="14" w:name="_ftnref19"/>
      <w:bookmarkEnd w:id="14"/>
    </w:p>
    <w:p w:rsidR="00E354F9" w:rsidRPr="00AB107E" w:rsidRDefault="00E354F9" w:rsidP="00E354F9">
      <w:pPr>
        <w:spacing w:line="456" w:lineRule="auto"/>
        <w:ind w:firstLine="720"/>
        <w:jc w:val="both"/>
        <w:rPr>
          <w:lang w:val="sv-SE" w:eastAsia="id-ID"/>
        </w:rPr>
      </w:pPr>
      <w:r w:rsidRPr="00AB107E">
        <w:rPr>
          <w:lang w:val="sv-SE" w:eastAsia="id-ID"/>
        </w:rPr>
        <w:t xml:space="preserve">Gerakan bantuan hukum yang sejatinya dilakukan oleh pemerintah ini merupakan sebuah kebutuhan domestik akan suatu strategi pembangunan hukum yang responsif, kebutuhan akan pembangunan hukum yang responsif muncul dari kesadaran akan tidak akomodatifnya hukum positif instrumentalis yang dihasilkan pola ortodoks terhadap kebutuhan dan perasaan keadilan masyarakat. Suatu peroduk hukum yang lebih responsif terhadap tuntutan dari berbagai kelompok sosial dan individu dalam masyarakat hanya akan dapat dicapai melalui strategi pembangunan hukum yang menempatkan hukum sebagai wahana emansipasi. </w:t>
      </w:r>
    </w:p>
    <w:p w:rsidR="00E354F9" w:rsidRPr="00AB107E" w:rsidRDefault="00E354F9" w:rsidP="00E354F9">
      <w:pPr>
        <w:spacing w:line="456" w:lineRule="auto"/>
        <w:ind w:firstLine="720"/>
        <w:jc w:val="both"/>
        <w:rPr>
          <w:lang w:val="sv-SE" w:eastAsia="id-ID"/>
        </w:rPr>
      </w:pPr>
      <w:r w:rsidRPr="00AB107E">
        <w:rPr>
          <w:lang w:val="sv-SE" w:eastAsia="id-ID"/>
        </w:rPr>
        <w:t>Strategi responsif menempatkan hukum sebagai suatu alat bagi perubahan yang independen terhadap sistem politik. Keabsahan hukum didasarkan kepada keadilan substantif, koersif lebih bercorak insentif dan kewajiban moral mandiri, sedangkan moralitas yang berkembang adalah keterpaduan antara aspirasi hukum dan politik yang tidak bersifat subordinatif. Strategi hukum responsif akan memberikan ruang yang besar bagi partisipasi masyarakat dalam pembangunan hukum dan memungkinkan lembaga peradilan menjadi kreatif dan mandiri</w:t>
      </w:r>
      <w:bookmarkStart w:id="15" w:name="_ftnref20"/>
      <w:bookmarkEnd w:id="15"/>
      <w:r w:rsidRPr="00AB107E">
        <w:rPr>
          <w:lang w:val="sv-SE" w:eastAsia="id-ID"/>
        </w:rPr>
        <w:t xml:space="preserve"> serta terjaminnya hak-hak asasi manusia.</w:t>
      </w:r>
      <w:r w:rsidRPr="00AB107E">
        <w:rPr>
          <w:rStyle w:val="FootnoteReference"/>
          <w:lang w:val="sv-SE" w:eastAsia="id-ID"/>
        </w:rPr>
        <w:footnoteReference w:id="14"/>
      </w:r>
    </w:p>
    <w:p w:rsidR="00E354F9" w:rsidRPr="00AB107E" w:rsidRDefault="00E354F9" w:rsidP="00E354F9">
      <w:pPr>
        <w:spacing w:line="516" w:lineRule="auto"/>
        <w:ind w:firstLine="720"/>
        <w:jc w:val="both"/>
        <w:rPr>
          <w:lang w:eastAsia="id-ID"/>
        </w:rPr>
      </w:pPr>
      <w:r w:rsidRPr="00AB107E">
        <w:rPr>
          <w:lang w:val="sv-SE" w:eastAsia="id-ID"/>
        </w:rPr>
        <w:t xml:space="preserve">Pengaturan bantuan hukum nantinya diharapkan tidak hanya sekedar menyatakan bahwa setiap orang wajib menerima bantuan hukum melainkan juga berisi pola pertanggung jawaban negara melalui aparaturnya terhadap bantuan </w:t>
      </w:r>
      <w:r w:rsidRPr="00AB107E">
        <w:rPr>
          <w:lang w:val="sv-SE" w:eastAsia="id-ID"/>
        </w:rPr>
        <w:lastRenderedPageBreak/>
        <w:t>hukum. Masalah akses masyarakat marginal terhadap keadilan, adalah masalah implementasi kewajiban negara dalam menjamin hak-hak warga negara khususnya yang tidak mampu dalam menghadapi masalah hukum yang dapat mengganggu kesejahteraan hidupnya. Memperkuat posisi negara melalui pemberian bantuan hukum adalah menjadi kebutuhan pokok dan dasar dari upaya mewujudkan keadilan sosial bagi seluruh rakyat indonesia</w:t>
      </w:r>
      <w:bookmarkStart w:id="16" w:name="_ftnref21"/>
      <w:bookmarkEnd w:id="16"/>
      <w:r w:rsidRPr="00AB107E">
        <w:rPr>
          <w:lang w:val="sv-SE" w:eastAsia="id-ID"/>
        </w:rPr>
        <w:t xml:space="preserve"> serta perlindungan terhadap hak-hak terpidana yang diaokomodir oleh hukum dalam kerangka perlindungan HAM.</w:t>
      </w:r>
    </w:p>
    <w:p w:rsidR="00E354F9" w:rsidRPr="00AB107E" w:rsidRDefault="00E354F9" w:rsidP="00E354F9">
      <w:pPr>
        <w:autoSpaceDE w:val="0"/>
        <w:autoSpaceDN w:val="0"/>
        <w:adjustRightInd w:val="0"/>
        <w:spacing w:line="516" w:lineRule="auto"/>
        <w:ind w:firstLine="709"/>
        <w:jc w:val="both"/>
        <w:rPr>
          <w:lang w:val="sv-SE" w:eastAsia="id-ID"/>
        </w:rPr>
      </w:pPr>
      <w:r w:rsidRPr="00AB107E">
        <w:rPr>
          <w:lang w:val="sv-SE" w:eastAsia="id-ID"/>
        </w:rPr>
        <w:t>Pemenuhan hak atas bantuan hukum terhadap terpidana harus dilakukan oleh pemerintah sedini mungkin hal ini untuk mencegah agar tidak ada lagi terpidana yang dirampas hak-haknya oleh para aparatur penegak hukum. Sejatinya, sudah seharusnya pemerintah mulai serius dalam membuat serta menumbuhkan sebuah gerakan bantuan hukum, salah satunya dengan membuat regulasi yang mampu mangatur secara efektif program bantuan hukum terutama terhadap si terpidana yang cendrung diabaikan bahkan tidak di acuhkan, dalam rangka perhormatan, pengakuan dan penegakan atas hukum dan HAM maka arah kebijakan ditujukan kepada peningkatan pemahaman, menciptakan penegakan dan kepastian hukum yang konsisten terhadap nilai-nilai Hak Asasi Manusia dengan menunjukan perilaku yang adil dan tidak diskriminatif. Penyelenggaraan bantuan hukum yang tidak serius merupakan pelanggaran Hak Asasi Manusia yang berarti bertentangan dengan hak konstitusional warga negaranya.</w:t>
      </w:r>
    </w:p>
    <w:p w:rsidR="00E354F9" w:rsidRPr="00AB107E" w:rsidRDefault="00E354F9" w:rsidP="00E354F9">
      <w:pPr>
        <w:autoSpaceDE w:val="0"/>
        <w:autoSpaceDN w:val="0"/>
        <w:adjustRightInd w:val="0"/>
        <w:spacing w:line="516" w:lineRule="auto"/>
        <w:ind w:firstLine="709"/>
        <w:jc w:val="both"/>
        <w:rPr>
          <w:lang w:eastAsia="id-ID"/>
        </w:rPr>
      </w:pPr>
    </w:p>
    <w:p w:rsidR="00E354F9" w:rsidRPr="00AB107E" w:rsidRDefault="00E354F9" w:rsidP="00CC209A">
      <w:pPr>
        <w:numPr>
          <w:ilvl w:val="2"/>
          <w:numId w:val="1"/>
        </w:numPr>
        <w:ind w:left="360"/>
        <w:jc w:val="both"/>
        <w:rPr>
          <w:b/>
        </w:rPr>
      </w:pPr>
      <w:r w:rsidRPr="00AB107E">
        <w:rPr>
          <w:b/>
        </w:rPr>
        <w:lastRenderedPageBreak/>
        <w:t>Gambaran Umum Tentang Penyidikan</w:t>
      </w:r>
    </w:p>
    <w:p w:rsidR="00E354F9" w:rsidRPr="00AB107E" w:rsidRDefault="00E354F9" w:rsidP="00E354F9">
      <w:pPr>
        <w:jc w:val="center"/>
        <w:rPr>
          <w:b/>
        </w:rPr>
      </w:pPr>
    </w:p>
    <w:p w:rsidR="00E354F9" w:rsidRPr="00AB107E" w:rsidRDefault="00E354F9" w:rsidP="00CC209A">
      <w:pPr>
        <w:pStyle w:val="BodyText"/>
        <w:numPr>
          <w:ilvl w:val="3"/>
          <w:numId w:val="1"/>
        </w:numPr>
        <w:spacing w:after="0" w:line="480" w:lineRule="auto"/>
        <w:ind w:left="720"/>
        <w:jc w:val="both"/>
        <w:rPr>
          <w:b/>
        </w:rPr>
      </w:pPr>
      <w:r w:rsidRPr="00AB107E">
        <w:rPr>
          <w:b/>
        </w:rPr>
        <w:t>Penyidik dan Penyidikan.</w:t>
      </w:r>
    </w:p>
    <w:p w:rsidR="00E354F9" w:rsidRPr="00AB107E" w:rsidRDefault="00E354F9" w:rsidP="00E354F9">
      <w:pPr>
        <w:pStyle w:val="BodyText"/>
        <w:ind w:firstLine="720"/>
      </w:pPr>
      <w:r w:rsidRPr="00AB107E">
        <w:t>Penyidik menurut Pasal 1 butir ke-1 KUHAP adalah pejabat polisi Negara Republik Indonesia atau pejabat pegawai negeri sipil tertentu yang diberi wewenang khusus oleh undang-undang untuk melakukan penyidikan. KUHAP lebih jauh lagi mengatur tentang penyidik dalam pasal 6, yang memberikan batasan pejabat penyidik dalam proses pidana. Adapun batasan pejabat dalam tahap penyidikan tersebut adalah pejabat penyidik POLRI dan Pejabat penyidik negeri sipil.</w:t>
      </w:r>
    </w:p>
    <w:p w:rsidR="00E354F9" w:rsidRPr="00AB107E" w:rsidRDefault="00E354F9" w:rsidP="00E354F9">
      <w:pPr>
        <w:pStyle w:val="BodyText"/>
        <w:ind w:firstLine="720"/>
      </w:pPr>
      <w:r w:rsidRPr="00AB107E">
        <w:t>Pengaturan tentang penyidik di samping diatur dalam Pasal 1 butir ke 1 KUHAP dan Pasal 6 KUHAP, terdapat lagi Pasal 10 yang mengatur tentang adanya penyidik pembantu disamping penyidik.</w:t>
      </w:r>
      <w:r w:rsidRPr="00AB107E">
        <w:rPr>
          <w:rStyle w:val="FootnoteReference"/>
        </w:rPr>
        <w:footnoteReference w:id="15"/>
      </w:r>
      <w:r w:rsidRPr="00AB107E">
        <w:t xml:space="preserve"> Untuk mengetahui siapa yang dimaksud dengan orang yang berhak sebagai penyidik ditinjau dari segi instansi maupun kepangkatan, ditegaskan dalam pasal 6 KUHAP. Dalam pasal tersebut ditentukan instansi dan kepangkatan seorang pejabat penyidik. Bertitik tolak dari ketentuan Pasal 6 KUHAP yang dimaksud, yang berhak diangkat sebagai pejabat penyidik antara lain adalah:</w:t>
      </w:r>
    </w:p>
    <w:p w:rsidR="00E354F9" w:rsidRPr="00AB107E" w:rsidRDefault="00E354F9" w:rsidP="00CC209A">
      <w:pPr>
        <w:numPr>
          <w:ilvl w:val="4"/>
          <w:numId w:val="7"/>
        </w:numPr>
        <w:spacing w:line="516" w:lineRule="auto"/>
        <w:ind w:left="360"/>
      </w:pPr>
      <w:r w:rsidRPr="00AB107E">
        <w:t xml:space="preserve">Pejabat Penyidik Polri </w:t>
      </w:r>
    </w:p>
    <w:p w:rsidR="00E354F9" w:rsidRPr="00AB107E" w:rsidRDefault="00E354F9" w:rsidP="00E354F9">
      <w:pPr>
        <w:pStyle w:val="Default"/>
        <w:spacing w:line="516" w:lineRule="auto"/>
        <w:ind w:firstLine="720"/>
        <w:jc w:val="both"/>
      </w:pPr>
      <w:r w:rsidRPr="00AB107E">
        <w:t>Seorang pejabat kepolisian dapat diberi jabatan sebagai penyidik, maka harus memenuhi syarat kepangkatan sebagaimana hal itu ditegaskan dalam Pasal 6 ayat (2) KUHAP. Menurut penjelasan Pasal 6 ayat 2, kedudukan dan kepangkatan yang diatur dalam Peraturan Pemerintah, diselaraskan dan diseimbangkan dengan kedudukan dan kepangkatan penuntut umum dan hakim peradilan umum. Peraturan Pemerintah yang mengatur masalah kepangkatan penyidik adalah berupa PP Nomor 27 Tahun 1983. Syarat kepangkatan dan pengangkatan pejabat penyidikan antara lain adalah sebagai berikut:</w:t>
      </w:r>
    </w:p>
    <w:p w:rsidR="00E354F9" w:rsidRPr="00AB107E" w:rsidRDefault="00E354F9" w:rsidP="00CC209A">
      <w:pPr>
        <w:pStyle w:val="Default"/>
        <w:numPr>
          <w:ilvl w:val="1"/>
          <w:numId w:val="1"/>
        </w:numPr>
        <w:spacing w:line="504" w:lineRule="auto"/>
        <w:ind w:left="360"/>
      </w:pPr>
      <w:r w:rsidRPr="00AB107E">
        <w:rPr>
          <w:bCs/>
        </w:rPr>
        <w:t xml:space="preserve">Pejabat Penyidik Penuh </w:t>
      </w:r>
    </w:p>
    <w:p w:rsidR="00E354F9" w:rsidRPr="00AB107E" w:rsidRDefault="00E354F9" w:rsidP="00E354F9">
      <w:pPr>
        <w:pStyle w:val="Default"/>
        <w:spacing w:line="504" w:lineRule="auto"/>
        <w:ind w:firstLine="720"/>
        <w:jc w:val="both"/>
      </w:pPr>
      <w:r w:rsidRPr="00AB107E">
        <w:t>Pejabat polisi yang dapat diangkat sebagai pejabat “penyidik penuh”, harus memenuhi syarat-syarat kepangkatan dan pengangkatan,yaitu:</w:t>
      </w:r>
    </w:p>
    <w:p w:rsidR="00E354F9" w:rsidRPr="00AB107E" w:rsidRDefault="00E354F9" w:rsidP="00CC209A">
      <w:pPr>
        <w:pStyle w:val="Default"/>
        <w:numPr>
          <w:ilvl w:val="0"/>
          <w:numId w:val="9"/>
        </w:numPr>
        <w:spacing w:line="504" w:lineRule="auto"/>
        <w:ind w:left="360"/>
        <w:jc w:val="both"/>
      </w:pPr>
      <w:r w:rsidRPr="00AB107E">
        <w:lastRenderedPageBreak/>
        <w:t xml:space="preserve">Sekurang-kurangnya berpangkat Pembantu Letnan Dua Polisi; </w:t>
      </w:r>
    </w:p>
    <w:p w:rsidR="00E354F9" w:rsidRPr="00AB107E" w:rsidRDefault="00E354F9" w:rsidP="00CC209A">
      <w:pPr>
        <w:pStyle w:val="Default"/>
        <w:numPr>
          <w:ilvl w:val="0"/>
          <w:numId w:val="9"/>
        </w:numPr>
        <w:spacing w:line="504" w:lineRule="auto"/>
        <w:ind w:left="360"/>
        <w:jc w:val="both"/>
      </w:pPr>
      <w:r w:rsidRPr="00AB107E">
        <w:t xml:space="preserve">Berpangkat bintara dibawah Pembantu Letnan Dua apabila dalam suatu sektor kepolisian tidak ada pejabat penyidik yang berpangkat Pembantu Letnan Dua; </w:t>
      </w:r>
    </w:p>
    <w:p w:rsidR="00E354F9" w:rsidRPr="00AB107E" w:rsidRDefault="00E354F9" w:rsidP="00CC209A">
      <w:pPr>
        <w:pStyle w:val="Default"/>
        <w:numPr>
          <w:ilvl w:val="0"/>
          <w:numId w:val="9"/>
        </w:numPr>
        <w:spacing w:line="504" w:lineRule="auto"/>
        <w:ind w:left="360"/>
        <w:jc w:val="both"/>
      </w:pPr>
      <w:r w:rsidRPr="00AB107E">
        <w:t xml:space="preserve">Ditunjuk dan diangkat oleh Kepala Kepolisian Republik Indonesia </w:t>
      </w:r>
    </w:p>
    <w:p w:rsidR="00E354F9" w:rsidRPr="00AB107E" w:rsidRDefault="00E354F9" w:rsidP="00CC209A">
      <w:pPr>
        <w:pStyle w:val="Default"/>
        <w:numPr>
          <w:ilvl w:val="3"/>
          <w:numId w:val="7"/>
        </w:numPr>
        <w:spacing w:line="504" w:lineRule="auto"/>
        <w:ind w:left="360"/>
        <w:jc w:val="both"/>
      </w:pPr>
      <w:r w:rsidRPr="00AB107E">
        <w:rPr>
          <w:bCs/>
        </w:rPr>
        <w:t xml:space="preserve">Penyidik Pembantu </w:t>
      </w:r>
    </w:p>
    <w:p w:rsidR="00E354F9" w:rsidRPr="00AB107E" w:rsidRDefault="00E354F9" w:rsidP="00E354F9">
      <w:pPr>
        <w:pStyle w:val="Default"/>
        <w:spacing w:line="504" w:lineRule="auto"/>
        <w:ind w:firstLine="720"/>
        <w:jc w:val="both"/>
      </w:pPr>
      <w:r w:rsidRPr="00AB107E">
        <w:t>Pasal 10 KUHAP menentukan bahwa Penyidik Pembantu adalah Pejabat Kepolisan Negara Republik Indonesia yang diangkat oleh Kepala Kepolisian Negara menurut syarat-syarat yang diatur denganperaturan pemerintah. Pejabat polisi yang dapat diangkat sebagai “penyidik pembantu” diatur didalam Pasal 3 PP Nomor 27 Tahun 1983. Menurut ketentuan ini, syarat kepangkatan untuk dapat diangkat sebagai pejabat penyidik pembantu:</w:t>
      </w:r>
    </w:p>
    <w:p w:rsidR="00E354F9" w:rsidRPr="00AB107E" w:rsidRDefault="00E354F9" w:rsidP="00CC209A">
      <w:pPr>
        <w:pStyle w:val="Default"/>
        <w:numPr>
          <w:ilvl w:val="4"/>
          <w:numId w:val="7"/>
        </w:numPr>
        <w:tabs>
          <w:tab w:val="left" w:pos="851"/>
        </w:tabs>
        <w:ind w:left="1080"/>
        <w:jc w:val="both"/>
      </w:pPr>
      <w:r w:rsidRPr="00AB107E">
        <w:t xml:space="preserve">Sekurang-kurangnya berpangkat Sersan Dua Polisi; </w:t>
      </w:r>
    </w:p>
    <w:p w:rsidR="00E354F9" w:rsidRPr="00AB107E" w:rsidRDefault="00E354F9" w:rsidP="00CC209A">
      <w:pPr>
        <w:pStyle w:val="Default"/>
        <w:numPr>
          <w:ilvl w:val="4"/>
          <w:numId w:val="7"/>
        </w:numPr>
        <w:tabs>
          <w:tab w:val="left" w:pos="851"/>
        </w:tabs>
        <w:ind w:left="1080"/>
        <w:jc w:val="both"/>
      </w:pPr>
      <w:r w:rsidRPr="00AB107E">
        <w:t xml:space="preserve">Pegawai Negeri Sipil dalam lingkungan Kepolisian Negara dengan syarat sekurang-kurangnya berpangkat Pengatur Muda (Golongan II/a); </w:t>
      </w:r>
    </w:p>
    <w:p w:rsidR="00E354F9" w:rsidRPr="00AB107E" w:rsidRDefault="00E354F9" w:rsidP="00CC209A">
      <w:pPr>
        <w:pStyle w:val="Default"/>
        <w:numPr>
          <w:ilvl w:val="4"/>
          <w:numId w:val="7"/>
        </w:numPr>
        <w:tabs>
          <w:tab w:val="left" w:pos="851"/>
        </w:tabs>
        <w:ind w:left="1080"/>
        <w:jc w:val="both"/>
      </w:pPr>
      <w:r w:rsidRPr="00AB107E">
        <w:t>Diangkat oleh Kepala Kepolisian Republik Indonesia atas usul komandan atau pimpinan kesatuan masing-masing.</w:t>
      </w:r>
      <w:r w:rsidRPr="00AB107E">
        <w:rPr>
          <w:rStyle w:val="FootnoteReference"/>
        </w:rPr>
        <w:footnoteReference w:id="16"/>
      </w:r>
    </w:p>
    <w:p w:rsidR="00E354F9" w:rsidRPr="00AB107E" w:rsidRDefault="00E354F9" w:rsidP="00CC209A">
      <w:pPr>
        <w:pStyle w:val="Default"/>
        <w:numPr>
          <w:ilvl w:val="0"/>
          <w:numId w:val="1"/>
        </w:numPr>
        <w:spacing w:line="480" w:lineRule="auto"/>
        <w:ind w:left="360"/>
      </w:pPr>
      <w:r w:rsidRPr="00AB107E">
        <w:rPr>
          <w:bCs/>
        </w:rPr>
        <w:t xml:space="preserve">Penyidik Pegawai Negeri Sipil </w:t>
      </w:r>
    </w:p>
    <w:p w:rsidR="00E354F9" w:rsidRPr="00AB107E" w:rsidRDefault="00E354F9" w:rsidP="00E354F9">
      <w:pPr>
        <w:pStyle w:val="Default"/>
        <w:spacing w:line="444" w:lineRule="auto"/>
        <w:ind w:firstLine="720"/>
        <w:jc w:val="both"/>
      </w:pPr>
      <w:r w:rsidRPr="00AB107E">
        <w:t>Penyidik Pegawai Negeri Sipil diatur dalam Pasal 6 ayat (1) huruf b KUHAP, yaitu pegawai negeri sipil yang mempunyai fungsi dan wewenang sebagai penyidik. Pada dasarnya, wewenang yang mereka miliki bersumber pada undang-undang pidana khusus, yang telah menetapkan sendiri pemberian wewenang penyidikan pada salah satu pasal.</w:t>
      </w:r>
      <w:r w:rsidRPr="00AB107E">
        <w:rPr>
          <w:rStyle w:val="FootnoteReference"/>
        </w:rPr>
        <w:footnoteReference w:id="17"/>
      </w:r>
    </w:p>
    <w:p w:rsidR="00E354F9" w:rsidRPr="00AB107E" w:rsidRDefault="00E354F9" w:rsidP="00E354F9">
      <w:pPr>
        <w:pStyle w:val="BodyText"/>
        <w:spacing w:line="444" w:lineRule="auto"/>
        <w:ind w:firstLine="720"/>
      </w:pPr>
      <w:r w:rsidRPr="00AB107E">
        <w:lastRenderedPageBreak/>
        <w:t>Wewenang penyidikan yang dimiliki oleh pejabat pegawai negeri sipil hanya terbatas sepanjang yang menyangkut dengan tindak pidana yang diatur dalam undang-undang pidana khusus itu. Hal ini sesuai dengan pembatasan wewenang yang disebutkan dalam Pasal 7 ayat (2) KUHAP yang berbunyi: “Penyidik pegawai negeri sipil sebagaimana dimaksud Pasal 6 ayat (1) huruf b mempunyai wewenang sesuai dengan undang-undang yang menjadi landasan hukumnya masing-masing dan dalam pelaksanaan tugasnya berada dibawah koordinasi dan pengawasan penyidik Polri”.</w:t>
      </w:r>
    </w:p>
    <w:p w:rsidR="00E354F9" w:rsidRPr="00AB107E" w:rsidRDefault="00E354F9" w:rsidP="00E354F9">
      <w:pPr>
        <w:pStyle w:val="BodyText"/>
        <w:spacing w:line="444" w:lineRule="auto"/>
        <w:ind w:firstLine="720"/>
      </w:pPr>
      <w:r w:rsidRPr="00AB107E">
        <w:t xml:space="preserve">Penyidikan suatu istilah yang dimaksudkan sejajar dengan pengertian </w:t>
      </w:r>
      <w:r w:rsidRPr="00AB107E">
        <w:rPr>
          <w:i/>
          <w:iCs/>
        </w:rPr>
        <w:t xml:space="preserve">opsporing </w:t>
      </w:r>
      <w:r w:rsidRPr="00AB107E">
        <w:t xml:space="preserve">(Belanda) dan </w:t>
      </w:r>
      <w:r w:rsidRPr="00AB107E">
        <w:rPr>
          <w:i/>
          <w:iCs/>
        </w:rPr>
        <w:t xml:space="preserve">investigation </w:t>
      </w:r>
      <w:r w:rsidRPr="00AB107E">
        <w:t xml:space="preserve">(Inggris) atau </w:t>
      </w:r>
      <w:r w:rsidRPr="00AB107E">
        <w:rPr>
          <w:iCs/>
        </w:rPr>
        <w:t xml:space="preserve">penyiasatan </w:t>
      </w:r>
      <w:r w:rsidRPr="00AB107E">
        <w:t xml:space="preserve">atau </w:t>
      </w:r>
      <w:r w:rsidRPr="00AB107E">
        <w:rPr>
          <w:iCs/>
        </w:rPr>
        <w:t>siasat</w:t>
      </w:r>
      <w:r w:rsidRPr="00AB107E">
        <w:t>( Malaysia).</w:t>
      </w:r>
      <w:r w:rsidRPr="00AB107E">
        <w:rPr>
          <w:rStyle w:val="FootnoteReference"/>
        </w:rPr>
        <w:footnoteReference w:id="18"/>
      </w:r>
      <w:r w:rsidRPr="00AB107E">
        <w:t xml:space="preserve"> Pasal 1 ayat (2) Peraturan Kepala Kepolisian Negara Republik Indonesia Tentang Manajemen Penyidikan Tindak Pidana, memberi definisi penyidikan sebagai berikut : “Serangkaian tindakan penyidikan dalam hal dan menurut cara yang diatur dalam undang-undang ini untuk mencari serta mengumpulkan bukti yang dengan bukti itu membuat terang tentang tindak pidana yang terjadi dan guna menemukan tersangkanya”.</w:t>
      </w:r>
      <w:r w:rsidRPr="00AB107E">
        <w:rPr>
          <w:rStyle w:val="FootnoteReference"/>
        </w:rPr>
        <w:footnoteReference w:id="19"/>
      </w:r>
    </w:p>
    <w:p w:rsidR="00E354F9" w:rsidRPr="00AB107E" w:rsidRDefault="00E354F9" w:rsidP="00E354F9">
      <w:pPr>
        <w:pStyle w:val="BodyText"/>
        <w:ind w:firstLine="720"/>
      </w:pPr>
      <w:r w:rsidRPr="00AB107E">
        <w:t>Sebagaimana diatur dalam Pasal 1 ayat (2) KUHAP diatas, menjelaskan bahwa penyidikan adalah setiap tindakan penyidik untuk mencari bukti-bukti yang dapat menyakinkan atau mendukung kenyakinan bahwa perbuatan pidana atau perbuatan yang dilarang oleh ketentuan pidana itu benar-benar terjadi. Pengumpulan bahan keterangan untuk mendukung keyakinan bahwa perbuatan pidana itu telah terjadi, harus dilakukan dengan cara mempertimbangkan dengan saksama makna dari kemauan hukum sesungguhnya, dengan parameter apakah perbuatan atau peristiwa pidana (kriminal) itu bertentangan dengan nilai-nilai yang hidup pada komunitas yang di masyarakat setempat, misalnya perbuatan itu nyata-nyata merugikan pihak lain di peristiwa tersebut.</w:t>
      </w:r>
    </w:p>
    <w:p w:rsidR="00E354F9" w:rsidRPr="00AB107E" w:rsidRDefault="00E354F9" w:rsidP="00E354F9">
      <w:pPr>
        <w:pStyle w:val="BodyText"/>
        <w:ind w:firstLine="720"/>
      </w:pPr>
      <w:r w:rsidRPr="00AB107E">
        <w:t xml:space="preserve">Undang-Undang Nomor 2 tahun 2002 Tentang Kepolisian Republik Indonesia, terdapat ketentuan yang secara khusus mengatur tentang penyidikan, </w:t>
      </w:r>
      <w:r w:rsidRPr="00AB107E">
        <w:lastRenderedPageBreak/>
        <w:t>penuntutan, dan pemeriksaan di sidang pengadilan yang tidak diatur didalam Kitab Undang-Undang Hukum Acara Pidana (KUHAP) dan hal ini merupakan relevansi asas hukum pidana (</w:t>
      </w:r>
      <w:r w:rsidRPr="00AB107E">
        <w:rPr>
          <w:i/>
          <w:iCs/>
        </w:rPr>
        <w:t>lex specialist derogat lex generalist</w:t>
      </w:r>
      <w:r w:rsidRPr="00AB107E">
        <w:t>) secara sosiologi, kewenangan polisi dalam proses pemeriksaan pendahuluan ini dilihat sebagai kedudukan (</w:t>
      </w:r>
      <w:r w:rsidRPr="00AB107E">
        <w:rPr>
          <w:i/>
          <w:iCs/>
        </w:rPr>
        <w:t>status</w:t>
      </w:r>
      <w:r w:rsidRPr="00AB107E">
        <w:t>) dan peranan (</w:t>
      </w:r>
      <w:r w:rsidRPr="00AB107E">
        <w:rPr>
          <w:i/>
          <w:iCs/>
        </w:rPr>
        <w:t>rule</w:t>
      </w:r>
      <w:r w:rsidRPr="00AB107E">
        <w:t>).</w:t>
      </w:r>
    </w:p>
    <w:p w:rsidR="00E354F9" w:rsidRPr="00AB107E" w:rsidRDefault="00E354F9" w:rsidP="00E354F9">
      <w:pPr>
        <w:pStyle w:val="BodyText"/>
        <w:ind w:firstLine="720"/>
      </w:pPr>
      <w:r w:rsidRPr="00AB107E">
        <w:t>Menurut M. Yahya Harahap, pengertian penyidikan adalah suatu tindakan lanjut dari kegiatan penyelidikan dengan adanya suatu terjadinya peristiwa tindak pidana. Persyaratan dan pembatasan yang ketat dalam penggunaan upaya paksa setelah pengumpulan bukti permulaan yang cukup guna membuat terang suatu peristiwa yang patut diduga merupakan tindak pidana.</w:t>
      </w:r>
      <w:r w:rsidRPr="00AB107E">
        <w:rPr>
          <w:rStyle w:val="FootnoteReference"/>
        </w:rPr>
        <w:footnoteReference w:id="20"/>
      </w:r>
    </w:p>
    <w:p w:rsidR="00E354F9" w:rsidRPr="00AB107E" w:rsidRDefault="00E354F9" w:rsidP="00CC209A">
      <w:pPr>
        <w:pStyle w:val="BodyText"/>
        <w:numPr>
          <w:ilvl w:val="1"/>
          <w:numId w:val="10"/>
        </w:numPr>
        <w:tabs>
          <w:tab w:val="clear" w:pos="1021"/>
          <w:tab w:val="num" w:pos="341"/>
        </w:tabs>
        <w:spacing w:after="0" w:line="480" w:lineRule="auto"/>
        <w:ind w:left="341"/>
        <w:jc w:val="both"/>
        <w:rPr>
          <w:b/>
        </w:rPr>
      </w:pPr>
      <w:r w:rsidRPr="00AB107E">
        <w:rPr>
          <w:b/>
        </w:rPr>
        <w:t>Tugas dan Kewenangan Penyidik</w:t>
      </w:r>
    </w:p>
    <w:p w:rsidR="00E354F9" w:rsidRPr="00AB107E" w:rsidRDefault="00E354F9" w:rsidP="00E354F9">
      <w:pPr>
        <w:pStyle w:val="Default"/>
        <w:spacing w:line="480" w:lineRule="auto"/>
        <w:ind w:firstLine="720"/>
        <w:jc w:val="both"/>
      </w:pPr>
      <w:r w:rsidRPr="00AB107E">
        <w:t>Berkaitan dengan tugas pokok Polisi dalam rangka penegakan hukum sebagai proses penyelesaian masalah suatu perkara pidana, maka dilakukan penyidikan oleh penyidik Polri. Sehubungan dengan hal di atas, maka pejabat Kepolisian Negara Republik Indonesia dalam menjalankan tugas dan wewenangnya di seluruh wilayah Negara Republik Indonesia, khususnya di daerah hukum pejabat yang bersangkutan ditugaskan sesuai dengan ketentuan peraturan perundang-undangan. Hal ini sesuai dengan isi ketentuan Pasal 17 Undang-undang Nomor 2 Tahun 2002 tentang Kepolisian Negara Republik Indonesia. Kepolisian dalam melaksanakan tugas dan wewenangnya harus didasarkan kepada ketentuan peraturan perundangan yang berlaku atau dapat dikatakan harus sesuai dengan prosedur hukum yang berlaku.</w:t>
      </w:r>
    </w:p>
    <w:p w:rsidR="00E354F9" w:rsidRPr="00AB107E" w:rsidRDefault="00E354F9" w:rsidP="00E354F9">
      <w:pPr>
        <w:pStyle w:val="Default"/>
        <w:spacing w:line="480" w:lineRule="auto"/>
        <w:ind w:firstLine="720"/>
        <w:jc w:val="both"/>
      </w:pPr>
      <w:r w:rsidRPr="00AB107E">
        <w:t xml:space="preserve">Penyidikan merupakan salah satu tugas pokok Polri dalam rangka melaksanakan penegakan hukum yang didasarkan pada ketentuan Pasal 13 huruf (b) Undang-Undang Nomor 2 Tahun 2002 tentang Kepolisian Negara Republik Indonesia. Sementara dalam kaitannya dengan Polri sebagai penyidik didasarkan kepada ketentuan Pasal 14 ayat (1) huruf (g) Undang-Undang Nomor 2 Tahun </w:t>
      </w:r>
      <w:r w:rsidRPr="00AB107E">
        <w:lastRenderedPageBreak/>
        <w:t>2002 tentang Kepolisian Negara Republik Indonesia, yang menyatakan bahwa Kepolisian Negara Republik Indonesia bertugas “melakukan penyelidikan dan penyidikan terhadap semua tindak pidana sesuai dengan hukum  acara pidana dan peraturan perundang-undangan lainnya.”</w:t>
      </w:r>
    </w:p>
    <w:p w:rsidR="00E354F9" w:rsidRPr="00AB107E" w:rsidRDefault="00E354F9" w:rsidP="00E354F9">
      <w:pPr>
        <w:pStyle w:val="Default"/>
        <w:spacing w:line="516" w:lineRule="auto"/>
        <w:ind w:firstLine="720"/>
        <w:jc w:val="both"/>
      </w:pPr>
      <w:r w:rsidRPr="00AB107E">
        <w:t>Undang-Undang Nomor 2 Tahun 2002 tentang Kepolisian Negara Republik Indonesia memberikan wewenang kepada Polri untuk melakukan tugas penyelidikan dan penyidikan, namun tidak secara eksplisit mengatur mengenai penyelidikan dan penyidikan, sehingga Undang-Undang Nomor 2 Tahun 2002 tentang Kepolisian Negara Republik Indonesia ini masih tetap mengacu kepada KUHAP maupun peraturan perundangan lainnya yang berkaitan dengan penyelidikan dan penyidikan.</w:t>
      </w:r>
    </w:p>
    <w:p w:rsidR="00E354F9" w:rsidRPr="00AB107E" w:rsidRDefault="00E354F9" w:rsidP="00E354F9">
      <w:pPr>
        <w:pStyle w:val="Default"/>
        <w:spacing w:line="516" w:lineRule="auto"/>
        <w:ind w:firstLine="720"/>
        <w:jc w:val="both"/>
      </w:pPr>
      <w:r w:rsidRPr="00AB107E">
        <w:t>Penyidikan tindak pidana dilaksanakan setelah diketahui bahwa sesuatu peristiwa yang terjadi merupakan tindak pidana. Dasar hukumnya adalah Pasal 102 ayat (2) dan (3) KUHAP; Pasal 106 KUHAP; Pasal 108 KUHAP; Pasal 109 ayat (1) KUHAP; Pasal 111 KUHAP. Suatu tindak pidana dapat diketahui melalui: laporan, pengaduan, tertangkap tangan, diketahui langsung oleh petugas Polri.</w:t>
      </w:r>
      <w:r w:rsidRPr="00AB107E">
        <w:rPr>
          <w:rStyle w:val="FootnoteReference"/>
        </w:rPr>
        <w:footnoteReference w:id="21"/>
      </w:r>
    </w:p>
    <w:p w:rsidR="00E354F9" w:rsidRPr="00AB107E" w:rsidRDefault="00E354F9" w:rsidP="00E354F9">
      <w:pPr>
        <w:pStyle w:val="Default"/>
        <w:spacing w:line="480" w:lineRule="auto"/>
        <w:ind w:firstLine="720"/>
        <w:jc w:val="both"/>
      </w:pPr>
      <w:r w:rsidRPr="00AB107E">
        <w:t xml:space="preserve">Setiap  petugas Polri tanpa menunggu surat perintah dapat melakukan tindakan penangkapan, larangan meninggalkan tempat, penggeledahan dan lain sebagainya seperti dimaksud dalam Pasal 5 ayat (1) huruf (b) KUHAP ketika terjadi tindak pidana tertangkap tangan. Terhadap tindakan yang dilakukan, </w:t>
      </w:r>
      <w:r w:rsidRPr="00AB107E">
        <w:lastRenderedPageBreak/>
        <w:t>petugas tersebut wajib membuat berita acara dan melaporkannya kepada penyidik sedaerah hukum.</w:t>
      </w:r>
    </w:p>
    <w:p w:rsidR="00E354F9" w:rsidRPr="00AB107E" w:rsidRDefault="00E354F9" w:rsidP="00E354F9">
      <w:pPr>
        <w:pStyle w:val="Default"/>
        <w:spacing w:line="480" w:lineRule="auto"/>
        <w:ind w:firstLine="720"/>
        <w:jc w:val="both"/>
      </w:pPr>
      <w:r w:rsidRPr="00AB107E">
        <w:t xml:space="preserve">Penyidikan yang mengetahui, menerima laporan atau pengaduan tentang terjadinya suatu peristiwa yang patut diduga merupakan tindak pidana wajib segera melakukan tindakan penyidikan yang diperlukan. Setiap orang yang mengalami, melihat, menyaksikan dan atau menjadi korban peristiwa yang merupakan tindak pidana berhak untuk mengajukan laporan atau pengaduan kepada kepolisian baik lisan maupun tertulis. Begitu juga bagi orang yang mengetahui permufakatan jahat untuk melakukan tindak pidana, seketika itu juga agar melaporkan hal tersebut kepada kepolisian. </w:t>
      </w:r>
    </w:p>
    <w:p w:rsidR="00E354F9" w:rsidRPr="00AB107E" w:rsidRDefault="00E354F9" w:rsidP="00E354F9">
      <w:pPr>
        <w:pStyle w:val="Default"/>
        <w:spacing w:line="480" w:lineRule="auto"/>
        <w:ind w:firstLine="720"/>
        <w:jc w:val="both"/>
      </w:pPr>
      <w:r w:rsidRPr="00AB107E">
        <w:t>Pegawai negeri dalam rangka melaksanakan tugasnya yang mengetahui tentang terjadinya peristiwa yang merupakan tindak pidana wajib segera melaporkan hal itu kepada kepolisian. Laporan atau pengaduan yang diajukan secara tertulis harus ditanda-tangani oleh pelapor atau pengadu. Laporan atau pengaduan yang diajukan secara lisan harus dicatat oleh penyidik dan ditandatangani oleh pelapor atau pengadu dan penyidik. Setelah menerima laporan atau pengaduan, penyelidik atau penyidik harus memberikan surat tanda penerimaan laporan atau pengaduan kepada yang bersangkutan. Dalam hal penyidik telah mulai melakukan penyidikan suatu peristiwa yang merupakan tindak pidana, penyidik memberitahukan hal itu kepada penuntut umum.</w:t>
      </w:r>
    </w:p>
    <w:p w:rsidR="00E354F9" w:rsidRPr="00AB107E" w:rsidRDefault="00E354F9" w:rsidP="00E354F9">
      <w:pPr>
        <w:pStyle w:val="Default"/>
        <w:spacing w:line="480" w:lineRule="auto"/>
        <w:ind w:firstLine="720"/>
        <w:jc w:val="both"/>
      </w:pPr>
      <w:r w:rsidRPr="00AB107E">
        <w:t xml:space="preserve">Berdasar ketentuan dalam Pasal 111 KUHAP, dalam hal terjadi tindak pidana yang tertangkap tangan setiap orang berhak, sedangkan setiap orang yang mempunyai wewenang dalam tugas ketertiban, ketentraman dan keamanan umum </w:t>
      </w:r>
      <w:r w:rsidRPr="00AB107E">
        <w:lastRenderedPageBreak/>
        <w:t>wajib, menangkap tersangka guna diserahkan beserta atau tanpa barang bukti kepada penyelidik atau penyidik. Setelah menerima penyerahan tersangka, penyelidik atau penyidik wajib segera melakukan pemeriksaan dan tindakan lain dalam rangka penyidikan. Penyelidik atau penyidik yang menerima laporan tersebut segera datang ke tempat kejadian dapat melarang setiap orang untuk meninggalkan tempat itu selama pemeriksaan di situ belum selesai.</w:t>
      </w:r>
    </w:p>
    <w:p w:rsidR="00E354F9" w:rsidRPr="00AB107E" w:rsidRDefault="00E354F9" w:rsidP="00E354F9">
      <w:pPr>
        <w:pStyle w:val="Default"/>
        <w:spacing w:line="480" w:lineRule="auto"/>
        <w:ind w:firstLine="720"/>
        <w:jc w:val="both"/>
      </w:pPr>
      <w:r w:rsidRPr="00AB107E">
        <w:t>Setelah diketahui bahwa suatu peristiwa yang terjadi diduga atau merupakan tindak pidana, segera dilakukan penyidikan melalui kegiatan-kegiatan penyelidikan, penindakan, pemeriksaan serta penyelesaian dan penyerahan berkas perkara yang dapat dilakukan oleh Penyelidikan Reserse, yang menjadi dasasr hukumnya adalah: Pasal 5 KUHAP; Pasal 9 KUHAP; Pasal 75 KUHAP; Pasal 102 s/d 105 KUHAP; Pasal 111 KUHAP.</w:t>
      </w:r>
    </w:p>
    <w:p w:rsidR="00E354F9" w:rsidRPr="00AB107E" w:rsidRDefault="00E354F9" w:rsidP="00E354F9">
      <w:pPr>
        <w:pStyle w:val="Default"/>
        <w:spacing w:line="480" w:lineRule="auto"/>
        <w:ind w:firstLine="720"/>
        <w:jc w:val="both"/>
      </w:pPr>
      <w:r w:rsidRPr="00AB107E">
        <w:t>Petugas Polri mempunyai kewewenangan menerima laporan atau pengaduan tentan adanya tindak pidana, mencaru keterangan dan barang bukti, menyuruh berhenti seorang yang dicurigai dan menanyakan serta memeriksa tanda pengenal diri, serta melakukan tindakan lain menurut hukum yang bertanggang jawab. Atas perintah penyidik dapat melakukan tindakan berupa: Penangkapan, larangan meninggalkan tempat penggeledahan dan penyitaan, Pemeriksaan dan penyitaan surat, Mengambil sidik jari dan memotret seorang, Membawa dan menghadapkan seorang pada penyidik.</w:t>
      </w:r>
      <w:r w:rsidRPr="00AB107E">
        <w:rPr>
          <w:rStyle w:val="FootnoteReference"/>
        </w:rPr>
        <w:footnoteReference w:id="22"/>
      </w:r>
    </w:p>
    <w:p w:rsidR="00E354F9" w:rsidRPr="00AB107E" w:rsidRDefault="00E354F9" w:rsidP="00E354F9">
      <w:pPr>
        <w:pStyle w:val="NormalWeb"/>
        <w:spacing w:before="0" w:beforeAutospacing="0" w:after="0" w:afterAutospacing="0" w:line="456" w:lineRule="auto"/>
        <w:ind w:firstLine="720"/>
        <w:jc w:val="both"/>
      </w:pPr>
      <w:r w:rsidRPr="00AB107E">
        <w:t xml:space="preserve">Berita acara dibuat untuk setiap tindakan tentang pemeriksaan tersangka, penangkapan, penahanan, penggeledahan, pemasukan rumah, penyitaan benda, pemeriksaan surat, pemeriksaan saksi, pemeriksaan di tempat kejadian, </w:t>
      </w:r>
      <w:r w:rsidRPr="00AB107E">
        <w:lastRenderedPageBreak/>
        <w:t>pelaksanaan penetapan dan putusan pengadilan; pelaksanaan tindakan lain sesuai dengan ketentuan dalam undang-undang. Berita acara dibuat oleh pejabat yang bersangkutan dalam melakukan tindakan tersebut dan dibuat atas kekuatan sumpah jabatan. Berita acara tersebut selain ditandatangani oleh pejabat tersebut ditandatangani pula oleh semua pihak yang terlibat dalam tindakan tersebut.</w:t>
      </w:r>
      <w:r w:rsidRPr="00AB107E">
        <w:rPr>
          <w:rStyle w:val="FootnoteReference"/>
        </w:rPr>
        <w:footnoteReference w:id="23"/>
      </w:r>
    </w:p>
    <w:p w:rsidR="00E354F9" w:rsidRPr="00AB107E" w:rsidRDefault="00E354F9" w:rsidP="00E354F9">
      <w:pPr>
        <w:pStyle w:val="NormalWeb"/>
        <w:spacing w:before="0" w:beforeAutospacing="0" w:after="0" w:afterAutospacing="0" w:line="456" w:lineRule="auto"/>
        <w:ind w:firstLine="720"/>
        <w:jc w:val="both"/>
      </w:pPr>
      <w:r w:rsidRPr="00AB107E">
        <w:t>Penyelidikan yang mengetahui, menerima laporan atau pengaduan tentang terjadinya suatu peristiwa yang patut diduga merupakan tindak pidana wajib segera melakukan tindakan penyelidikan yang diperlukan. Dalam hal tertangkap tangan tanpa menunggu perintah penyidik, penyelidik wajib segera melakukan tindakan yang diperlukan dalam rangka penyelidikan dan penyelidik wajib membuat berita acara dan melaporkannya kepada penyidik sedaerah hukum.</w:t>
      </w:r>
    </w:p>
    <w:p w:rsidR="00E354F9" w:rsidRPr="00AB107E" w:rsidRDefault="00E354F9" w:rsidP="00E354F9">
      <w:pPr>
        <w:pStyle w:val="NormalWeb"/>
        <w:spacing w:before="0" w:beforeAutospacing="0" w:after="0" w:afterAutospacing="0" w:line="456" w:lineRule="auto"/>
        <w:ind w:firstLine="720"/>
        <w:jc w:val="both"/>
      </w:pPr>
      <w:r w:rsidRPr="00AB107E">
        <w:t>Laporan atau pengaduan yang diajukan secara tertulis harus ditandatangani oleh pelapor atau pengadu. Laporan atau pengaduan yang diajukan secara lisan harus dicatat oleh penyelidik dan ditandatangani oleh pelapor atau pengadu dan penyelidik. Dalam hal pelapor atau pengadu tidak dapat menulis, hal itu harus disebutkan sebagai catatan dalam laporan atau pengaduan tersebut. Dalam melaksanakan tugas penyelidikan, penyelidik wajib menunjukkan tanda pengenalnya. Dalam melaksanakan tugas penyelidikan, penyelidik dikoordinasi, diawasi dan diberi petunjuk oleh penyidik</w:t>
      </w:r>
    </w:p>
    <w:p w:rsidR="004235C8" w:rsidRPr="00E354F9" w:rsidRDefault="004235C8" w:rsidP="00E354F9">
      <w:bookmarkStart w:id="17" w:name="_GoBack"/>
      <w:bookmarkEnd w:id="17"/>
    </w:p>
    <w:sectPr w:rsidR="004235C8" w:rsidRPr="00E354F9" w:rsidSect="00091633">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547" w:rsidRDefault="005F4547" w:rsidP="00C756CF">
      <w:r>
        <w:separator/>
      </w:r>
    </w:p>
  </w:endnote>
  <w:endnote w:type="continuationSeparator" w:id="1">
    <w:p w:rsidR="005F4547" w:rsidRDefault="005F4547" w:rsidP="00C756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B3C" w:rsidRDefault="00750B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B3C" w:rsidRDefault="00750B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B3C" w:rsidRDefault="00750B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547" w:rsidRDefault="005F4547" w:rsidP="00C756CF">
      <w:r>
        <w:separator/>
      </w:r>
    </w:p>
  </w:footnote>
  <w:footnote w:type="continuationSeparator" w:id="1">
    <w:p w:rsidR="005F4547" w:rsidRDefault="005F4547" w:rsidP="00C756CF">
      <w:r>
        <w:continuationSeparator/>
      </w:r>
    </w:p>
  </w:footnote>
  <w:footnote w:id="2">
    <w:p w:rsidR="00E354F9" w:rsidRPr="00743C51" w:rsidRDefault="00E354F9" w:rsidP="00E354F9">
      <w:pPr>
        <w:pStyle w:val="FootnoteText"/>
        <w:ind w:firstLine="720"/>
        <w:jc w:val="both"/>
      </w:pPr>
      <w:r w:rsidRPr="00743C51">
        <w:rPr>
          <w:rStyle w:val="FootnoteReference"/>
        </w:rPr>
        <w:footnoteRef/>
      </w:r>
      <w:r w:rsidRPr="00743C51">
        <w:t xml:space="preserve"> Supriadi, </w:t>
      </w:r>
      <w:r w:rsidRPr="00743C51">
        <w:rPr>
          <w:i/>
          <w:iCs/>
        </w:rPr>
        <w:t>Etika dan Tanggung Jawab Profesi Hukum Di Indonesia</w:t>
      </w:r>
      <w:r w:rsidRPr="00743C51">
        <w:t>, Sinar Grafika, Jakarta, 2016, hal.60</w:t>
      </w:r>
    </w:p>
  </w:footnote>
  <w:footnote w:id="3">
    <w:p w:rsidR="00E354F9" w:rsidRPr="00743C51" w:rsidRDefault="00E354F9" w:rsidP="00E354F9">
      <w:pPr>
        <w:pStyle w:val="FootnoteText"/>
        <w:ind w:firstLine="720"/>
        <w:jc w:val="both"/>
      </w:pPr>
      <w:r w:rsidRPr="00743C51">
        <w:rPr>
          <w:rStyle w:val="FootnoteReference"/>
        </w:rPr>
        <w:footnoteRef/>
      </w:r>
      <w:r w:rsidRPr="00743C51">
        <w:rPr>
          <w:i/>
        </w:rPr>
        <w:t xml:space="preserve">Ibid, </w:t>
      </w:r>
      <w:r w:rsidRPr="00743C51">
        <w:t xml:space="preserve"> hal.61</w:t>
      </w:r>
    </w:p>
  </w:footnote>
  <w:footnote w:id="4">
    <w:p w:rsidR="00E354F9" w:rsidRPr="00743C51" w:rsidRDefault="00E354F9" w:rsidP="00E354F9">
      <w:pPr>
        <w:pStyle w:val="FootnoteText"/>
        <w:ind w:firstLine="720"/>
        <w:jc w:val="both"/>
      </w:pPr>
      <w:r w:rsidRPr="00743C51">
        <w:rPr>
          <w:rStyle w:val="FootnoteReference"/>
        </w:rPr>
        <w:footnoteRef/>
      </w:r>
      <w:r w:rsidRPr="00743C51">
        <w:rPr>
          <w:lang w:eastAsia="id-ID"/>
        </w:rPr>
        <w:t xml:space="preserve">Adnan Buyung Nasution,  </w:t>
      </w:r>
      <w:r w:rsidRPr="00743C51">
        <w:rPr>
          <w:i/>
          <w:iCs/>
          <w:lang w:eastAsia="id-ID"/>
        </w:rPr>
        <w:t>Bantuan Hukum di Indonesia</w:t>
      </w:r>
      <w:r w:rsidRPr="00743C51">
        <w:rPr>
          <w:lang w:eastAsia="id-ID"/>
        </w:rPr>
        <w:t>, LP3ES, Jakarta, 2018</w:t>
      </w:r>
      <w:r w:rsidRPr="00743C51">
        <w:rPr>
          <w:color w:val="000000"/>
          <w:lang w:eastAsia="id-ID"/>
        </w:rPr>
        <w:t xml:space="preserve"> hal.14</w:t>
      </w:r>
    </w:p>
  </w:footnote>
  <w:footnote w:id="5">
    <w:p w:rsidR="00E354F9" w:rsidRPr="0046606C" w:rsidRDefault="00E354F9" w:rsidP="00E354F9">
      <w:pPr>
        <w:pStyle w:val="FootnoteText"/>
        <w:ind w:firstLine="720"/>
        <w:jc w:val="both"/>
      </w:pPr>
      <w:r w:rsidRPr="00743C51">
        <w:rPr>
          <w:rStyle w:val="FootnoteReference"/>
        </w:rPr>
        <w:footnoteRef/>
      </w:r>
      <w:r w:rsidRPr="00743C51">
        <w:t xml:space="preserve">M. </w:t>
      </w:r>
      <w:r w:rsidRPr="00743C51">
        <w:rPr>
          <w:color w:val="000000"/>
          <w:lang w:eastAsia="id-ID"/>
        </w:rPr>
        <w:t xml:space="preserve">Yahya Harahap, </w:t>
      </w:r>
      <w:r w:rsidRPr="00743C51">
        <w:rPr>
          <w:i/>
          <w:iCs/>
          <w:color w:val="000000"/>
          <w:lang w:eastAsia="id-ID"/>
        </w:rPr>
        <w:t xml:space="preserve">Pelayanan Hukum Bagi Warga Miskin, </w:t>
      </w:r>
      <w:r w:rsidRPr="00743C51">
        <w:rPr>
          <w:iCs/>
          <w:color w:val="000000"/>
          <w:lang w:eastAsia="id-ID"/>
        </w:rPr>
        <w:t>Anugrah, Bandung, 2018,</w:t>
      </w:r>
      <w:r w:rsidRPr="00743C51">
        <w:rPr>
          <w:color w:val="000000"/>
          <w:lang w:eastAsia="id-ID"/>
        </w:rPr>
        <w:t>h</w:t>
      </w:r>
      <w:r>
        <w:rPr>
          <w:color w:val="000000"/>
          <w:lang w:eastAsia="id-ID"/>
        </w:rPr>
        <w:t>al</w:t>
      </w:r>
      <w:r w:rsidRPr="00743C51">
        <w:rPr>
          <w:color w:val="000000"/>
          <w:lang w:eastAsia="id-ID"/>
        </w:rPr>
        <w:t>. 12</w:t>
      </w:r>
    </w:p>
  </w:footnote>
  <w:footnote w:id="6">
    <w:p w:rsidR="00E354F9" w:rsidRPr="00743C51" w:rsidRDefault="00E354F9" w:rsidP="00E354F9">
      <w:pPr>
        <w:autoSpaceDE w:val="0"/>
        <w:autoSpaceDN w:val="0"/>
        <w:adjustRightInd w:val="0"/>
        <w:ind w:firstLine="720"/>
        <w:jc w:val="both"/>
        <w:rPr>
          <w:sz w:val="20"/>
          <w:szCs w:val="20"/>
        </w:rPr>
      </w:pPr>
      <w:r w:rsidRPr="00743C51">
        <w:rPr>
          <w:rStyle w:val="FootnoteReference"/>
          <w:sz w:val="20"/>
          <w:szCs w:val="20"/>
        </w:rPr>
        <w:footnoteRef/>
      </w:r>
      <w:r w:rsidRPr="00743C51">
        <w:rPr>
          <w:sz w:val="20"/>
          <w:szCs w:val="20"/>
          <w:lang w:eastAsia="id-ID"/>
        </w:rPr>
        <w:t xml:space="preserve">Soerjono Soekanto, </w:t>
      </w:r>
      <w:r w:rsidRPr="00743C51">
        <w:rPr>
          <w:i/>
          <w:iCs/>
          <w:sz w:val="20"/>
          <w:szCs w:val="20"/>
          <w:lang w:eastAsia="id-ID"/>
        </w:rPr>
        <w:t>Op.Cit</w:t>
      </w:r>
      <w:r w:rsidRPr="00743C51">
        <w:rPr>
          <w:sz w:val="20"/>
          <w:szCs w:val="20"/>
          <w:lang w:eastAsia="id-ID"/>
        </w:rPr>
        <w:t xml:space="preserve">, </w:t>
      </w:r>
      <w:r>
        <w:rPr>
          <w:sz w:val="20"/>
          <w:szCs w:val="20"/>
          <w:lang w:eastAsia="id-ID"/>
        </w:rPr>
        <w:t>hal.</w:t>
      </w:r>
      <w:r w:rsidRPr="00743C51">
        <w:rPr>
          <w:sz w:val="20"/>
          <w:szCs w:val="20"/>
          <w:lang w:eastAsia="id-ID"/>
        </w:rPr>
        <w:t xml:space="preserve"> 11</w:t>
      </w:r>
    </w:p>
  </w:footnote>
  <w:footnote w:id="7">
    <w:p w:rsidR="00E354F9" w:rsidRPr="00743C51" w:rsidRDefault="00E354F9" w:rsidP="00E354F9">
      <w:pPr>
        <w:autoSpaceDE w:val="0"/>
        <w:autoSpaceDN w:val="0"/>
        <w:adjustRightInd w:val="0"/>
        <w:ind w:firstLine="720"/>
        <w:jc w:val="both"/>
        <w:rPr>
          <w:sz w:val="20"/>
          <w:szCs w:val="20"/>
        </w:rPr>
      </w:pPr>
      <w:r w:rsidRPr="00743C51">
        <w:rPr>
          <w:rStyle w:val="FootnoteReference"/>
          <w:sz w:val="20"/>
          <w:szCs w:val="20"/>
        </w:rPr>
        <w:footnoteRef/>
      </w:r>
      <w:r w:rsidRPr="00743C51">
        <w:rPr>
          <w:sz w:val="20"/>
          <w:szCs w:val="20"/>
          <w:lang w:eastAsia="id-ID"/>
        </w:rPr>
        <w:t xml:space="preserve">M. Yahya Harahap, </w:t>
      </w:r>
      <w:r w:rsidRPr="00743C51">
        <w:rPr>
          <w:i/>
          <w:iCs/>
          <w:sz w:val="20"/>
          <w:szCs w:val="20"/>
          <w:lang w:eastAsia="id-ID"/>
        </w:rPr>
        <w:t>Op. Cit</w:t>
      </w:r>
      <w:r w:rsidRPr="00743C51">
        <w:rPr>
          <w:sz w:val="20"/>
          <w:szCs w:val="20"/>
          <w:lang w:eastAsia="id-ID"/>
        </w:rPr>
        <w:t xml:space="preserve">, </w:t>
      </w:r>
      <w:r>
        <w:rPr>
          <w:sz w:val="20"/>
          <w:szCs w:val="20"/>
          <w:lang w:eastAsia="id-ID"/>
        </w:rPr>
        <w:t>hal.</w:t>
      </w:r>
      <w:r w:rsidRPr="00743C51">
        <w:rPr>
          <w:sz w:val="20"/>
          <w:szCs w:val="20"/>
          <w:lang w:eastAsia="id-ID"/>
        </w:rPr>
        <w:t xml:space="preserve"> 334</w:t>
      </w:r>
    </w:p>
  </w:footnote>
  <w:footnote w:id="8">
    <w:p w:rsidR="00E354F9" w:rsidRPr="00743C51" w:rsidRDefault="00E354F9" w:rsidP="00E354F9">
      <w:pPr>
        <w:pStyle w:val="FootnoteText"/>
        <w:ind w:firstLine="720"/>
        <w:jc w:val="both"/>
      </w:pPr>
      <w:r w:rsidRPr="00743C51">
        <w:rPr>
          <w:rStyle w:val="FootnoteReference"/>
        </w:rPr>
        <w:footnoteRef/>
      </w:r>
      <w:r w:rsidRPr="00743C51">
        <w:rPr>
          <w:i/>
        </w:rPr>
        <w:t>Ibid</w:t>
      </w:r>
      <w:r w:rsidRPr="00743C51">
        <w:t xml:space="preserve">, </w:t>
      </w:r>
      <w:r>
        <w:t>hal.</w:t>
      </w:r>
      <w:r w:rsidRPr="00743C51">
        <w:t>335</w:t>
      </w:r>
    </w:p>
  </w:footnote>
  <w:footnote w:id="9">
    <w:p w:rsidR="00E354F9" w:rsidRPr="00743C51" w:rsidRDefault="00E354F9" w:rsidP="00E354F9">
      <w:pPr>
        <w:pStyle w:val="FootnoteText"/>
        <w:ind w:firstLine="720"/>
        <w:jc w:val="both"/>
      </w:pPr>
      <w:r w:rsidRPr="00743C51">
        <w:rPr>
          <w:rStyle w:val="FootnoteReference"/>
        </w:rPr>
        <w:footnoteRef/>
      </w:r>
      <w:r w:rsidRPr="00743C51">
        <w:rPr>
          <w:lang w:eastAsia="id-ID"/>
        </w:rPr>
        <w:t xml:space="preserve">Adnan Buyung Nasution, </w:t>
      </w:r>
      <w:r w:rsidRPr="00743C51">
        <w:rPr>
          <w:i/>
          <w:iCs/>
          <w:lang w:eastAsia="id-ID"/>
        </w:rPr>
        <w:t>Op.Cit</w:t>
      </w:r>
      <w:r w:rsidRPr="00743C51">
        <w:rPr>
          <w:lang w:eastAsia="id-ID"/>
        </w:rPr>
        <w:t xml:space="preserve">, </w:t>
      </w:r>
      <w:r>
        <w:rPr>
          <w:lang w:eastAsia="id-ID"/>
        </w:rPr>
        <w:t>hal.</w:t>
      </w:r>
      <w:r w:rsidRPr="00743C51">
        <w:rPr>
          <w:lang w:eastAsia="id-ID"/>
        </w:rPr>
        <w:t xml:space="preserve"> 4</w:t>
      </w:r>
    </w:p>
  </w:footnote>
  <w:footnote w:id="10">
    <w:p w:rsidR="00E354F9" w:rsidRPr="008F36A8" w:rsidRDefault="00E354F9" w:rsidP="00E354F9">
      <w:pPr>
        <w:pStyle w:val="FootnoteText"/>
        <w:ind w:firstLine="720"/>
        <w:jc w:val="both"/>
      </w:pPr>
      <w:r w:rsidRPr="008F36A8">
        <w:rPr>
          <w:rStyle w:val="FootnoteReference"/>
        </w:rPr>
        <w:footnoteRef/>
      </w:r>
      <w:r w:rsidRPr="008F36A8">
        <w:t xml:space="preserve"> Daniel Panjaitan, </w:t>
      </w:r>
      <w:r w:rsidRPr="008F36A8">
        <w:rPr>
          <w:i/>
          <w:iCs/>
        </w:rPr>
        <w:t>Panduan Bantuan Hukum di Indonesia</w:t>
      </w:r>
      <w:r w:rsidRPr="008F36A8">
        <w:t xml:space="preserve">, Yayasan Bantuan Hukum Indonesia, Jakarta, </w:t>
      </w:r>
      <w:r>
        <w:t>201</w:t>
      </w:r>
      <w:r w:rsidRPr="008F36A8">
        <w:t>6. hal. 47</w:t>
      </w:r>
    </w:p>
  </w:footnote>
  <w:footnote w:id="11">
    <w:p w:rsidR="00E354F9" w:rsidRPr="008F36A8" w:rsidRDefault="00E354F9" w:rsidP="00E354F9">
      <w:pPr>
        <w:pStyle w:val="FootnoteText"/>
        <w:ind w:firstLine="720"/>
      </w:pPr>
      <w:r w:rsidRPr="008F36A8">
        <w:rPr>
          <w:rStyle w:val="FootnoteReference"/>
        </w:rPr>
        <w:footnoteRef/>
      </w:r>
      <w:r w:rsidRPr="008F36A8">
        <w:rPr>
          <w:i/>
        </w:rPr>
        <w:t>Ibid</w:t>
      </w:r>
      <w:r w:rsidRPr="008F36A8">
        <w:t>, hal.53</w:t>
      </w:r>
    </w:p>
  </w:footnote>
  <w:footnote w:id="12">
    <w:p w:rsidR="00E354F9" w:rsidRPr="008F36A8" w:rsidRDefault="00E354F9" w:rsidP="00E354F9">
      <w:pPr>
        <w:pStyle w:val="FootnoteText"/>
        <w:ind w:firstLine="720"/>
      </w:pPr>
      <w:r w:rsidRPr="008F36A8">
        <w:rPr>
          <w:rStyle w:val="FootnoteReference"/>
        </w:rPr>
        <w:footnoteRef/>
      </w:r>
      <w:r w:rsidRPr="008F36A8">
        <w:t xml:space="preserve"> M. Yahya Harahap, </w:t>
      </w:r>
      <w:r w:rsidRPr="008F36A8">
        <w:rPr>
          <w:i/>
        </w:rPr>
        <w:t>Op.Cit</w:t>
      </w:r>
      <w:r w:rsidRPr="008F36A8">
        <w:t>, hal.89</w:t>
      </w:r>
    </w:p>
  </w:footnote>
  <w:footnote w:id="13">
    <w:p w:rsidR="00E354F9" w:rsidRPr="008F36A8" w:rsidRDefault="00E354F9" w:rsidP="00E354F9">
      <w:pPr>
        <w:pStyle w:val="FootnoteText"/>
        <w:ind w:firstLine="720"/>
      </w:pPr>
      <w:r w:rsidRPr="008F36A8">
        <w:rPr>
          <w:rStyle w:val="FootnoteReference"/>
        </w:rPr>
        <w:footnoteRef/>
      </w:r>
      <w:r w:rsidRPr="008F36A8">
        <w:t xml:space="preserve"> Daniel Panjaitan, </w:t>
      </w:r>
      <w:r w:rsidRPr="008F36A8">
        <w:rPr>
          <w:i/>
        </w:rPr>
        <w:t>Op.Cit</w:t>
      </w:r>
      <w:r w:rsidRPr="008F36A8">
        <w:t>, hal. 49.</w:t>
      </w:r>
    </w:p>
  </w:footnote>
  <w:footnote w:id="14">
    <w:p w:rsidR="00E354F9" w:rsidRPr="008F36A8" w:rsidRDefault="00E354F9" w:rsidP="00E354F9">
      <w:pPr>
        <w:pStyle w:val="FootnoteText"/>
        <w:ind w:firstLine="720"/>
      </w:pPr>
      <w:r w:rsidRPr="008F36A8">
        <w:rPr>
          <w:rStyle w:val="FootnoteReference"/>
        </w:rPr>
        <w:footnoteRef/>
      </w:r>
      <w:r w:rsidRPr="008F36A8">
        <w:rPr>
          <w:i/>
        </w:rPr>
        <w:t>Ibid</w:t>
      </w:r>
      <w:r w:rsidRPr="008F36A8">
        <w:t>, hal. 64</w:t>
      </w:r>
    </w:p>
  </w:footnote>
  <w:footnote w:id="15">
    <w:p w:rsidR="00E354F9" w:rsidRPr="00743C51" w:rsidRDefault="00E354F9" w:rsidP="00E354F9">
      <w:pPr>
        <w:pStyle w:val="FootnoteText"/>
        <w:ind w:firstLine="720"/>
        <w:jc w:val="both"/>
      </w:pPr>
      <w:r w:rsidRPr="00743C51">
        <w:rPr>
          <w:rStyle w:val="FootnoteReference"/>
        </w:rPr>
        <w:footnoteRef/>
      </w:r>
      <w:r w:rsidRPr="00743C51">
        <w:rPr>
          <w:i/>
        </w:rPr>
        <w:t>Ibid</w:t>
      </w:r>
      <w:r w:rsidRPr="00743C51">
        <w:t xml:space="preserve">, </w:t>
      </w:r>
      <w:r>
        <w:t>hal.</w:t>
      </w:r>
      <w:r w:rsidRPr="00743C51">
        <w:t xml:space="preserve"> 110.  </w:t>
      </w:r>
    </w:p>
  </w:footnote>
  <w:footnote w:id="16">
    <w:p w:rsidR="00E354F9" w:rsidRPr="00743C51" w:rsidRDefault="00E354F9" w:rsidP="00E354F9">
      <w:pPr>
        <w:pStyle w:val="FootnoteText"/>
        <w:ind w:firstLine="720"/>
        <w:jc w:val="both"/>
      </w:pPr>
      <w:r w:rsidRPr="00743C51">
        <w:rPr>
          <w:rStyle w:val="FootnoteReference"/>
        </w:rPr>
        <w:footnoteRef/>
      </w:r>
      <w:r w:rsidRPr="00743C51">
        <w:rPr>
          <w:i/>
        </w:rPr>
        <w:t>Ibid</w:t>
      </w:r>
      <w:r w:rsidRPr="00743C51">
        <w:rPr>
          <w:i/>
          <w:iCs/>
        </w:rPr>
        <w:t>,</w:t>
      </w:r>
      <w:r>
        <w:rPr>
          <w:iCs/>
        </w:rPr>
        <w:t>hal.</w:t>
      </w:r>
      <w:r w:rsidRPr="00743C51">
        <w:t xml:space="preserve"> 111-112  </w:t>
      </w:r>
    </w:p>
  </w:footnote>
  <w:footnote w:id="17">
    <w:p w:rsidR="00E354F9" w:rsidRPr="00743C51" w:rsidRDefault="00E354F9" w:rsidP="00E354F9">
      <w:pPr>
        <w:pStyle w:val="FootnoteText"/>
        <w:ind w:firstLine="720"/>
        <w:jc w:val="both"/>
      </w:pPr>
      <w:r w:rsidRPr="00743C51">
        <w:rPr>
          <w:rStyle w:val="FootnoteReference"/>
        </w:rPr>
        <w:footnoteRef/>
      </w:r>
      <w:r w:rsidRPr="00743C51">
        <w:t xml:space="preserve"> Andi Sofyan dan Abd. Azis, </w:t>
      </w:r>
      <w:r w:rsidRPr="00743C51">
        <w:rPr>
          <w:i/>
        </w:rPr>
        <w:t>Hukum Acara Pidana Suatu Pengantar.</w:t>
      </w:r>
      <w:r w:rsidRPr="00743C51">
        <w:t xml:space="preserve"> Pranamedia Group, Jakarta, 2014, </w:t>
      </w:r>
      <w:r>
        <w:t>hal.</w:t>
      </w:r>
      <w:r w:rsidRPr="00743C51">
        <w:t xml:space="preserve"> 86.</w:t>
      </w:r>
    </w:p>
  </w:footnote>
  <w:footnote w:id="18">
    <w:p w:rsidR="00E354F9" w:rsidRPr="00743C51" w:rsidRDefault="00E354F9" w:rsidP="00E354F9">
      <w:pPr>
        <w:pStyle w:val="FootnoteText"/>
        <w:ind w:firstLine="720"/>
        <w:jc w:val="both"/>
      </w:pPr>
      <w:r w:rsidRPr="00743C51">
        <w:rPr>
          <w:rStyle w:val="FootnoteReference"/>
        </w:rPr>
        <w:footnoteRef/>
      </w:r>
      <w:r w:rsidRPr="00743C51">
        <w:t xml:space="preserve"> Andi Hamzah, </w:t>
      </w:r>
      <w:r w:rsidRPr="00743C51">
        <w:rPr>
          <w:i/>
          <w:iCs/>
        </w:rPr>
        <w:t>Op. Cit</w:t>
      </w:r>
      <w:r w:rsidRPr="00743C51">
        <w:t xml:space="preserve">, </w:t>
      </w:r>
      <w:r>
        <w:t>hal.</w:t>
      </w:r>
      <w:r w:rsidRPr="00743C51">
        <w:t xml:space="preserve"> 12.</w:t>
      </w:r>
    </w:p>
  </w:footnote>
  <w:footnote w:id="19">
    <w:p w:rsidR="00E354F9" w:rsidRPr="00743C51" w:rsidRDefault="00E354F9" w:rsidP="00E354F9">
      <w:pPr>
        <w:autoSpaceDE w:val="0"/>
        <w:autoSpaceDN w:val="0"/>
        <w:adjustRightInd w:val="0"/>
        <w:ind w:firstLine="720"/>
        <w:jc w:val="both"/>
        <w:rPr>
          <w:sz w:val="20"/>
          <w:szCs w:val="20"/>
        </w:rPr>
      </w:pPr>
      <w:r w:rsidRPr="00743C51">
        <w:rPr>
          <w:rStyle w:val="FootnoteReference"/>
          <w:sz w:val="20"/>
          <w:szCs w:val="20"/>
        </w:rPr>
        <w:footnoteRef/>
      </w:r>
      <w:r w:rsidRPr="00743C51">
        <w:rPr>
          <w:sz w:val="20"/>
          <w:szCs w:val="20"/>
        </w:rPr>
        <w:t xml:space="preserve">Hartono, </w:t>
      </w:r>
      <w:r w:rsidRPr="00743C51">
        <w:rPr>
          <w:i/>
          <w:iCs/>
          <w:sz w:val="20"/>
          <w:szCs w:val="20"/>
        </w:rPr>
        <w:t>Penyidikan dan Penegakan Hukum Pidana Melalui Pendekatan Hukum Progresif</w:t>
      </w:r>
      <w:r w:rsidRPr="00743C51">
        <w:rPr>
          <w:sz w:val="20"/>
          <w:szCs w:val="20"/>
        </w:rPr>
        <w:t>, Sinar Grafika, Jakarta, 2010, h 32</w:t>
      </w:r>
    </w:p>
  </w:footnote>
  <w:footnote w:id="20">
    <w:p w:rsidR="00E354F9" w:rsidRPr="00743C51" w:rsidRDefault="00E354F9" w:rsidP="00E354F9">
      <w:pPr>
        <w:autoSpaceDE w:val="0"/>
        <w:autoSpaceDN w:val="0"/>
        <w:adjustRightInd w:val="0"/>
        <w:ind w:firstLine="720"/>
        <w:jc w:val="both"/>
        <w:rPr>
          <w:sz w:val="20"/>
          <w:szCs w:val="20"/>
        </w:rPr>
      </w:pPr>
      <w:r w:rsidRPr="00743C51">
        <w:rPr>
          <w:rStyle w:val="FootnoteReference"/>
          <w:sz w:val="20"/>
          <w:szCs w:val="20"/>
        </w:rPr>
        <w:footnoteRef/>
      </w:r>
      <w:r w:rsidRPr="00743C51">
        <w:rPr>
          <w:sz w:val="20"/>
          <w:szCs w:val="20"/>
        </w:rPr>
        <w:t xml:space="preserve"> M Yahya Harahap, </w:t>
      </w:r>
      <w:r w:rsidRPr="00743C51">
        <w:rPr>
          <w:i/>
          <w:iCs/>
          <w:sz w:val="20"/>
          <w:szCs w:val="20"/>
        </w:rPr>
        <w:t>Op. Cit</w:t>
      </w:r>
      <w:r w:rsidRPr="00743C51">
        <w:rPr>
          <w:sz w:val="20"/>
          <w:szCs w:val="20"/>
        </w:rPr>
        <w:t xml:space="preserve">, </w:t>
      </w:r>
      <w:r>
        <w:rPr>
          <w:sz w:val="20"/>
          <w:szCs w:val="20"/>
        </w:rPr>
        <w:t>hal.</w:t>
      </w:r>
      <w:r w:rsidRPr="00743C51">
        <w:rPr>
          <w:sz w:val="20"/>
          <w:szCs w:val="20"/>
        </w:rPr>
        <w:t xml:space="preserve"> 210.</w:t>
      </w:r>
    </w:p>
  </w:footnote>
  <w:footnote w:id="21">
    <w:p w:rsidR="00E354F9" w:rsidRPr="00743C51" w:rsidRDefault="00E354F9" w:rsidP="00E354F9">
      <w:pPr>
        <w:pStyle w:val="FootnoteText"/>
        <w:ind w:firstLine="720"/>
        <w:jc w:val="both"/>
      </w:pPr>
      <w:r w:rsidRPr="00743C51">
        <w:rPr>
          <w:rStyle w:val="FootnoteReference"/>
        </w:rPr>
        <w:footnoteRef/>
      </w:r>
      <w:r w:rsidRPr="00743C51">
        <w:t xml:space="preserve"> Andi Hamzah, </w:t>
      </w:r>
      <w:r w:rsidRPr="00743C51">
        <w:rPr>
          <w:i/>
        </w:rPr>
        <w:t>Op.Cit</w:t>
      </w:r>
      <w:r w:rsidRPr="00743C51">
        <w:t xml:space="preserve">, </w:t>
      </w:r>
      <w:r>
        <w:t>hal.</w:t>
      </w:r>
      <w:r w:rsidRPr="00743C51">
        <w:t xml:space="preserve"> 125.</w:t>
      </w:r>
    </w:p>
  </w:footnote>
  <w:footnote w:id="22">
    <w:p w:rsidR="00E354F9" w:rsidRPr="00743C51" w:rsidRDefault="00E354F9" w:rsidP="00E354F9">
      <w:pPr>
        <w:pStyle w:val="FootnoteText"/>
        <w:ind w:firstLine="720"/>
        <w:jc w:val="both"/>
      </w:pPr>
      <w:r w:rsidRPr="00743C51">
        <w:rPr>
          <w:rStyle w:val="FootnoteReference"/>
        </w:rPr>
        <w:footnoteRef/>
      </w:r>
      <w:r w:rsidRPr="00743C51">
        <w:t xml:space="preserve"> M. Yahya Harahap, </w:t>
      </w:r>
      <w:r w:rsidRPr="00743C51">
        <w:rPr>
          <w:i/>
        </w:rPr>
        <w:t>Op.Cit</w:t>
      </w:r>
      <w:r w:rsidRPr="00743C51">
        <w:t xml:space="preserve">,  </w:t>
      </w:r>
      <w:r>
        <w:t>hal.</w:t>
      </w:r>
      <w:r w:rsidRPr="00743C51">
        <w:t xml:space="preserve"> 117</w:t>
      </w:r>
    </w:p>
  </w:footnote>
  <w:footnote w:id="23">
    <w:p w:rsidR="00E354F9" w:rsidRPr="00743C51" w:rsidRDefault="00E354F9" w:rsidP="00E354F9">
      <w:pPr>
        <w:pStyle w:val="FootnoteText"/>
        <w:ind w:firstLine="720"/>
        <w:jc w:val="both"/>
      </w:pPr>
      <w:r w:rsidRPr="00743C51">
        <w:rPr>
          <w:rStyle w:val="FootnoteReference"/>
        </w:rPr>
        <w:footnoteRef/>
      </w:r>
      <w:r w:rsidRPr="00743C51">
        <w:rPr>
          <w:i/>
        </w:rPr>
        <w:t>Ibid</w:t>
      </w:r>
      <w:r w:rsidRPr="00743C51">
        <w:t xml:space="preserve">, </w:t>
      </w:r>
      <w:r>
        <w:t>hal.</w:t>
      </w:r>
      <w:r w:rsidRPr="00743C51">
        <w:t xml:space="preserve"> 119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0A6" w:rsidRDefault="006B626C" w:rsidP="007C2BC0">
    <w:pPr>
      <w:pStyle w:val="Header"/>
      <w:framePr w:wrap="around" w:vAnchor="text" w:hAnchor="margin" w:xAlign="right" w:y="1"/>
      <w:rPr>
        <w:rStyle w:val="PageNumber"/>
      </w:rPr>
    </w:pPr>
    <w:r w:rsidRPr="006B626C">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1"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r>
      <w:rPr>
        <w:rStyle w:val="PageNumber"/>
      </w:rPr>
      <w:fldChar w:fldCharType="begin"/>
    </w:r>
    <w:r w:rsidR="00CC209A">
      <w:rPr>
        <w:rStyle w:val="PageNumber"/>
      </w:rPr>
      <w:instrText xml:space="preserve">PAGE  </w:instrText>
    </w:r>
    <w:r>
      <w:rPr>
        <w:rStyle w:val="PageNumber"/>
      </w:rPr>
      <w:fldChar w:fldCharType="separate"/>
    </w:r>
    <w:r w:rsidR="00CC209A">
      <w:rPr>
        <w:rStyle w:val="PageNumber"/>
      </w:rPr>
      <w:t>4</w:t>
    </w:r>
    <w:r>
      <w:rPr>
        <w:rStyle w:val="PageNumber"/>
      </w:rPr>
      <w:fldChar w:fldCharType="end"/>
    </w:r>
  </w:p>
  <w:p w:rsidR="00DE30A6" w:rsidRDefault="005F4547" w:rsidP="007C2BC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B3C" w:rsidRDefault="00750B3C" w:rsidP="00750B3C">
    <w:pPr>
      <w:pStyle w:val="Header"/>
      <w:jc w:val="right"/>
    </w:pPr>
    <w:r>
      <w:rPr>
        <w:noProof w:val="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36060" o:spid="_x0000_s2055" type="#_x0000_t75" style="position:absolute;left:0;text-align:left;margin-left:0;margin-top:0;width:396.45pt;height:391.15pt;z-index:-251658240;mso-position-horizontal:center;mso-position-horizontal-relative:margin;mso-position-vertical:center;mso-position-vertical-relative:margin" o:allowincell="f">
          <v:imagedata r:id="rId1" o:title="umn-300x296" gain="19661f" blacklevel="22938f"/>
          <w10:wrap anchorx="margin" anchory="margin"/>
        </v:shape>
      </w:pict>
    </w:r>
    <w:r>
      <w:t>PUBLISH: 26/11/2025 15:17:26</w:t>
    </w:r>
  </w:p>
  <w:p w:rsidR="00DE30A6" w:rsidRDefault="006B626C" w:rsidP="007C2BC0">
    <w:pPr>
      <w:pStyle w:val="Header"/>
      <w:ind w:right="360"/>
    </w:pPr>
    <w:r w:rsidRPr="006B626C">
      <w:rPr>
        <w:lang w:val="en-US"/>
      </w:rPr>
      <w:pict>
        <v:shape id="WordPictureWatermark22587002" o:spid="_x0000_s2054" type="#_x0000_t75" style="position:absolute;margin-left:0;margin-top:0;width:396.7pt;height:390.9pt;z-index:-251652096;mso-position-horizontal:center;mso-position-horizontal-relative:margin;mso-position-vertical:center;mso-position-vertical-relative:margin" o:allowincell="f">
          <v:imagedata r:id="rId2"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7E8" w:rsidRDefault="006B626C">
    <w:pPr>
      <w:pStyle w:val="Header"/>
    </w:pPr>
    <w:r w:rsidRPr="006B626C">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0"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C313D"/>
    <w:multiLevelType w:val="hybridMultilevel"/>
    <w:tmpl w:val="E91EA23E"/>
    <w:lvl w:ilvl="0" w:tplc="2A3EF51C">
      <w:start w:val="1"/>
      <w:numFmt w:val="decimal"/>
      <w:lvlText w:val="(%1)"/>
      <w:lvlJc w:val="left"/>
      <w:pPr>
        <w:ind w:left="720" w:hanging="360"/>
      </w:pPr>
      <w:rPr>
        <w:rFonts w:hint="default"/>
      </w:rPr>
    </w:lvl>
    <w:lvl w:ilvl="1" w:tplc="CECAC258">
      <w:start w:val="1"/>
      <w:numFmt w:val="lowerLetter"/>
      <w:lvlText w:val="%2."/>
      <w:lvlJc w:val="left"/>
      <w:pPr>
        <w:ind w:left="1440" w:hanging="360"/>
      </w:pPr>
      <w:rPr>
        <w:rFonts w:ascii="Times New Roman" w:eastAsia="Times New Roman" w:hAnsi="Times New Roman" w:cs="Times New Roman"/>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6D04A0"/>
    <w:multiLevelType w:val="hybridMultilevel"/>
    <w:tmpl w:val="83502436"/>
    <w:lvl w:ilvl="0" w:tplc="8C1CB39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5254A"/>
    <w:multiLevelType w:val="hybridMultilevel"/>
    <w:tmpl w:val="13C83712"/>
    <w:lvl w:ilvl="0" w:tplc="5802DB7C">
      <w:start w:val="1"/>
      <w:numFmt w:val="lowerLetter"/>
      <w:lvlText w:val="%1."/>
      <w:lvlJc w:val="left"/>
      <w:pPr>
        <w:ind w:left="1069" w:hanging="360"/>
      </w:pPr>
      <w:rPr>
        <w:rFonts w:ascii="Times New Roman" w:eastAsia="Times New Roman" w:hAnsi="Times New Roman" w:cs="Times New Roman" w:hint="default"/>
      </w:rPr>
    </w:lvl>
    <w:lvl w:ilvl="1" w:tplc="F98636C6">
      <w:start w:val="1"/>
      <w:numFmt w:val="lowerLetter"/>
      <w:lvlText w:val="%2."/>
      <w:lvlJc w:val="left"/>
      <w:pPr>
        <w:ind w:left="1789" w:hanging="360"/>
      </w:pPr>
      <w:rPr>
        <w:rFonts w:hint="default"/>
      </w:rPr>
    </w:lvl>
    <w:lvl w:ilvl="2" w:tplc="A9F46D42">
      <w:start w:val="1"/>
      <w:numFmt w:val="upperLetter"/>
      <w:lvlText w:val="%3."/>
      <w:lvlJc w:val="left"/>
      <w:pPr>
        <w:ind w:left="2689" w:hanging="360"/>
      </w:pPr>
      <w:rPr>
        <w:rFonts w:hint="default"/>
        <w:b/>
      </w:rPr>
    </w:lvl>
    <w:lvl w:ilvl="3" w:tplc="1862C68A">
      <w:start w:val="1"/>
      <w:numFmt w:val="decimal"/>
      <w:lvlText w:val="%4."/>
      <w:lvlJc w:val="left"/>
      <w:pPr>
        <w:ind w:left="3229" w:hanging="360"/>
      </w:pPr>
      <w:rPr>
        <w:b w:val="0"/>
      </w:rPr>
    </w:lvl>
    <w:lvl w:ilvl="4" w:tplc="04090019">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37E6B4C"/>
    <w:multiLevelType w:val="hybridMultilevel"/>
    <w:tmpl w:val="C4986FD0"/>
    <w:lvl w:ilvl="0" w:tplc="F1026794">
      <w:start w:val="1"/>
      <w:numFmt w:val="lowerLetter"/>
      <w:lvlText w:val="%1."/>
      <w:lvlJc w:val="left"/>
      <w:pPr>
        <w:ind w:left="720" w:hanging="360"/>
      </w:pPr>
      <w:rPr>
        <w:rFonts w:ascii="Times New Roman" w:eastAsia="Times New Roman" w:hAnsi="Times New Roman" w:cs="Times New Roman"/>
        <w:i w:val="0"/>
      </w:rPr>
    </w:lvl>
    <w:lvl w:ilvl="1" w:tplc="5B704114">
      <w:start w:val="1"/>
      <w:numFmt w:val="decimal"/>
      <w:lvlText w:val="%2)"/>
      <w:lvlJc w:val="left"/>
      <w:pPr>
        <w:ind w:left="1440" w:hanging="360"/>
      </w:pPr>
      <w:rPr>
        <w:rFonts w:ascii="Times New Roman" w:eastAsia="Times New Roman" w:hAnsi="Times New Roman" w:cs="Times New Roman"/>
        <w:i w:val="0"/>
      </w:rPr>
    </w:lvl>
    <w:lvl w:ilvl="2" w:tplc="223840B0">
      <w:start w:val="1"/>
      <w:numFmt w:val="upperLetter"/>
      <w:lvlText w:val="%3."/>
      <w:lvlJc w:val="left"/>
      <w:pPr>
        <w:ind w:left="2340" w:hanging="360"/>
      </w:pPr>
      <w:rPr>
        <w:rFonts w:hint="default"/>
      </w:rPr>
    </w:lvl>
    <w:lvl w:ilvl="3" w:tplc="FFFFFFFF">
      <w:start w:val="1"/>
      <w:numFmt w:val="decimal"/>
      <w:lvlText w:val="%4."/>
      <w:lvlJc w:val="left"/>
      <w:pPr>
        <w:ind w:left="2880" w:hanging="360"/>
      </w:pPr>
    </w:lvl>
    <w:lvl w:ilvl="4" w:tplc="174E4D82">
      <w:start w:val="1"/>
      <w:numFmt w:val="decimal"/>
      <w:lvlText w:val="%5)"/>
      <w:lvlJc w:val="left"/>
      <w:pPr>
        <w:ind w:left="3600" w:hanging="360"/>
      </w:pPr>
      <w:rPr>
        <w:rFonts w:ascii="Times New Roman" w:eastAsia="Times New Roman" w:hAnsi="Times New Roman" w:cs="Times New Roman"/>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87D253C"/>
    <w:multiLevelType w:val="hybridMultilevel"/>
    <w:tmpl w:val="3EB2887C"/>
    <w:lvl w:ilvl="0" w:tplc="771A9CFC">
      <w:start w:val="1"/>
      <w:numFmt w:val="lowerLetter"/>
      <w:lvlText w:val="%1."/>
      <w:lvlJc w:val="left"/>
      <w:pPr>
        <w:ind w:left="720" w:hanging="360"/>
      </w:pPr>
      <w:rPr>
        <w:rFonts w:ascii="Times New Roman" w:eastAsia="Times New Roman" w:hAnsi="Times New Roman" w:cs="Times New Roman"/>
      </w:rPr>
    </w:lvl>
    <w:lvl w:ilvl="1" w:tplc="A07C369E"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EFB355D"/>
    <w:multiLevelType w:val="hybridMultilevel"/>
    <w:tmpl w:val="C41E38B8"/>
    <w:lvl w:ilvl="0" w:tplc="4FAAB000">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9AB4613"/>
    <w:multiLevelType w:val="hybridMultilevel"/>
    <w:tmpl w:val="098490CE"/>
    <w:lvl w:ilvl="0" w:tplc="AA028DFC">
      <w:start w:val="1"/>
      <w:numFmt w:val="lowerLetter"/>
      <w:lvlText w:val="%1."/>
      <w:lvlJc w:val="left"/>
      <w:pPr>
        <w:ind w:left="720" w:hanging="360"/>
      </w:pPr>
      <w:rPr>
        <w:rFonts w:ascii="Times New Roman" w:eastAsia="Times New Roman" w:hAnsi="Times New Roman" w:cs="Times New Roman"/>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C7F77CD"/>
    <w:multiLevelType w:val="hybridMultilevel"/>
    <w:tmpl w:val="B17A0472"/>
    <w:lvl w:ilvl="0" w:tplc="581C7B50">
      <w:start w:val="1"/>
      <w:numFmt w:val="lowerLetter"/>
      <w:lvlText w:val="%1."/>
      <w:lvlJc w:val="left"/>
      <w:pPr>
        <w:ind w:left="720" w:hanging="360"/>
      </w:pPr>
      <w:rPr>
        <w:rFonts w:hint="default"/>
      </w:rPr>
    </w:lvl>
    <w:lvl w:ilvl="1" w:tplc="F77CEAF2">
      <w:start w:val="1"/>
      <w:numFmt w:val="lowerLetter"/>
      <w:lvlText w:val="%2."/>
      <w:lvlJc w:val="left"/>
      <w:pPr>
        <w:ind w:left="1440" w:hanging="360"/>
      </w:pPr>
      <w:rPr>
        <w:rFonts w:ascii="Times New Roman" w:eastAsia="Times New Roman" w:hAnsi="Times New Roman" w:cs="Times New Roman"/>
      </w:rPr>
    </w:lvl>
    <w:lvl w:ilvl="2" w:tplc="0F36F34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181E1A"/>
    <w:multiLevelType w:val="hybridMultilevel"/>
    <w:tmpl w:val="C3FC47AC"/>
    <w:lvl w:ilvl="0" w:tplc="0EC855D6">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567B92"/>
    <w:multiLevelType w:val="hybridMultilevel"/>
    <w:tmpl w:val="E94A7F38"/>
    <w:lvl w:ilvl="0" w:tplc="1DD61F9C">
      <w:start w:val="1"/>
      <w:numFmt w:val="lowerLetter"/>
      <w:lvlText w:val="%1."/>
      <w:lvlJc w:val="left"/>
      <w:pPr>
        <w:ind w:left="1069" w:hanging="360"/>
      </w:pPr>
      <w:rPr>
        <w:rFonts w:ascii="Times New Roman" w:eastAsia="Times New Roman" w:hAnsi="Times New Roman" w:cs="Times New Roman"/>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5D5E1F82"/>
    <w:multiLevelType w:val="hybridMultilevel"/>
    <w:tmpl w:val="336E6AD2"/>
    <w:lvl w:ilvl="0" w:tplc="8C1A228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477162"/>
    <w:multiLevelType w:val="multilevel"/>
    <w:tmpl w:val="6C767E7C"/>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2"/>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357D29"/>
    <w:multiLevelType w:val="hybridMultilevel"/>
    <w:tmpl w:val="D6BC8E24"/>
    <w:lvl w:ilvl="0" w:tplc="8690D3D6">
      <w:start w:val="1"/>
      <w:numFmt w:val="lowerLetter"/>
      <w:lvlText w:val="%1."/>
      <w:lvlJc w:val="left"/>
      <w:pPr>
        <w:tabs>
          <w:tab w:val="num" w:pos="1020"/>
        </w:tabs>
        <w:ind w:left="1020" w:hanging="340"/>
      </w:pPr>
      <w:rPr>
        <w:rFonts w:hint="default"/>
      </w:rPr>
    </w:lvl>
    <w:lvl w:ilvl="1" w:tplc="94CE2122">
      <w:start w:val="1"/>
      <w:numFmt w:val="decimal"/>
      <w:lvlText w:val="%2."/>
      <w:lvlJc w:val="left"/>
      <w:pPr>
        <w:tabs>
          <w:tab w:val="num" w:pos="1021"/>
        </w:tabs>
        <w:ind w:left="1021" w:hanging="341"/>
      </w:pPr>
      <w:rPr>
        <w:rFonts w:ascii="Times New Roman" w:hAnsi="Times New Roman" w:cs="Times New Roman" w:hint="default"/>
        <w:b/>
        <w:i w:val="0"/>
        <w:sz w:val="24"/>
        <w:szCs w:val="24"/>
      </w:rPr>
    </w:lvl>
    <w:lvl w:ilvl="2" w:tplc="0409001B">
      <w:start w:val="1"/>
      <w:numFmt w:val="lowerRoman"/>
      <w:lvlText w:val="%3."/>
      <w:lvlJc w:val="right"/>
      <w:pPr>
        <w:tabs>
          <w:tab w:val="num" w:pos="2160"/>
        </w:tabs>
        <w:ind w:left="2160" w:hanging="180"/>
      </w:pPr>
    </w:lvl>
    <w:lvl w:ilvl="3" w:tplc="4420E8EC">
      <w:start w:val="1"/>
      <w:numFmt w:val="decimal"/>
      <w:lvlText w:val="%4)"/>
      <w:lvlJc w:val="left"/>
      <w:pPr>
        <w:tabs>
          <w:tab w:val="num" w:pos="1021"/>
        </w:tabs>
        <w:ind w:left="1021" w:hanging="341"/>
      </w:pPr>
      <w:rPr>
        <w:rFonts w:ascii="Times New Roman" w:eastAsia="Times New Roman" w:hAnsi="Times New Roman" w:cs="Times New Roman"/>
      </w:rPr>
    </w:lvl>
    <w:lvl w:ilvl="4" w:tplc="EC9224A2">
      <w:start w:val="1"/>
      <w:numFmt w:val="decimal"/>
      <w:lvlText w:val="%5)"/>
      <w:lvlJc w:val="left"/>
      <w:pPr>
        <w:tabs>
          <w:tab w:val="num" w:pos="680"/>
        </w:tabs>
        <w:ind w:left="680" w:hanging="340"/>
      </w:pPr>
      <w:rPr>
        <w:rFonts w:hint="default"/>
      </w:rPr>
    </w:lvl>
    <w:lvl w:ilvl="5" w:tplc="0409001B">
      <w:start w:val="1"/>
      <w:numFmt w:val="lowerRoman"/>
      <w:lvlText w:val="%6."/>
      <w:lvlJc w:val="right"/>
      <w:pPr>
        <w:tabs>
          <w:tab w:val="num" w:pos="4320"/>
        </w:tabs>
        <w:ind w:left="4320" w:hanging="180"/>
      </w:pPr>
    </w:lvl>
    <w:lvl w:ilvl="6" w:tplc="804C46A0">
      <w:start w:val="1"/>
      <w:numFmt w:val="upperLetter"/>
      <w:lvlText w:val="%7."/>
      <w:lvlJc w:val="left"/>
      <w:pPr>
        <w:tabs>
          <w:tab w:val="num" w:pos="786"/>
        </w:tabs>
        <w:ind w:left="786" w:hanging="360"/>
      </w:pPr>
      <w:rPr>
        <w:rFonts w:hint="default"/>
        <w:b/>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7"/>
  </w:num>
  <w:num w:numId="4">
    <w:abstractNumId w:val="5"/>
  </w:num>
  <w:num w:numId="5">
    <w:abstractNumId w:val="8"/>
  </w:num>
  <w:num w:numId="6">
    <w:abstractNumId w:val="4"/>
  </w:num>
  <w:num w:numId="7">
    <w:abstractNumId w:val="3"/>
  </w:num>
  <w:num w:numId="8">
    <w:abstractNumId w:val="0"/>
  </w:num>
  <w:num w:numId="9">
    <w:abstractNumId w:val="10"/>
  </w:num>
  <w:num w:numId="10">
    <w:abstractNumId w:val="12"/>
  </w:num>
  <w:num w:numId="11">
    <w:abstractNumId w:val="11"/>
  </w:num>
  <w:num w:numId="12">
    <w:abstractNumId w:val="6"/>
  </w:num>
  <w:num w:numId="13">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ocumentProtection w:edit="forms" w:formatting="1" w:enforcement="1" w:cryptProviderType="rsaFull" w:cryptAlgorithmClass="hash" w:cryptAlgorithmType="typeAny" w:cryptAlgorithmSid="4" w:cryptSpinCount="50000" w:hash="IWaPdOXCNXPYx14UbsJQvviAxyA=" w:salt="95X+Yg0nMFPg+85XcuPyv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91633"/>
    <w:rsid w:val="00091633"/>
    <w:rsid w:val="001A5C8F"/>
    <w:rsid w:val="00280F85"/>
    <w:rsid w:val="00391F26"/>
    <w:rsid w:val="00415F71"/>
    <w:rsid w:val="004235C8"/>
    <w:rsid w:val="004E6D17"/>
    <w:rsid w:val="005F4547"/>
    <w:rsid w:val="006344A3"/>
    <w:rsid w:val="006B626C"/>
    <w:rsid w:val="006C2BFC"/>
    <w:rsid w:val="00750B3C"/>
    <w:rsid w:val="00A818BB"/>
    <w:rsid w:val="00C756CF"/>
    <w:rsid w:val="00CC209A"/>
    <w:rsid w:val="00D673C0"/>
    <w:rsid w:val="00D76F75"/>
    <w:rsid w:val="00E354F9"/>
    <w:rsid w:val="00F43E4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paragraph" w:styleId="Heading2">
    <w:name w:val="heading 2"/>
    <w:basedOn w:val="Normal"/>
    <w:next w:val="Normal"/>
    <w:link w:val="Heading2Char"/>
    <w:qFormat/>
    <w:rsid w:val="00D76F75"/>
    <w:pPr>
      <w:keepNext/>
      <w:spacing w:before="240" w:after="60"/>
      <w:outlineLvl w:val="1"/>
    </w:pPr>
    <w:rPr>
      <w:rFonts w:ascii="Arial" w:hAnsi="Arial" w:cs="Arial"/>
      <w:b/>
      <w:bCs/>
      <w:i/>
      <w:iCs/>
      <w:noProof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633"/>
    <w:pPr>
      <w:tabs>
        <w:tab w:val="center" w:pos="4320"/>
        <w:tab w:val="right" w:pos="8640"/>
      </w:tabs>
    </w:pPr>
  </w:style>
  <w:style w:type="character" w:customStyle="1" w:styleId="HeaderChar">
    <w:name w:val="Header Char"/>
    <w:basedOn w:val="DefaultParagraphFont"/>
    <w:link w:val="Header"/>
    <w:uiPriority w:val="99"/>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rsid w:val="00F43E4B"/>
    <w:rPr>
      <w:rFonts w:ascii="Calibri" w:eastAsia="Calibri" w:hAnsi="Calibri" w:cs="Cordia New"/>
      <w:noProof/>
      <w:szCs w:val="28"/>
      <w:lang w:val="id-ID" w:bidi="th-TH"/>
    </w:rPr>
  </w:style>
  <w:style w:type="paragraph" w:styleId="FootnoteText">
    <w:name w:val="footnote text"/>
    <w:aliases w:val=" Char,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sid w:val="00C756CF"/>
    <w:rPr>
      <w:sz w:val="20"/>
      <w:szCs w:val="20"/>
    </w:rPr>
  </w:style>
  <w:style w:type="character" w:customStyle="1" w:styleId="FootnoteTextChar">
    <w:name w:val="Footnote Text Char"/>
    <w:aliases w:val=" Char Char1,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rsid w:val="00C756CF"/>
    <w:rPr>
      <w:rFonts w:ascii="Times New Roman" w:eastAsia="Times New Roman" w:hAnsi="Times New Roman" w:cs="Times New Roman"/>
      <w:noProof/>
      <w:sz w:val="20"/>
      <w:szCs w:val="20"/>
      <w:lang w:val="id-ID"/>
    </w:rPr>
  </w:style>
  <w:style w:type="character" w:styleId="FootnoteReference">
    <w:name w:val="footnote reference"/>
    <w:aliases w:val="BVI fnr,Footnote Reference1"/>
    <w:uiPriority w:val="99"/>
    <w:rsid w:val="00C756CF"/>
    <w:rPr>
      <w:vertAlign w:val="superscript"/>
    </w:rPr>
  </w:style>
  <w:style w:type="character" w:customStyle="1" w:styleId="markedcontent">
    <w:name w:val="markedcontent"/>
    <w:rsid w:val="00C756CF"/>
  </w:style>
  <w:style w:type="character" w:customStyle="1" w:styleId="hgkelc">
    <w:name w:val="hgkelc"/>
    <w:rsid w:val="00C756CF"/>
  </w:style>
  <w:style w:type="character" w:styleId="Hyperlink">
    <w:name w:val="Hyperlink"/>
    <w:rsid w:val="004235C8"/>
    <w:rPr>
      <w:color w:val="0000FF"/>
      <w:u w:val="single"/>
    </w:rPr>
  </w:style>
  <w:style w:type="character" w:styleId="Emphasis">
    <w:name w:val="Emphasis"/>
    <w:uiPriority w:val="20"/>
    <w:qFormat/>
    <w:rsid w:val="006344A3"/>
    <w:rPr>
      <w:i/>
      <w:iCs/>
    </w:rPr>
  </w:style>
  <w:style w:type="character" w:customStyle="1" w:styleId="Heading2Char">
    <w:name w:val="Heading 2 Char"/>
    <w:basedOn w:val="DefaultParagraphFont"/>
    <w:link w:val="Heading2"/>
    <w:rsid w:val="00D76F75"/>
    <w:rPr>
      <w:rFonts w:ascii="Arial" w:eastAsia="Times New Roman" w:hAnsi="Arial" w:cs="Arial"/>
      <w:b/>
      <w:bCs/>
      <w:i/>
      <w:iCs/>
      <w:sz w:val="28"/>
      <w:szCs w:val="28"/>
    </w:rPr>
  </w:style>
  <w:style w:type="paragraph" w:styleId="Title">
    <w:name w:val="Title"/>
    <w:basedOn w:val="Normal"/>
    <w:link w:val="TitleChar"/>
    <w:qFormat/>
    <w:rsid w:val="00D76F75"/>
    <w:pPr>
      <w:spacing w:line="480" w:lineRule="auto"/>
      <w:jc w:val="center"/>
    </w:pPr>
    <w:rPr>
      <w:rFonts w:ascii="Bookman Old Style" w:hAnsi="Bookman Old Style"/>
      <w:b/>
      <w:noProof w:val="0"/>
      <w:szCs w:val="20"/>
      <w:lang w:val="en-US"/>
    </w:rPr>
  </w:style>
  <w:style w:type="character" w:customStyle="1" w:styleId="TitleChar">
    <w:name w:val="Title Char"/>
    <w:basedOn w:val="DefaultParagraphFont"/>
    <w:link w:val="Title"/>
    <w:rsid w:val="00D76F75"/>
    <w:rPr>
      <w:rFonts w:ascii="Bookman Old Style" w:eastAsia="Times New Roman" w:hAnsi="Bookman Old Style" w:cs="Times New Roman"/>
      <w:b/>
      <w:sz w:val="24"/>
      <w:szCs w:val="20"/>
    </w:rPr>
  </w:style>
  <w:style w:type="character" w:customStyle="1" w:styleId="ff3">
    <w:name w:val="ff3"/>
    <w:basedOn w:val="DefaultParagraphFont"/>
    <w:rsid w:val="00D76F75"/>
  </w:style>
  <w:style w:type="character" w:customStyle="1" w:styleId="ls0">
    <w:name w:val="ls0"/>
    <w:basedOn w:val="DefaultParagraphFont"/>
    <w:rsid w:val="00D76F75"/>
  </w:style>
  <w:style w:type="character" w:customStyle="1" w:styleId="ls3">
    <w:name w:val="ls3"/>
    <w:basedOn w:val="DefaultParagraphFont"/>
    <w:rsid w:val="00D76F75"/>
  </w:style>
  <w:style w:type="character" w:customStyle="1" w:styleId="ws0">
    <w:name w:val="ws0"/>
    <w:basedOn w:val="DefaultParagraphFont"/>
    <w:rsid w:val="00D76F75"/>
  </w:style>
  <w:style w:type="character" w:customStyle="1" w:styleId="wsa2">
    <w:name w:val="wsa2"/>
    <w:basedOn w:val="DefaultParagraphFont"/>
    <w:rsid w:val="00D76F75"/>
  </w:style>
  <w:style w:type="paragraph" w:styleId="NormalWeb">
    <w:name w:val="Normal (Web)"/>
    <w:basedOn w:val="Normal"/>
    <w:uiPriority w:val="99"/>
    <w:rsid w:val="00E354F9"/>
    <w:pPr>
      <w:spacing w:before="100" w:beforeAutospacing="1" w:after="100" w:afterAutospacing="1"/>
    </w:pPr>
    <w:rPr>
      <w:noProof w:val="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paragraph" w:styleId="Heading2">
    <w:name w:val="heading 2"/>
    <w:basedOn w:val="Normal"/>
    <w:next w:val="Normal"/>
    <w:link w:val="Heading2Char"/>
    <w:qFormat/>
    <w:rsid w:val="00D76F75"/>
    <w:pPr>
      <w:keepNext/>
      <w:spacing w:before="240" w:after="60"/>
      <w:outlineLvl w:val="1"/>
    </w:pPr>
    <w:rPr>
      <w:rFonts w:ascii="Arial" w:hAnsi="Arial" w:cs="Arial"/>
      <w:b/>
      <w:bCs/>
      <w:i/>
      <w:iCs/>
      <w:noProof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633"/>
    <w:pPr>
      <w:tabs>
        <w:tab w:val="center" w:pos="4320"/>
        <w:tab w:val="right" w:pos="8640"/>
      </w:tabs>
    </w:pPr>
  </w:style>
  <w:style w:type="character" w:customStyle="1" w:styleId="HeaderChar">
    <w:name w:val="Header Char"/>
    <w:basedOn w:val="DefaultParagraphFont"/>
    <w:link w:val="Header"/>
    <w:uiPriority w:val="99"/>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rsid w:val="00F43E4B"/>
    <w:rPr>
      <w:rFonts w:ascii="Calibri" w:eastAsia="Calibri" w:hAnsi="Calibri" w:cs="Cordia New"/>
      <w:noProof/>
      <w:szCs w:val="28"/>
      <w:lang w:val="id-ID" w:bidi="th-TH"/>
    </w:rPr>
  </w:style>
  <w:style w:type="paragraph" w:styleId="FootnoteText">
    <w:name w:val="footnote text"/>
    <w:aliases w:val=" Char,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sid w:val="00C756CF"/>
    <w:rPr>
      <w:sz w:val="20"/>
      <w:szCs w:val="20"/>
    </w:rPr>
  </w:style>
  <w:style w:type="character" w:customStyle="1" w:styleId="FootnoteTextChar">
    <w:name w:val="Footnote Text Char"/>
    <w:aliases w:val=" Char Char1,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rsid w:val="00C756CF"/>
    <w:rPr>
      <w:rFonts w:ascii="Times New Roman" w:eastAsia="Times New Roman" w:hAnsi="Times New Roman" w:cs="Times New Roman"/>
      <w:noProof/>
      <w:sz w:val="20"/>
      <w:szCs w:val="20"/>
      <w:lang w:val="id-ID"/>
    </w:rPr>
  </w:style>
  <w:style w:type="character" w:styleId="FootnoteReference">
    <w:name w:val="footnote reference"/>
    <w:aliases w:val="BVI fnr,Footnote Reference1"/>
    <w:uiPriority w:val="99"/>
    <w:rsid w:val="00C756CF"/>
    <w:rPr>
      <w:vertAlign w:val="superscript"/>
    </w:rPr>
  </w:style>
  <w:style w:type="character" w:customStyle="1" w:styleId="markedcontent">
    <w:name w:val="markedcontent"/>
    <w:rsid w:val="00C756CF"/>
  </w:style>
  <w:style w:type="character" w:customStyle="1" w:styleId="hgkelc">
    <w:name w:val="hgkelc"/>
    <w:rsid w:val="00C756CF"/>
  </w:style>
  <w:style w:type="character" w:styleId="Hyperlink">
    <w:name w:val="Hyperlink"/>
    <w:rsid w:val="004235C8"/>
    <w:rPr>
      <w:color w:val="0000FF"/>
      <w:u w:val="single"/>
    </w:rPr>
  </w:style>
  <w:style w:type="character" w:styleId="Emphasis">
    <w:name w:val="Emphasis"/>
    <w:uiPriority w:val="20"/>
    <w:qFormat/>
    <w:rsid w:val="006344A3"/>
    <w:rPr>
      <w:i/>
      <w:iCs/>
    </w:rPr>
  </w:style>
  <w:style w:type="character" w:customStyle="1" w:styleId="Heading2Char">
    <w:name w:val="Heading 2 Char"/>
    <w:basedOn w:val="DefaultParagraphFont"/>
    <w:link w:val="Heading2"/>
    <w:rsid w:val="00D76F75"/>
    <w:rPr>
      <w:rFonts w:ascii="Arial" w:eastAsia="Times New Roman" w:hAnsi="Arial" w:cs="Arial"/>
      <w:b/>
      <w:bCs/>
      <w:i/>
      <w:iCs/>
      <w:sz w:val="28"/>
      <w:szCs w:val="28"/>
    </w:rPr>
  </w:style>
  <w:style w:type="paragraph" w:styleId="Title">
    <w:name w:val="Title"/>
    <w:basedOn w:val="Normal"/>
    <w:link w:val="TitleChar"/>
    <w:qFormat/>
    <w:rsid w:val="00D76F75"/>
    <w:pPr>
      <w:spacing w:line="480" w:lineRule="auto"/>
      <w:jc w:val="center"/>
    </w:pPr>
    <w:rPr>
      <w:rFonts w:ascii="Bookman Old Style" w:hAnsi="Bookman Old Style"/>
      <w:b/>
      <w:noProof w:val="0"/>
      <w:szCs w:val="20"/>
      <w:lang w:val="en-US"/>
    </w:rPr>
  </w:style>
  <w:style w:type="character" w:customStyle="1" w:styleId="TitleChar">
    <w:name w:val="Title Char"/>
    <w:basedOn w:val="DefaultParagraphFont"/>
    <w:link w:val="Title"/>
    <w:rsid w:val="00D76F75"/>
    <w:rPr>
      <w:rFonts w:ascii="Bookman Old Style" w:eastAsia="Times New Roman" w:hAnsi="Bookman Old Style" w:cs="Times New Roman"/>
      <w:b/>
      <w:sz w:val="24"/>
      <w:szCs w:val="20"/>
    </w:rPr>
  </w:style>
  <w:style w:type="character" w:customStyle="1" w:styleId="ff3">
    <w:name w:val="ff3"/>
    <w:basedOn w:val="DefaultParagraphFont"/>
    <w:rsid w:val="00D76F75"/>
  </w:style>
  <w:style w:type="character" w:customStyle="1" w:styleId="ls0">
    <w:name w:val="ls0"/>
    <w:basedOn w:val="DefaultParagraphFont"/>
    <w:rsid w:val="00D76F75"/>
  </w:style>
  <w:style w:type="character" w:customStyle="1" w:styleId="ls3">
    <w:name w:val="ls3"/>
    <w:basedOn w:val="DefaultParagraphFont"/>
    <w:rsid w:val="00D76F75"/>
  </w:style>
  <w:style w:type="character" w:customStyle="1" w:styleId="ws0">
    <w:name w:val="ws0"/>
    <w:basedOn w:val="DefaultParagraphFont"/>
    <w:rsid w:val="00D76F75"/>
  </w:style>
  <w:style w:type="character" w:customStyle="1" w:styleId="wsa2">
    <w:name w:val="wsa2"/>
    <w:basedOn w:val="DefaultParagraphFont"/>
    <w:rsid w:val="00D76F75"/>
  </w:style>
  <w:style w:type="paragraph" w:styleId="NormalWeb">
    <w:name w:val="Normal (Web)"/>
    <w:basedOn w:val="Normal"/>
    <w:uiPriority w:val="99"/>
    <w:rsid w:val="00E354F9"/>
    <w:pPr>
      <w:spacing w:before="100" w:beforeAutospacing="1" w:after="100" w:afterAutospacing="1"/>
    </w:pPr>
    <w:rPr>
      <w:noProof w:val="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6263</Words>
  <Characters>35703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2025-11-26T08:29:00Z</dcterms:created>
  <dcterms:modified xsi:type="dcterms:W3CDTF">2025-11-26T08:29:00Z</dcterms:modified>
</cp:coreProperties>
</file>