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0F" w:rsidRDefault="00D1020F" w:rsidP="00D1020F">
      <w:pPr>
        <w:pStyle w:val="Heading1"/>
        <w:spacing w:before="0" w:after="0" w:line="360" w:lineRule="auto"/>
        <w:jc w:val="center"/>
        <w:rPr>
          <w:lang w:val="sv-SE"/>
        </w:rPr>
      </w:pPr>
      <w:bookmarkStart w:id="0" w:name="_Toc201299660"/>
      <w:r w:rsidRPr="006029A7">
        <w:rPr>
          <w:lang w:val="sv-SE"/>
        </w:rPr>
        <w:t xml:space="preserve">BAB I </w:t>
      </w:r>
      <w:r w:rsidRPr="006029A7">
        <w:rPr>
          <w:lang w:val="sv-SE"/>
        </w:rPr>
        <w:br/>
        <w:t>PENDAHULUAN</w:t>
      </w:r>
      <w:bookmarkEnd w:id="0"/>
    </w:p>
    <w:p w:rsidR="00D1020F" w:rsidRDefault="00D1020F" w:rsidP="00D1020F">
      <w:pPr>
        <w:spacing w:after="0" w:line="360" w:lineRule="auto"/>
        <w:jc w:val="center"/>
        <w:rPr>
          <w:rFonts w:cstheme="majorBidi"/>
          <w:b/>
          <w:bCs/>
          <w:sz w:val="28"/>
          <w:szCs w:val="28"/>
          <w:lang w:val="sv-SE"/>
        </w:rPr>
      </w:pPr>
    </w:p>
    <w:p w:rsidR="00D1020F" w:rsidRPr="00DB3787" w:rsidRDefault="00D1020F" w:rsidP="00D1020F">
      <w:pPr>
        <w:pStyle w:val="Heading2"/>
        <w:numPr>
          <w:ilvl w:val="0"/>
          <w:numId w:val="7"/>
        </w:numPr>
        <w:spacing w:before="0" w:line="360" w:lineRule="auto"/>
        <w:ind w:left="0"/>
        <w:rPr>
          <w:lang w:val="sv-SE"/>
        </w:rPr>
      </w:pPr>
      <w:bookmarkStart w:id="1" w:name="_Toc201299661"/>
      <w:r>
        <w:rPr>
          <w:lang w:val="sv-SE"/>
        </w:rPr>
        <w:t>Latar Belakang</w:t>
      </w:r>
      <w:bookmarkEnd w:id="1"/>
    </w:p>
    <w:p w:rsidR="00D1020F" w:rsidRPr="008354F7" w:rsidRDefault="00D1020F" w:rsidP="00D1020F">
      <w:pPr>
        <w:pStyle w:val="ListParagraph"/>
        <w:spacing w:after="0" w:line="360" w:lineRule="auto"/>
        <w:ind w:left="0" w:firstLine="720"/>
        <w:jc w:val="both"/>
        <w:rPr>
          <w:rFonts w:cstheme="majorBidi"/>
          <w:lang w:val="sv-SE"/>
        </w:rPr>
      </w:pPr>
      <w:r w:rsidRPr="008354F7">
        <w:rPr>
          <w:rFonts w:cstheme="majorBidi"/>
          <w:lang w:val="sv-SE"/>
        </w:rPr>
        <w:t xml:space="preserve">Perkembangan teknologi informasi telah membawa perubahan besar dalam berbagai aspek kehidupan, termasuk dalam sektor keuangan. Salah satu inovasi yang banyak diminati masyarakat adalah layanan pinjaman online (pinjol), yang menawarkan kemudahan dan kecepatan dalam/memperoleh dana tanpa proses administratif yang rumit. Namun, di balik kemudahan tersebut, muncul permasalahan besar terkait maraknya pinjol ilegal yang beroperasi tanpa izin dan di luar pengawasan lembaga berwenang. </w:t>
      </w:r>
    </w:p>
    <w:p w:rsidR="00D1020F" w:rsidRPr="008354F7" w:rsidRDefault="00D1020F" w:rsidP="00D1020F">
      <w:pPr>
        <w:pStyle w:val="ListParagraph"/>
        <w:spacing w:after="0" w:line="360" w:lineRule="auto"/>
        <w:ind w:left="0" w:firstLine="720"/>
        <w:jc w:val="both"/>
        <w:rPr>
          <w:rFonts w:cstheme="majorBidi"/>
          <w:lang w:val="sv-SE"/>
        </w:rPr>
      </w:pPr>
      <w:r w:rsidRPr="008354F7">
        <w:rPr>
          <w:rFonts w:cstheme="majorBidi"/>
          <w:lang w:val="sv-SE"/>
        </w:rPr>
        <w:t>Pinjaman online ilegal sering kali menggunakan cara-cara yang melanggar hukum untuk menarik dan menjerat korban. Ketidakpahaman masyarakat terhadap literasi keuangan menjadi salah satu faktor utama yang menyebabkan banyak orang terjebak dalam jerat pinjol ilegal. Data dari Otoritas Jasa Keuangan (OJK) menunjukkan bahwa hingga 5 November 2024, sebanyak 400 entitas pinjol ilegal telah diblokir. Sejak tahun 2017 hingga 30 September 2024, Satgas Pemberantasan Aktivitas Keuangan Ilegal (Satgas PASTI) telah menghentikan 11.389 entitas keuangan ilegal, termasuk 9.610 entitas pinjol ilegal.</w:t>
      </w:r>
      <w:r>
        <w:rPr>
          <w:rStyle w:val="FootnoteReference"/>
          <w:rFonts w:cstheme="majorBidi"/>
          <w:lang w:val="sv-SE"/>
        </w:rPr>
        <w:footnoteReference w:id="2"/>
      </w:r>
      <w:r w:rsidRPr="008354F7">
        <w:rPr>
          <w:rFonts w:cstheme="majorBidi"/>
          <w:lang w:val="sv-SE"/>
        </w:rPr>
        <w:t xml:space="preserve"> Meski demikian, kasus baru terus bermunculan seiring dengan berkembangnya modus operandi pelaku. </w:t>
      </w:r>
    </w:p>
    <w:p w:rsidR="00D1020F" w:rsidRPr="008354F7" w:rsidRDefault="00D1020F" w:rsidP="00D1020F">
      <w:pPr>
        <w:pStyle w:val="ListParagraph"/>
        <w:spacing w:after="0" w:line="360" w:lineRule="auto"/>
        <w:ind w:left="0" w:firstLine="720"/>
        <w:jc w:val="both"/>
        <w:rPr>
          <w:rFonts w:cstheme="majorBidi"/>
          <w:lang w:val="sv-SE"/>
        </w:rPr>
      </w:pPr>
      <w:r w:rsidRPr="008354F7">
        <w:rPr>
          <w:rFonts w:cstheme="majorBidi"/>
          <w:lang w:val="sv-SE"/>
        </w:rPr>
        <w:t xml:space="preserve">Berbagai pelanggaran hukum yang kerap dilakukan oleh pinjol ilegal meliputi penyebaran data pribadi tanpa izin, ancaman dan intimidasi kepada pengguna, penerapan bunga yang sangat tinggi, hingga penagihan yang melibatkan tindakan kekerasan. Dampak dari praktik ini tidak hanya merugikan secara finansial, tetapi juga berdampak psikologis bagi korban dan keluarga mereka. </w:t>
      </w:r>
    </w:p>
    <w:p w:rsidR="00D1020F" w:rsidRPr="005F3CCE" w:rsidRDefault="00D1020F" w:rsidP="00D1020F">
      <w:pPr>
        <w:pStyle w:val="ListParagraph"/>
        <w:spacing w:after="0" w:line="360" w:lineRule="auto"/>
        <w:ind w:left="0" w:firstLine="720"/>
        <w:jc w:val="both"/>
        <w:rPr>
          <w:rFonts w:cstheme="majorBidi"/>
          <w:lang w:val="sv-SE"/>
        </w:rPr>
      </w:pPr>
      <w:r w:rsidRPr="008354F7">
        <w:rPr>
          <w:rFonts w:cstheme="majorBidi"/>
          <w:lang w:val="sv-SE"/>
        </w:rPr>
        <w:lastRenderedPageBreak/>
        <w:t>Dalam konteks hukum pidana, penanganan kasus pinjol ilegal menjadi tantangan tersendiri, terutama karena hukum yang ada sering kali dianggap kurang spesifik dalam menghadapi kejahatan berbasis digital. Meski telah ada payung hukum seperti Undang-Undang Informasi dan Transaksi Elektronik (ITE) serta</w:t>
      </w:r>
      <w:r w:rsidRPr="005F3CCE">
        <w:rPr>
          <w:rFonts w:cstheme="majorBidi"/>
          <w:lang w:val="sv-SE"/>
        </w:rPr>
        <w:t xml:space="preserve">regulasi dari OJK, implementasi di lapangan masih menemui kendala, seperti lemahnya pengawasan, keterbatasan sumber daya penegak hukum, dan kurangnya kesadaran masyarakat. </w:t>
      </w:r>
    </w:p>
    <w:p w:rsidR="00D1020F" w:rsidRPr="005F3CCE" w:rsidRDefault="00D1020F" w:rsidP="00D1020F">
      <w:pPr>
        <w:pStyle w:val="ListParagraph"/>
        <w:spacing w:after="0" w:line="360" w:lineRule="auto"/>
        <w:ind w:left="0" w:firstLine="720"/>
        <w:jc w:val="both"/>
        <w:rPr>
          <w:rFonts w:cstheme="majorBidi"/>
          <w:lang w:val="sv-SE"/>
        </w:rPr>
      </w:pPr>
      <w:r w:rsidRPr="005F3CCE">
        <w:rPr>
          <w:rFonts w:cstheme="majorBidi"/>
          <w:lang w:val="sv-SE"/>
        </w:rPr>
        <w:t xml:space="preserve">Perkembangan teknologi informasi telah mendorong pertumbuhan layanan keuangan digital, termasuk pinjaman online (pinjol), yang menawarkan kemudahan akses dan proses cepat bagi masyarakat. Namun, di balik manfaat tersebut, muncul permasalahan signifikan terkait maraknya pinjol ilegal yang beroperasi tanpa izin resmi dan di luar pengawasan otoritas. </w:t>
      </w:r>
    </w:p>
    <w:p w:rsidR="00D1020F" w:rsidRPr="005F3CCE" w:rsidRDefault="00D1020F" w:rsidP="00D1020F">
      <w:pPr>
        <w:pStyle w:val="ListParagraph"/>
        <w:spacing w:after="0" w:line="360" w:lineRule="auto"/>
        <w:ind w:left="0" w:firstLine="720"/>
        <w:jc w:val="both"/>
        <w:rPr>
          <w:rFonts w:cstheme="majorBidi"/>
          <w:lang w:val="sv-SE"/>
        </w:rPr>
      </w:pPr>
      <w:r w:rsidRPr="005F3CCE">
        <w:rPr>
          <w:rFonts w:cstheme="majorBidi"/>
          <w:lang w:val="sv-SE"/>
        </w:rPr>
        <w:t xml:space="preserve">Maraknya pinjol ilegal menimbulkan berbagai dampak negatif bagi masyarakat, antara lain: </w:t>
      </w:r>
    </w:p>
    <w:p w:rsidR="00D1020F" w:rsidRPr="005F3CCE" w:rsidRDefault="00D1020F" w:rsidP="00D1020F">
      <w:pPr>
        <w:pStyle w:val="ListParagraph"/>
        <w:numPr>
          <w:ilvl w:val="0"/>
          <w:numId w:val="2"/>
        </w:numPr>
        <w:spacing w:after="0" w:line="360" w:lineRule="auto"/>
        <w:ind w:left="426"/>
        <w:jc w:val="both"/>
        <w:rPr>
          <w:rFonts w:cstheme="majorBidi"/>
          <w:lang w:val="sv-SE"/>
        </w:rPr>
      </w:pPr>
      <w:r w:rsidRPr="005F3CCE">
        <w:rPr>
          <w:rFonts w:cstheme="majorBidi"/>
          <w:lang w:val="sv-SE"/>
        </w:rPr>
        <w:t xml:space="preserve">Pelanggaran privasi: Penyebaran data pribadi tanpa izin oleh penyedia pinjol ilegal. </w:t>
      </w:r>
    </w:p>
    <w:p w:rsidR="00D1020F" w:rsidRPr="005F3CCE" w:rsidRDefault="00D1020F" w:rsidP="00D1020F">
      <w:pPr>
        <w:pStyle w:val="ListParagraph"/>
        <w:numPr>
          <w:ilvl w:val="0"/>
          <w:numId w:val="2"/>
        </w:numPr>
        <w:spacing w:after="0" w:line="360" w:lineRule="auto"/>
        <w:ind w:left="426"/>
        <w:jc w:val="both"/>
        <w:rPr>
          <w:rFonts w:cstheme="majorBidi"/>
          <w:lang w:val="sv-SE"/>
        </w:rPr>
      </w:pPr>
      <w:r w:rsidRPr="005F3CCE">
        <w:rPr>
          <w:rFonts w:cstheme="majorBidi"/>
          <w:lang w:val="sv-SE"/>
        </w:rPr>
        <w:t xml:space="preserve">Intimidasi dan ancaman: Metode penagihan yang kasar dan mengintimidasi. </w:t>
      </w:r>
    </w:p>
    <w:p w:rsidR="00D1020F" w:rsidRPr="005F3CCE" w:rsidRDefault="00D1020F" w:rsidP="00D1020F">
      <w:pPr>
        <w:pStyle w:val="ListParagraph"/>
        <w:numPr>
          <w:ilvl w:val="0"/>
          <w:numId w:val="2"/>
        </w:numPr>
        <w:spacing w:after="0" w:line="360" w:lineRule="auto"/>
        <w:ind w:left="426"/>
        <w:jc w:val="both"/>
        <w:rPr>
          <w:rFonts w:cstheme="majorBidi"/>
          <w:lang w:val="sv-SE"/>
        </w:rPr>
      </w:pPr>
      <w:r w:rsidRPr="005F3CCE">
        <w:rPr>
          <w:rFonts w:cstheme="majorBidi"/>
          <w:lang w:val="sv-SE"/>
        </w:rPr>
        <w:t xml:space="preserve">Bunga yang eksesif: Penerapan suku bunga yang sangat tinggi dan tidak transparan. </w:t>
      </w:r>
    </w:p>
    <w:p w:rsidR="00D1020F" w:rsidRPr="005F3CCE" w:rsidRDefault="00D1020F" w:rsidP="00D1020F">
      <w:pPr>
        <w:pStyle w:val="ListParagraph"/>
        <w:numPr>
          <w:ilvl w:val="0"/>
          <w:numId w:val="2"/>
        </w:numPr>
        <w:spacing w:after="0" w:line="360" w:lineRule="auto"/>
        <w:ind w:left="426"/>
        <w:jc w:val="both"/>
        <w:rPr>
          <w:rFonts w:cstheme="majorBidi"/>
          <w:lang w:val="sv-SE"/>
        </w:rPr>
      </w:pPr>
      <w:r w:rsidRPr="005F3CCE">
        <w:rPr>
          <w:rFonts w:cstheme="majorBidi"/>
          <w:lang w:val="sv-SE"/>
        </w:rPr>
        <w:t xml:space="preserve">Kerugian finansial: Beban utang yang meningkat akibat praktik tidak etis. </w:t>
      </w:r>
    </w:p>
    <w:p w:rsidR="00D1020F" w:rsidRPr="00B53BE7" w:rsidRDefault="00D1020F" w:rsidP="00D1020F">
      <w:pPr>
        <w:pStyle w:val="ListParagraph"/>
        <w:spacing w:after="0" w:line="360" w:lineRule="auto"/>
        <w:ind w:left="0" w:firstLine="720"/>
        <w:jc w:val="both"/>
        <w:rPr>
          <w:rFonts w:cstheme="majorBidi"/>
          <w:lang w:val="sv-SE"/>
        </w:rPr>
      </w:pPr>
      <w:r w:rsidRPr="005F3CCE">
        <w:rPr>
          <w:rFonts w:cstheme="majorBidi"/>
          <w:lang w:val="sv-SE"/>
        </w:rPr>
        <w:t xml:space="preserve">Fenomena ini mencerminkan perlunya penerapan hukum pidana yang efektif dalam menangani kasus pinjol ilegal. Penegakan hukum yang tegas diharapkan dapat memberikan efek jera bagi pelaku dan melindungi masyarakat dari praktik keuangan yang merugikan. Oleh karena itu, penelitian mengenai penerapan hukum pidana dalam penanganan kasus pinjaman online ilegal menjadi relevan dan mendesak untuk dilakukan. Namun, dalam implementasinya, penerapan hukum pidana terhadap pinjaman online ilegal masih menghadapi berbagai kendala. Salah satu tantangan utama adalah sulitnya menindak pelaku yang sering kali beroperasi secara daring dan lintas yurisdiksi. Banyak platform pinjol ilegal yang berbasis di luar negeri atau menggunakan server asing, sehingga menyulitkan penegak hukum dalam melakukan investigasi dan penindakan. Selain </w:t>
      </w:r>
      <w:r w:rsidRPr="005F3CCE">
        <w:rPr>
          <w:rFonts w:cstheme="majorBidi"/>
          <w:lang w:val="sv-SE"/>
        </w:rPr>
        <w:lastRenderedPageBreak/>
        <w:t xml:space="preserve">itu, masih terdapat celah </w:t>
      </w:r>
      <w:r w:rsidRPr="00B53BE7">
        <w:rPr>
          <w:rFonts w:cstheme="majorBidi"/>
          <w:lang w:val="sv-SE"/>
        </w:rPr>
        <w:t xml:space="preserve">dalam regulasi yang memungkinkan pelaku pinjol ilegal untuk terus beroperasi dengan cara-cara baru yang lebih sulit dilacak. </w:t>
      </w:r>
    </w:p>
    <w:p w:rsidR="00D1020F" w:rsidRPr="005F3CCE" w:rsidRDefault="00D1020F" w:rsidP="00D1020F">
      <w:pPr>
        <w:pStyle w:val="ListParagraph"/>
        <w:spacing w:after="0" w:line="360" w:lineRule="auto"/>
        <w:ind w:left="0" w:firstLine="720"/>
        <w:jc w:val="both"/>
        <w:rPr>
          <w:rFonts w:cstheme="majorBidi"/>
          <w:lang w:val="sv-SE"/>
        </w:rPr>
      </w:pPr>
      <w:r w:rsidRPr="005F3CCE">
        <w:rPr>
          <w:rFonts w:cstheme="majorBidi"/>
          <w:lang w:val="sv-SE"/>
        </w:rPr>
        <w:t xml:space="preserve">Di Indonesia, dasar hukum yang digunakan dalam penanganan kasus pinjol ilegal antara lain adalah Undang-Undang Nomor 11 Tahun 2008 tentang Informasi dan Transaksi Elektronik (UU ITE), Undang-Undang Nomor 21 Tahun 2011 tentang Otoritas Jasa Keuangan (UU OJK), serta Kitab Undang-Undang Hukum Pidana (KUHP). Selain itu, Satgas Pemberantasan Aktivitas Keuangan Ilegal (Satgas PASTI) bersama OJK, Kepolisian, dan Kementerian Komunikasi dan Informatika terus melakukan pemblokiran platform ilegal serta menindak pelaku yang terbukti melakukan tindakan kriminal. </w:t>
      </w:r>
    </w:p>
    <w:p w:rsidR="00D1020F" w:rsidRPr="005F3CCE" w:rsidRDefault="00D1020F" w:rsidP="00D1020F">
      <w:pPr>
        <w:pStyle w:val="ListParagraph"/>
        <w:spacing w:after="0" w:line="360" w:lineRule="auto"/>
        <w:ind w:left="0" w:firstLine="720"/>
        <w:jc w:val="both"/>
        <w:rPr>
          <w:rFonts w:cstheme="majorBidi"/>
          <w:lang w:val="sv-SE"/>
        </w:rPr>
      </w:pPr>
      <w:r w:rsidRPr="005F3CCE">
        <w:rPr>
          <w:rFonts w:cstheme="majorBidi"/>
          <w:lang w:val="sv-SE"/>
        </w:rPr>
        <w:t xml:space="preserve">Meskipun demikian, upaya penegakan hukum belum sepenuhnya efektif dalam memberantas pinjol ilegal. Edukasi kepada masyarakat mengenai literasi keuangan dan cara mengenali pinjaman online legal menjadi faktor penting dalam pencegahan kasus ini. Oleh karena itu, penelitian ini tidak hanya bertujuan untuk mengkaji penerapan hukum pidana dalam penanganan pinjol ilegal, tetapi juga untuk mengeksplorasi strategi yang lebih efektif dalam melindungi masyarakat dan memperkuat sistem regulasi guna mencegah maraknya praktik keuangan ilegal di era digital. </w:t>
      </w:r>
    </w:p>
    <w:p w:rsidR="00D1020F" w:rsidRPr="005F3CCE" w:rsidRDefault="00D1020F" w:rsidP="00D1020F">
      <w:pPr>
        <w:pStyle w:val="ListParagraph"/>
        <w:spacing w:after="0" w:line="360" w:lineRule="auto"/>
        <w:ind w:left="0" w:firstLine="720"/>
        <w:jc w:val="both"/>
        <w:rPr>
          <w:rFonts w:cstheme="majorBidi"/>
          <w:lang w:val="sv-SE"/>
        </w:rPr>
      </w:pPr>
      <w:r w:rsidRPr="005F3CCE">
        <w:rPr>
          <w:rFonts w:cstheme="majorBidi"/>
          <w:lang w:val="sv-SE"/>
        </w:rPr>
        <w:t xml:space="preserve">Di sisi lain, kemajuan teknologi juga berdampak pada meningkatnya aktivitas pinjaman daring (online lending) di tengah masyarakat. Banyak platform yang menawarkan pinjaman dengan proses yang lebih mudah dan cepat serta lebih fleksibel dibandingkan dengan bank serta dapat dijadikan alternatif sumber pembiayaan para pelaku usaha mikro kecil dan bahkan menengah. Namun, tidak sedikit dari layanan tersebut yang beroperasi secara ilegal, tanpa pengawasan dari otoritas keuangan yang berwenang. Fenomena ini menjadi salah satu tantangan besar dalam era digital, di mana regulasi harus mampu mengimbangi pesatnya inovasi teknologi agar masyarakat terlindungi dari praktik pinjaman online ilegal yang merugikan. </w:t>
      </w:r>
    </w:p>
    <w:p w:rsidR="00D1020F" w:rsidRPr="00B53BE7" w:rsidRDefault="00D1020F" w:rsidP="00D1020F">
      <w:pPr>
        <w:pStyle w:val="ListParagraph"/>
        <w:spacing w:after="0" w:line="360" w:lineRule="auto"/>
        <w:ind w:left="0" w:firstLine="720"/>
        <w:jc w:val="both"/>
        <w:rPr>
          <w:rFonts w:cstheme="majorBidi"/>
          <w:lang w:val="sv-SE"/>
        </w:rPr>
      </w:pPr>
      <w:r w:rsidRPr="005F3CCE">
        <w:rPr>
          <w:rFonts w:cstheme="majorBidi"/>
          <w:lang w:val="sv-SE"/>
        </w:rPr>
        <w:t xml:space="preserve">Lembaga keuangan, atau financial institution, adalah badan usaha yang bergerak di bidang jasa keuangan, termasuk penyediaan dana untuk kegiatan produktif dan konsumtif, serta layanan keuangan lainnya yang tidak berkaitan </w:t>
      </w:r>
      <w:r w:rsidRPr="005F3CCE">
        <w:rPr>
          <w:rFonts w:cstheme="majorBidi"/>
          <w:lang w:val="sv-SE"/>
        </w:rPr>
        <w:lastRenderedPageBreak/>
        <w:t xml:space="preserve">dengan pembiayaan. Perkembangan globalisasi dalam sistem keuangan, didukung oleh kemajuan pesat di bidang teknologi informasi dan inovasi finansial, telah menciptakan ekosistem keuangan yang semakin kompleks, dinamis, dan saling terkait antar subsektor. </w:t>
      </w:r>
      <w:r w:rsidRPr="00B53BE7">
        <w:rPr>
          <w:rFonts w:cstheme="majorBidi"/>
          <w:lang w:val="sv-SE"/>
        </w:rPr>
        <w:t xml:space="preserve">Keterkaitan ini tidak hanya terjadi dalam aspek produk keuangan, tetapi juga dalam struktur kelembagaan yang terus berkembang sesuai dengan kebutuhan pasar dan regulasi yang berlaku. </w:t>
      </w:r>
    </w:p>
    <w:p w:rsidR="00D1020F" w:rsidRPr="005F3CCE" w:rsidRDefault="00D1020F" w:rsidP="00D1020F">
      <w:pPr>
        <w:pStyle w:val="ListParagraph"/>
        <w:spacing w:after="0" w:line="360" w:lineRule="auto"/>
        <w:ind w:left="0" w:firstLine="720"/>
        <w:jc w:val="both"/>
        <w:rPr>
          <w:rFonts w:cstheme="majorBidi"/>
          <w:lang w:val="sv-SE"/>
        </w:rPr>
      </w:pPr>
      <w:r w:rsidRPr="005F3CCE">
        <w:rPr>
          <w:rFonts w:cstheme="majorBidi"/>
          <w:lang w:val="sv-SE"/>
        </w:rPr>
        <w:t>Layanan keuangan digital atau financial technology (fintech) dilaksanakan dengan berlandaskan payung hukum hal ini menyusul setelah dikeluarkannya Peraturan Otoritas Jasa Keuangan (POJK) Nomor 77/POJK.01/2016, tentang Layanan Pinjam Meminjam Uang Berbasis Teknologi Informasi (LPMUBTI) di dalam aturan tersebut OJK mengatur berbagai hal yang harus ditaati oleh penyelenggara bisnis pinjaman dari pengguna ke pengguna atau yang biasa disebut dengan peer to peer lending (P2P lending).</w:t>
      </w:r>
      <w:r>
        <w:rPr>
          <w:rStyle w:val="FootnoteReference"/>
          <w:rFonts w:cstheme="majorBidi"/>
          <w:lang w:val="sv-SE"/>
        </w:rPr>
        <w:footnoteReference w:id="3"/>
      </w:r>
      <w:r w:rsidRPr="005F3CCE">
        <w:rPr>
          <w:rFonts w:cstheme="majorBidi"/>
          <w:lang w:val="sv-SE"/>
        </w:rPr>
        <w:t xml:space="preserve"> Sehingga pada akhirnya ini akan melindungi kepentingan konsumen terkait keamanan dana dan data serta kepentingan nasional terkait pencegahan pencucian uang dan pendanaan terorisme serta stabilitas sistem keuangan. Perlindungan konsumen jasa keuangan dan terganggunya stabilitas sistem keuangan semakin mendorong diperlukannya pembentukan lembaga pengawasan di sektor jasa keuangan yang terintergrasi.</w:t>
      </w:r>
    </w:p>
    <w:p w:rsidR="00D1020F" w:rsidRPr="005F3CCE" w:rsidRDefault="00D1020F" w:rsidP="00D1020F">
      <w:pPr>
        <w:pStyle w:val="ListParagraph"/>
        <w:spacing w:after="0" w:line="360" w:lineRule="auto"/>
        <w:ind w:left="0" w:firstLine="720"/>
        <w:jc w:val="both"/>
        <w:rPr>
          <w:rFonts w:cstheme="majorBidi"/>
          <w:lang w:val="sv-SE"/>
        </w:rPr>
      </w:pPr>
      <w:r w:rsidRPr="005F3CCE">
        <w:rPr>
          <w:rFonts w:cstheme="majorBidi"/>
          <w:lang w:val="sv-SE"/>
        </w:rPr>
        <w:t>Dalam kehidupan sehari-hari, istilah kredit tentu sudah tidak asing, terutama bagi mereka yang sering berinteraksi dengan institusi perbankan. Meskipun demikian, definisi kredit dapat beragam, meski pada prinsipnya memiliki makna yang serupa. Kata "kredit" berasal dari bahasa Italia credere, yang berarti kepercayaan. Istilah ini mencerminkan kepercayaan kreditur bahwa debitur akan memenuhi kewajibannya untuk mengembalikan pinjaman beserta bunganya sesuai dengan kesepakatan yang telah dibuat. Dengan kata lain, kreditur yakin bahwa fasilitas kredit yang diberikan tidak akan mengalami hambatan dalam pengembaliannya.</w:t>
      </w:r>
      <w:r>
        <w:rPr>
          <w:rStyle w:val="FootnoteReference"/>
          <w:rFonts w:cstheme="majorBidi"/>
          <w:lang w:val="sv-SE"/>
        </w:rPr>
        <w:footnoteReference w:id="4"/>
      </w:r>
    </w:p>
    <w:p w:rsidR="00D1020F" w:rsidRPr="00B53BE7" w:rsidRDefault="00D1020F" w:rsidP="00D1020F">
      <w:pPr>
        <w:pStyle w:val="ListParagraph"/>
        <w:spacing w:after="0" w:line="360" w:lineRule="auto"/>
        <w:ind w:left="0" w:firstLine="720"/>
        <w:jc w:val="both"/>
        <w:rPr>
          <w:rFonts w:cstheme="majorBidi"/>
          <w:lang w:val="sv-SE"/>
        </w:rPr>
      </w:pPr>
      <w:r w:rsidRPr="00B53BE7">
        <w:rPr>
          <w:rFonts w:cstheme="majorBidi"/>
          <w:lang w:val="sv-SE"/>
        </w:rPr>
        <w:t xml:space="preserve">Hingga saat ini, tercatat sebanyak 168 fintech resmi yang terdaftar di Otoritas Jasa Keuangan (OJK), sementara masih terdapat ribuan fintech lainnya </w:t>
      </w:r>
      <w:r w:rsidRPr="00B53BE7">
        <w:rPr>
          <w:rFonts w:cstheme="majorBidi"/>
          <w:lang w:val="sv-SE"/>
        </w:rPr>
        <w:lastRenderedPageBreak/>
        <w:t>yang beroperasi tanpa izin resmi. Meski menawarkan kemudahan, banyak masyarakat yang kurang memperhatikan aspek legalitas saat mengajukan pinjaman. Padahal, perbedaan antara fintech legal dan ilegal merupakan hal yang penting untuk dipahami sebelum memutuskan untuk menggunakan layanan tersebut. Salah satu dampak signifikan yang sering muncul di masyarakat adalah isu ekonomi yang timbul akibat kredit macet, terutama ketika kreditur menggunakan layanan dari fintech illegal.</w:t>
      </w:r>
      <w:r>
        <w:rPr>
          <w:rStyle w:val="FootnoteReference"/>
          <w:rFonts w:cstheme="majorBidi"/>
          <w:lang w:val="sv-SE"/>
        </w:rPr>
        <w:footnoteReference w:id="5"/>
      </w:r>
    </w:p>
    <w:p w:rsidR="00D1020F" w:rsidRPr="00B53BE7" w:rsidRDefault="00D1020F" w:rsidP="00D1020F">
      <w:pPr>
        <w:pStyle w:val="ListParagraph"/>
        <w:spacing w:after="0" w:line="360" w:lineRule="auto"/>
        <w:ind w:left="0" w:firstLine="720"/>
        <w:jc w:val="both"/>
        <w:rPr>
          <w:rFonts w:cstheme="majorBidi"/>
          <w:lang w:val="sv-SE"/>
        </w:rPr>
      </w:pPr>
      <w:r w:rsidRPr="00B53BE7">
        <w:rPr>
          <w:rFonts w:cstheme="majorBidi"/>
          <w:lang w:val="sv-SE"/>
        </w:rPr>
        <w:t>Jika ditinjau lebih dalam, terdapat berbagai kasus pinjaman online yang berawal dari ketidakmampuan debitur untuk melunasi kewajiban mereka. Hal ini disebabkan oleh semakin tingginya beban keuangan yang harus ditanggung, termasuk perbedaan signifikan antara jumlah dana yang diterima dengan total pengembalian, ditambah suku bunga yang sangat besar. Selain itu, jangka waktu pelunasan yang relatif singkat menjadi tekanan tersendiri. Kondisi tersebut secara tidak langsung menciptakan ketakutan dan kekhawatiran di kalangan debitur.</w:t>
      </w:r>
      <w:r>
        <w:rPr>
          <w:rStyle w:val="FootnoteReference"/>
          <w:rFonts w:cstheme="majorBidi"/>
          <w:lang w:val="sv-SE"/>
        </w:rPr>
        <w:footnoteReference w:id="6"/>
      </w:r>
    </w:p>
    <w:p w:rsidR="00D1020F" w:rsidRPr="00B53BE7" w:rsidRDefault="00D1020F" w:rsidP="00D1020F">
      <w:pPr>
        <w:pStyle w:val="ListParagraph"/>
        <w:spacing w:after="0" w:line="360" w:lineRule="auto"/>
        <w:ind w:left="0" w:firstLine="720"/>
        <w:jc w:val="both"/>
        <w:rPr>
          <w:rFonts w:cstheme="majorBidi"/>
          <w:lang w:val="sv-SE"/>
        </w:rPr>
      </w:pPr>
      <w:r w:rsidRPr="00B53BE7">
        <w:rPr>
          <w:rFonts w:cstheme="majorBidi"/>
          <w:lang w:val="sv-SE"/>
        </w:rPr>
        <w:t xml:space="preserve">Pinjaman online ilegal termasuk dalam kategori kejahatan finansial yang merugikan negara, karena dapat beroperasi tanpa pengawasan yang memadai. Oleh karena itu, edukasi kepada masyarakat menjadi sangat penting untuk mengurangi dampak dari aktivitas ilegal ini. Pinjaman online ilegal tidak dilindungi oleh instansi pemerintah atau lembaga keuangan yang sah, sehingga tidak ada pihak yang dapat membantu jika terjadi masalah atau kecurangan yang dilakukan oleh pihak penagih. Misalnya, perusahaan pinjol ilegal dapat menaikkan bunga pinjaman tanpa pemberitahuan, sementara tidak ada surat perjanjian yang sah karena transaksi dilakukan secara online. Dalam hal ini, debitur seringkali tidak memiliki perlindungan hukum, karena tidak ada pertemuan fisik antara kedua belah pihak. Aktivitas ilegal, baik itu pinjaman online, investasi, tabungan, atau dana talangan, berpotensi merugikan pihak yang terlibat karena tidak ada pengawasan atau campur tangan dari pemerintah. Pihak </w:t>
      </w:r>
      <w:r w:rsidRPr="00B53BE7">
        <w:rPr>
          <w:rFonts w:cstheme="majorBidi"/>
          <w:lang w:val="sv-SE"/>
        </w:rPr>
        <w:lastRenderedPageBreak/>
        <w:t>yang terlibat dalam aktivitas ilegal tersebut sering kali menggunakan kekerasan, penipuan, atau kecurangan untuk menutupi kerugian mereka</w:t>
      </w:r>
      <w:r>
        <w:rPr>
          <w:rFonts w:cstheme="majorBidi"/>
          <w:lang w:val="sv-SE"/>
        </w:rPr>
        <w:t>.</w:t>
      </w:r>
      <w:r>
        <w:rPr>
          <w:rStyle w:val="FootnoteReference"/>
          <w:rFonts w:cstheme="majorBidi"/>
          <w:lang w:val="sv-SE"/>
        </w:rPr>
        <w:footnoteReference w:id="7"/>
      </w:r>
      <w:r w:rsidRPr="00B53BE7">
        <w:rPr>
          <w:rFonts w:cstheme="majorBidi"/>
          <w:lang w:val="sv-SE"/>
        </w:rPr>
        <w:t xml:space="preserve"> Meskipun tidak semua pinjaman online terdaftar di OJK, kenyataannya masih banyak pinjaman online ilegal yang beroperasi tanpa kendali. Ironisnya, banyak masyarakat yang tergiur untuk menggunakan layanan tersebut, dan lebih menyedihkan lagi, mereka yang terjerat adalah mereka yang sedang mengalami kondisi keuangan darurat dan membutuhkan dana secara mendesak. </w:t>
      </w:r>
    </w:p>
    <w:p w:rsidR="00D1020F" w:rsidRPr="00B53BE7" w:rsidRDefault="00D1020F" w:rsidP="00D1020F">
      <w:pPr>
        <w:pStyle w:val="ListParagraph"/>
        <w:spacing w:after="0" w:line="360" w:lineRule="auto"/>
        <w:ind w:left="0" w:firstLine="720"/>
        <w:jc w:val="both"/>
        <w:rPr>
          <w:rFonts w:cstheme="majorBidi"/>
          <w:lang w:val="sv-SE"/>
        </w:rPr>
      </w:pPr>
      <w:r w:rsidRPr="00B53BE7">
        <w:rPr>
          <w:rFonts w:cstheme="majorBidi"/>
          <w:lang w:val="sv-SE"/>
        </w:rPr>
        <w:t xml:space="preserve">Berdasarkan latar belakang diatas maka peneliti melakukan penelitian dengan judul </w:t>
      </w:r>
      <w:r>
        <w:rPr>
          <w:rFonts w:cstheme="majorBidi"/>
          <w:lang w:val="sv-SE"/>
        </w:rPr>
        <w:t>Penyelidikan</w:t>
      </w:r>
      <w:r w:rsidRPr="00B53BE7">
        <w:rPr>
          <w:rFonts w:cstheme="majorBidi"/>
          <w:lang w:val="sv-SE"/>
        </w:rPr>
        <w:t xml:space="preserve"> Hukum Pidana Dalam Penanganan Kasus Pinjaman Online Ilegal</w:t>
      </w:r>
      <w:r>
        <w:rPr>
          <w:rFonts w:cstheme="majorBidi"/>
          <w:lang w:val="sv-SE"/>
        </w:rPr>
        <w:t xml:space="preserve"> di Polres Serdang Bedagai</w:t>
      </w:r>
      <w:r w:rsidRPr="00B53BE7">
        <w:rPr>
          <w:rFonts w:cstheme="majorBidi"/>
          <w:lang w:val="sv-SE"/>
        </w:rPr>
        <w:t xml:space="preserve">. </w:t>
      </w:r>
    </w:p>
    <w:p w:rsidR="00D1020F" w:rsidRPr="00B53BE7" w:rsidRDefault="00D1020F" w:rsidP="00D1020F">
      <w:pPr>
        <w:pStyle w:val="Heading2"/>
        <w:numPr>
          <w:ilvl w:val="0"/>
          <w:numId w:val="7"/>
        </w:numPr>
        <w:spacing w:before="0" w:line="360" w:lineRule="auto"/>
        <w:ind w:left="0"/>
        <w:rPr>
          <w:lang w:val="sv-SE"/>
        </w:rPr>
      </w:pPr>
      <w:bookmarkStart w:id="2" w:name="_Toc201299662"/>
      <w:r w:rsidRPr="00B53BE7">
        <w:rPr>
          <w:lang w:val="sv-SE"/>
        </w:rPr>
        <w:t>Rumusan Masalah</w:t>
      </w:r>
      <w:bookmarkEnd w:id="2"/>
    </w:p>
    <w:p w:rsidR="00D1020F" w:rsidRDefault="00D1020F" w:rsidP="00D1020F">
      <w:pPr>
        <w:pStyle w:val="ListParagraph"/>
        <w:spacing w:after="0" w:line="360" w:lineRule="auto"/>
        <w:ind w:left="0" w:firstLine="720"/>
        <w:jc w:val="both"/>
        <w:rPr>
          <w:rFonts w:cstheme="majorBidi"/>
          <w:lang w:val="sv-SE"/>
        </w:rPr>
      </w:pPr>
      <w:r w:rsidRPr="00B53BE7">
        <w:rPr>
          <w:rFonts w:cstheme="majorBidi"/>
          <w:lang w:val="sv-SE"/>
        </w:rPr>
        <w:t xml:space="preserve">Berdasarkan latar belakang masalah yang dipaparkan sebelumnya, maka proposal ini ditulis dengan rumusan masalah sebagai berikut: </w:t>
      </w:r>
    </w:p>
    <w:p w:rsidR="00D1020F" w:rsidRPr="00E43C0B" w:rsidRDefault="00D1020F" w:rsidP="00D1020F">
      <w:pPr>
        <w:pStyle w:val="ListParagraph"/>
        <w:numPr>
          <w:ilvl w:val="0"/>
          <w:numId w:val="8"/>
        </w:numPr>
        <w:spacing w:after="0" w:line="360" w:lineRule="auto"/>
        <w:ind w:left="426"/>
        <w:jc w:val="both"/>
        <w:rPr>
          <w:rFonts w:cstheme="majorBidi"/>
          <w:lang w:val="sv-SE"/>
        </w:rPr>
      </w:pPr>
      <w:r w:rsidRPr="00E43C0B">
        <w:rPr>
          <w:rFonts w:cstheme="majorBidi"/>
          <w:lang w:val="sv-SE"/>
        </w:rPr>
        <w:t xml:space="preserve">Bagaimana ketentuan hukum pidana </w:t>
      </w:r>
      <w:r>
        <w:rPr>
          <w:rFonts w:cstheme="majorBidi"/>
          <w:lang w:val="sv-SE"/>
        </w:rPr>
        <w:t xml:space="preserve">yang diterapkan oleh Polres Serdang Bedagaidalam </w:t>
      </w:r>
      <w:r w:rsidRPr="00E43C0B">
        <w:rPr>
          <w:rFonts w:cstheme="majorBidi"/>
          <w:lang w:val="sv-SE"/>
        </w:rPr>
        <w:t>mengatur tindak pidana</w:t>
      </w:r>
      <w:r>
        <w:rPr>
          <w:rFonts w:cstheme="majorBidi"/>
          <w:lang w:val="sv-SE"/>
        </w:rPr>
        <w:t xml:space="preserve"> terhadap pelaku</w:t>
      </w:r>
      <w:r w:rsidRPr="00E43C0B">
        <w:rPr>
          <w:rFonts w:cstheme="majorBidi"/>
          <w:lang w:val="sv-SE"/>
        </w:rPr>
        <w:t xml:space="preserve"> pinjaman online ilegal?</w:t>
      </w:r>
    </w:p>
    <w:p w:rsidR="00D1020F" w:rsidRDefault="00D1020F" w:rsidP="00D1020F">
      <w:pPr>
        <w:pStyle w:val="ListParagraph"/>
        <w:numPr>
          <w:ilvl w:val="0"/>
          <w:numId w:val="8"/>
        </w:numPr>
        <w:spacing w:after="0" w:line="360" w:lineRule="auto"/>
        <w:ind w:left="426"/>
        <w:jc w:val="both"/>
        <w:rPr>
          <w:rFonts w:cstheme="majorBidi"/>
          <w:lang w:val="sv-SE"/>
        </w:rPr>
      </w:pPr>
      <w:r w:rsidRPr="00E43C0B">
        <w:rPr>
          <w:rFonts w:cstheme="majorBidi"/>
          <w:lang w:val="sv-SE"/>
        </w:rPr>
        <w:t xml:space="preserve">Bagaimana proses penyelidikan </w:t>
      </w:r>
      <w:r>
        <w:rPr>
          <w:rFonts w:cstheme="majorBidi"/>
          <w:lang w:val="sv-SE"/>
        </w:rPr>
        <w:t xml:space="preserve">yang </w:t>
      </w:r>
      <w:r w:rsidRPr="00E43C0B">
        <w:rPr>
          <w:rFonts w:cstheme="majorBidi"/>
          <w:lang w:val="sv-SE"/>
        </w:rPr>
        <w:t xml:space="preserve">dilakukan oleh aparat penegak hukum </w:t>
      </w:r>
      <w:r>
        <w:rPr>
          <w:rFonts w:cstheme="majorBidi"/>
          <w:lang w:val="sv-SE"/>
        </w:rPr>
        <w:t xml:space="preserve">di Polres Serdang Bedagai </w:t>
      </w:r>
      <w:r w:rsidRPr="00E43C0B">
        <w:rPr>
          <w:rFonts w:cstheme="majorBidi"/>
          <w:lang w:val="sv-SE"/>
        </w:rPr>
        <w:t>dalam menangani kasus pinjaman online ilegal?</w:t>
      </w:r>
    </w:p>
    <w:p w:rsidR="00D1020F" w:rsidRPr="00B53BE7" w:rsidRDefault="00D1020F" w:rsidP="00D1020F">
      <w:pPr>
        <w:pStyle w:val="Heading2"/>
        <w:numPr>
          <w:ilvl w:val="0"/>
          <w:numId w:val="7"/>
        </w:numPr>
        <w:spacing w:before="0" w:line="360" w:lineRule="auto"/>
        <w:ind w:left="0"/>
        <w:rPr>
          <w:lang w:val="sv-SE"/>
        </w:rPr>
      </w:pPr>
      <w:bookmarkStart w:id="3" w:name="_Toc201299663"/>
      <w:r w:rsidRPr="00B53BE7">
        <w:rPr>
          <w:lang w:val="sv-SE"/>
        </w:rPr>
        <w:t xml:space="preserve">Tujuan </w:t>
      </w:r>
      <w:r>
        <w:rPr>
          <w:lang w:val="sv-SE"/>
        </w:rPr>
        <w:t>Penelitian</w:t>
      </w:r>
      <w:bookmarkEnd w:id="3"/>
    </w:p>
    <w:p w:rsidR="00D1020F" w:rsidRPr="00B53BE7" w:rsidRDefault="00D1020F" w:rsidP="00D1020F">
      <w:pPr>
        <w:pStyle w:val="ListParagraph"/>
        <w:spacing w:after="0" w:line="360" w:lineRule="auto"/>
        <w:ind w:left="0" w:firstLine="720"/>
        <w:jc w:val="both"/>
        <w:rPr>
          <w:rFonts w:cstheme="majorBidi"/>
          <w:lang w:val="sv-SE"/>
        </w:rPr>
      </w:pPr>
      <w:r w:rsidRPr="00B53BE7">
        <w:rPr>
          <w:rFonts w:cstheme="majorBidi"/>
          <w:lang w:val="sv-SE"/>
        </w:rPr>
        <w:t xml:space="preserve">Berdasarkan rumusan masalah di atas maka tujuan </w:t>
      </w:r>
      <w:r>
        <w:rPr>
          <w:rFonts w:cstheme="majorBidi"/>
          <w:lang w:val="sv-SE"/>
        </w:rPr>
        <w:t>penelitian</w:t>
      </w:r>
      <w:r w:rsidRPr="00B53BE7">
        <w:rPr>
          <w:rFonts w:cstheme="majorBidi"/>
          <w:lang w:val="sv-SE"/>
        </w:rPr>
        <w:t xml:space="preserve"> tersebut untuk mengetahui: </w:t>
      </w:r>
    </w:p>
    <w:p w:rsidR="00D1020F" w:rsidRDefault="00D1020F" w:rsidP="00D1020F">
      <w:pPr>
        <w:pStyle w:val="ListParagraph"/>
        <w:numPr>
          <w:ilvl w:val="0"/>
          <w:numId w:val="3"/>
        </w:numPr>
        <w:spacing w:after="0" w:line="360" w:lineRule="auto"/>
        <w:ind w:left="426"/>
        <w:jc w:val="both"/>
        <w:rPr>
          <w:rFonts w:cstheme="majorBidi"/>
          <w:lang w:val="sv-SE"/>
        </w:rPr>
      </w:pPr>
      <w:r>
        <w:rPr>
          <w:rFonts w:cstheme="majorBidi"/>
          <w:lang w:val="sv-SE"/>
        </w:rPr>
        <w:t>Untuk memperoleh Sarjana Hukum (SH) pada Program Studi Ilmu Hukum UMN Al-Washliyah.</w:t>
      </w:r>
    </w:p>
    <w:p w:rsidR="00D1020F" w:rsidRPr="00E81E53" w:rsidRDefault="00D1020F" w:rsidP="00D1020F">
      <w:pPr>
        <w:pStyle w:val="ListParagraph"/>
        <w:numPr>
          <w:ilvl w:val="0"/>
          <w:numId w:val="3"/>
        </w:numPr>
        <w:spacing w:after="0" w:line="360" w:lineRule="auto"/>
        <w:ind w:left="426"/>
        <w:jc w:val="both"/>
        <w:rPr>
          <w:rFonts w:cstheme="majorBidi"/>
          <w:lang w:val="sv-SE"/>
        </w:rPr>
      </w:pPr>
      <w:r w:rsidRPr="00E81E53">
        <w:rPr>
          <w:rFonts w:cstheme="majorBidi"/>
          <w:lang w:val="sv-SE"/>
        </w:rPr>
        <w:t xml:space="preserve">Untuk mengetahui bagaimana </w:t>
      </w:r>
      <w:r w:rsidRPr="00E43C0B">
        <w:rPr>
          <w:rFonts w:cstheme="majorBidi"/>
          <w:lang w:val="sv-SE"/>
        </w:rPr>
        <w:t xml:space="preserve">ketentuan hukum pidana </w:t>
      </w:r>
      <w:r>
        <w:rPr>
          <w:rFonts w:cstheme="majorBidi"/>
          <w:lang w:val="sv-SE"/>
        </w:rPr>
        <w:t xml:space="preserve">yang diterapkan oleh Polres Serdang Bedagaidalam </w:t>
      </w:r>
      <w:r w:rsidRPr="00E43C0B">
        <w:rPr>
          <w:rFonts w:cstheme="majorBidi"/>
          <w:lang w:val="sv-SE"/>
        </w:rPr>
        <w:t>mengatur tindak pidana</w:t>
      </w:r>
      <w:r>
        <w:rPr>
          <w:rFonts w:cstheme="majorBidi"/>
          <w:lang w:val="sv-SE"/>
        </w:rPr>
        <w:t xml:space="preserve"> terhadap pelaku</w:t>
      </w:r>
      <w:r w:rsidRPr="00E43C0B">
        <w:rPr>
          <w:rFonts w:cstheme="majorBidi"/>
          <w:lang w:val="sv-SE"/>
        </w:rPr>
        <w:t xml:space="preserve"> terkait pinjaman online ilegal</w:t>
      </w:r>
      <w:r>
        <w:rPr>
          <w:rFonts w:cstheme="majorBidi"/>
          <w:lang w:val="sv-SE"/>
        </w:rPr>
        <w:t>.</w:t>
      </w:r>
    </w:p>
    <w:p w:rsidR="00D1020F" w:rsidRDefault="00D1020F" w:rsidP="00D1020F">
      <w:pPr>
        <w:pStyle w:val="ListParagraph"/>
        <w:numPr>
          <w:ilvl w:val="0"/>
          <w:numId w:val="3"/>
        </w:numPr>
        <w:spacing w:after="0" w:line="360" w:lineRule="auto"/>
        <w:ind w:left="426"/>
        <w:jc w:val="both"/>
        <w:rPr>
          <w:rFonts w:cstheme="majorBidi"/>
          <w:lang w:val="sv-SE"/>
        </w:rPr>
      </w:pPr>
      <w:r w:rsidRPr="00B53BE7">
        <w:rPr>
          <w:rFonts w:cstheme="majorBidi"/>
          <w:lang w:val="sv-SE"/>
        </w:rPr>
        <w:t xml:space="preserve">Untuk mengetahui </w:t>
      </w:r>
      <w:r w:rsidRPr="00E43C0B">
        <w:rPr>
          <w:rFonts w:cstheme="majorBidi"/>
          <w:lang w:val="sv-SE"/>
        </w:rPr>
        <w:t xml:space="preserve">proses penyelidikan </w:t>
      </w:r>
      <w:r>
        <w:rPr>
          <w:rFonts w:cstheme="majorBidi"/>
          <w:lang w:val="sv-SE"/>
        </w:rPr>
        <w:t xml:space="preserve">yang </w:t>
      </w:r>
      <w:r w:rsidRPr="00E43C0B">
        <w:rPr>
          <w:rFonts w:cstheme="majorBidi"/>
          <w:lang w:val="sv-SE"/>
        </w:rPr>
        <w:t xml:space="preserve">dilakukan oleh aparat penegak hukum </w:t>
      </w:r>
      <w:r>
        <w:rPr>
          <w:rFonts w:cstheme="majorBidi"/>
          <w:lang w:val="sv-SE"/>
        </w:rPr>
        <w:t xml:space="preserve">di Polres Serdang Bedagai </w:t>
      </w:r>
      <w:r w:rsidRPr="00E43C0B">
        <w:rPr>
          <w:rFonts w:cstheme="majorBidi"/>
          <w:lang w:val="sv-SE"/>
        </w:rPr>
        <w:t>dalam menangani kasus pinjaman online ilegal</w:t>
      </w:r>
      <w:r w:rsidRPr="00B53BE7">
        <w:rPr>
          <w:rFonts w:cstheme="majorBidi"/>
          <w:lang w:val="sv-SE"/>
        </w:rPr>
        <w:t xml:space="preserve">. </w:t>
      </w:r>
    </w:p>
    <w:p w:rsidR="00D1020F" w:rsidRPr="00B53BE7" w:rsidRDefault="00D1020F" w:rsidP="00D1020F">
      <w:pPr>
        <w:pStyle w:val="Heading2"/>
        <w:numPr>
          <w:ilvl w:val="0"/>
          <w:numId w:val="7"/>
        </w:numPr>
        <w:spacing w:before="0" w:line="360" w:lineRule="auto"/>
        <w:ind w:left="0"/>
        <w:rPr>
          <w:lang w:val="sv-SE"/>
        </w:rPr>
      </w:pPr>
      <w:bookmarkStart w:id="4" w:name="_Toc201299664"/>
      <w:r w:rsidRPr="00B53BE7">
        <w:rPr>
          <w:lang w:val="sv-SE"/>
        </w:rPr>
        <w:lastRenderedPageBreak/>
        <w:t>Manfaat Penelitian</w:t>
      </w:r>
      <w:bookmarkEnd w:id="4"/>
    </w:p>
    <w:p w:rsidR="00D1020F" w:rsidRPr="00B53BE7" w:rsidRDefault="00D1020F" w:rsidP="00D1020F">
      <w:pPr>
        <w:pStyle w:val="ListParagraph"/>
        <w:spacing w:after="0" w:line="360" w:lineRule="auto"/>
        <w:ind w:left="0" w:firstLine="720"/>
        <w:jc w:val="both"/>
        <w:rPr>
          <w:rFonts w:cstheme="majorBidi"/>
          <w:lang w:val="sv-SE"/>
        </w:rPr>
      </w:pPr>
      <w:r w:rsidRPr="00B53BE7">
        <w:rPr>
          <w:rFonts w:cstheme="majorBidi"/>
          <w:lang w:val="sv-SE"/>
        </w:rPr>
        <w:t xml:space="preserve">Adapun kegunaan dari yang diharapkan dari penelitian ini adalah sebagai berikut: </w:t>
      </w:r>
    </w:p>
    <w:p w:rsidR="00D1020F" w:rsidRDefault="00D1020F" w:rsidP="00D1020F">
      <w:pPr>
        <w:pStyle w:val="ListParagraph"/>
        <w:numPr>
          <w:ilvl w:val="0"/>
          <w:numId w:val="4"/>
        </w:numPr>
        <w:spacing w:after="0" w:line="360" w:lineRule="auto"/>
        <w:jc w:val="both"/>
        <w:rPr>
          <w:rFonts w:cstheme="majorBidi"/>
          <w:lang w:val="sv-SE"/>
        </w:rPr>
      </w:pPr>
      <w:r w:rsidRPr="00B53BE7">
        <w:rPr>
          <w:rFonts w:cstheme="majorBidi"/>
          <w:lang w:val="sv-SE"/>
        </w:rPr>
        <w:t xml:space="preserve">Manfaat Teoritis: </w:t>
      </w:r>
    </w:p>
    <w:p w:rsidR="00D1020F" w:rsidRDefault="00D1020F" w:rsidP="00D1020F">
      <w:pPr>
        <w:pStyle w:val="ListParagraph"/>
        <w:numPr>
          <w:ilvl w:val="0"/>
          <w:numId w:val="5"/>
        </w:numPr>
        <w:spacing w:after="0" w:line="360" w:lineRule="auto"/>
        <w:jc w:val="both"/>
        <w:rPr>
          <w:rFonts w:cstheme="majorBidi"/>
          <w:lang w:val="sv-SE"/>
        </w:rPr>
      </w:pPr>
      <w:r>
        <w:rPr>
          <w:rFonts w:cstheme="majorBidi"/>
          <w:lang w:val="sv-SE"/>
        </w:rPr>
        <w:t>B</w:t>
      </w:r>
      <w:r w:rsidRPr="00E81E53">
        <w:rPr>
          <w:rFonts w:cstheme="majorBidi"/>
          <w:lang w:val="sv-SE"/>
        </w:rPr>
        <w:t xml:space="preserve">agaimana </w:t>
      </w:r>
      <w:r w:rsidRPr="00E43C0B">
        <w:rPr>
          <w:rFonts w:cstheme="majorBidi"/>
          <w:lang w:val="sv-SE"/>
        </w:rPr>
        <w:t xml:space="preserve">ketentuan hukum pidana </w:t>
      </w:r>
      <w:r>
        <w:rPr>
          <w:rFonts w:cstheme="majorBidi"/>
          <w:lang w:val="sv-SE"/>
        </w:rPr>
        <w:t xml:space="preserve">yang diterapkan oleh Polres Serdang Bedagaidalam </w:t>
      </w:r>
      <w:r w:rsidRPr="00E43C0B">
        <w:rPr>
          <w:rFonts w:cstheme="majorBidi"/>
          <w:lang w:val="sv-SE"/>
        </w:rPr>
        <w:t>mengatur tindak pidana</w:t>
      </w:r>
      <w:r>
        <w:rPr>
          <w:rFonts w:cstheme="majorBidi"/>
          <w:lang w:val="sv-SE"/>
        </w:rPr>
        <w:t xml:space="preserve"> terhadap pelaku</w:t>
      </w:r>
      <w:r w:rsidRPr="00E43C0B">
        <w:rPr>
          <w:rFonts w:cstheme="majorBidi"/>
          <w:lang w:val="sv-SE"/>
        </w:rPr>
        <w:t xml:space="preserve"> terkait pinjaman online ilegal</w:t>
      </w:r>
      <w:r w:rsidRPr="007009B2">
        <w:rPr>
          <w:rFonts w:cstheme="majorBidi"/>
          <w:lang w:val="sv-SE"/>
        </w:rPr>
        <w:t xml:space="preserve">. Dapat dijadikan titik tolak bagi penelitian pemikiran lebih lanjut, baik untuk peneliti yang bersangkutan maupun oleh peneliti lain sehingga kegiatan penelitian dapat dilakukan secara berkesinambungan. </w:t>
      </w:r>
    </w:p>
    <w:p w:rsidR="00D1020F" w:rsidRPr="007009B2" w:rsidRDefault="00D1020F" w:rsidP="00D1020F">
      <w:pPr>
        <w:pStyle w:val="ListParagraph"/>
        <w:numPr>
          <w:ilvl w:val="0"/>
          <w:numId w:val="5"/>
        </w:numPr>
        <w:spacing w:after="0" w:line="360" w:lineRule="auto"/>
        <w:jc w:val="both"/>
        <w:rPr>
          <w:rFonts w:cstheme="majorBidi"/>
          <w:lang w:val="sv-SE"/>
        </w:rPr>
      </w:pPr>
      <w:r w:rsidRPr="007009B2">
        <w:rPr>
          <w:rFonts w:cstheme="majorBidi"/>
          <w:lang w:val="sv-SE"/>
        </w:rPr>
        <w:t xml:space="preserve">Di harapkan dapat memberikan kontribusi yang berguna bagi ilmu pengetahuan di bidang pinjaman online illegal. </w:t>
      </w:r>
    </w:p>
    <w:p w:rsidR="00D1020F" w:rsidRDefault="00D1020F" w:rsidP="00D1020F">
      <w:pPr>
        <w:pStyle w:val="ListParagraph"/>
        <w:numPr>
          <w:ilvl w:val="0"/>
          <w:numId w:val="4"/>
        </w:numPr>
        <w:spacing w:after="0" w:line="360" w:lineRule="auto"/>
        <w:jc w:val="both"/>
        <w:rPr>
          <w:rFonts w:cstheme="majorBidi"/>
          <w:lang w:val="sv-SE"/>
        </w:rPr>
      </w:pPr>
      <w:r w:rsidRPr="00B53BE7">
        <w:rPr>
          <w:rFonts w:cstheme="majorBidi"/>
          <w:lang w:val="sv-SE"/>
        </w:rPr>
        <w:t xml:space="preserve">Manfaat praktis: </w:t>
      </w:r>
    </w:p>
    <w:p w:rsidR="00D1020F" w:rsidRDefault="00D1020F" w:rsidP="00D1020F">
      <w:pPr>
        <w:pStyle w:val="ListParagraph"/>
        <w:numPr>
          <w:ilvl w:val="0"/>
          <w:numId w:val="6"/>
        </w:numPr>
        <w:spacing w:after="0" w:line="360" w:lineRule="auto"/>
        <w:jc w:val="both"/>
        <w:rPr>
          <w:rFonts w:cstheme="majorBidi"/>
          <w:lang w:val="sv-SE"/>
        </w:rPr>
      </w:pPr>
      <w:r w:rsidRPr="007009B2">
        <w:rPr>
          <w:rFonts w:cstheme="majorBidi"/>
          <w:lang w:val="sv-SE"/>
        </w:rPr>
        <w:t xml:space="preserve">Sebagai tugas akhir untuk menyelesaikan studi program SI di Universitas Muslim Nusantara Al-Washliyah Medan. </w:t>
      </w:r>
    </w:p>
    <w:p w:rsidR="00D1020F" w:rsidRPr="007009B2" w:rsidRDefault="00D1020F" w:rsidP="00D1020F">
      <w:pPr>
        <w:pStyle w:val="ListParagraph"/>
        <w:numPr>
          <w:ilvl w:val="0"/>
          <w:numId w:val="6"/>
        </w:numPr>
        <w:spacing w:after="0" w:line="360" w:lineRule="auto"/>
        <w:jc w:val="both"/>
        <w:rPr>
          <w:rFonts w:cstheme="majorBidi"/>
          <w:lang w:val="sv-SE"/>
        </w:rPr>
      </w:pPr>
      <w:r w:rsidRPr="007009B2">
        <w:rPr>
          <w:rFonts w:cstheme="majorBidi"/>
          <w:lang w:val="sv-SE"/>
        </w:rPr>
        <w:t>Sumbangan untuk memperkaya khazanah bagi Perpustakaan Universitas Muslim Nusantara Al-Washliyah Medan.</w:t>
      </w:r>
    </w:p>
    <w:p w:rsidR="00D1020F" w:rsidRDefault="00D1020F" w:rsidP="00D1020F">
      <w:pPr>
        <w:spacing w:after="0" w:line="360" w:lineRule="auto"/>
        <w:rPr>
          <w:rFonts w:cstheme="majorBidi"/>
          <w:lang w:val="sv-SE"/>
        </w:rPr>
      </w:pPr>
      <w:r>
        <w:rPr>
          <w:rFonts w:cstheme="majorBidi"/>
          <w:lang w:val="sv-SE"/>
        </w:rPr>
        <w:br w:type="page"/>
      </w:r>
    </w:p>
    <w:p w:rsidR="00E27208" w:rsidRPr="00D1020F" w:rsidRDefault="006228CB" w:rsidP="00D1020F">
      <w:bookmarkStart w:id="5" w:name="_GoBack"/>
      <w:bookmarkEnd w:id="5"/>
    </w:p>
    <w:sectPr w:rsidR="00E27208" w:rsidRPr="00D1020F" w:rsidSect="00CB3C8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8CB" w:rsidRDefault="006228CB" w:rsidP="006A3179">
      <w:pPr>
        <w:spacing w:after="0" w:line="240" w:lineRule="auto"/>
      </w:pPr>
      <w:r>
        <w:separator/>
      </w:r>
    </w:p>
  </w:endnote>
  <w:endnote w:type="continuationSeparator" w:id="1">
    <w:p w:rsidR="006228CB" w:rsidRDefault="006228CB" w:rsidP="006A3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6228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57067"/>
      <w:docPartObj>
        <w:docPartGallery w:val="Page Numbers (Bottom of Page)"/>
        <w:docPartUnique/>
      </w:docPartObj>
    </w:sdtPr>
    <w:sdtEndPr>
      <w:rPr>
        <w:noProof/>
      </w:rPr>
    </w:sdtEndPr>
    <w:sdtContent>
      <w:p w:rsidR="00C24873" w:rsidRDefault="009B468F" w:rsidP="000057EF">
        <w:pPr>
          <w:pStyle w:val="Footer"/>
          <w:jc w:val="center"/>
        </w:pPr>
        <w:r>
          <w:fldChar w:fldCharType="begin"/>
        </w:r>
        <w:r w:rsidR="005314B1">
          <w:instrText xml:space="preserve"> PAGE   \* MERGEFORMAT </w:instrText>
        </w:r>
        <w:r>
          <w:fldChar w:fldCharType="separate"/>
        </w:r>
        <w:r w:rsidR="00EF2DFA">
          <w:rPr>
            <w:noProof/>
          </w:rPr>
          <w:t>1</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622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8CB" w:rsidRDefault="006228CB" w:rsidP="006A3179">
      <w:pPr>
        <w:spacing w:after="0" w:line="240" w:lineRule="auto"/>
      </w:pPr>
      <w:r>
        <w:separator/>
      </w:r>
    </w:p>
  </w:footnote>
  <w:footnote w:type="continuationSeparator" w:id="1">
    <w:p w:rsidR="006228CB" w:rsidRDefault="006228CB" w:rsidP="006A3179">
      <w:pPr>
        <w:spacing w:after="0" w:line="240" w:lineRule="auto"/>
      </w:pPr>
      <w:r>
        <w:continuationSeparator/>
      </w:r>
    </w:p>
  </w:footnote>
  <w:footnote w:id="2">
    <w:p w:rsidR="00D1020F" w:rsidRPr="000519B4" w:rsidRDefault="00D1020F" w:rsidP="00D1020F">
      <w:pPr>
        <w:pStyle w:val="FootnoteText"/>
        <w:ind w:left="142" w:hanging="142"/>
        <w:jc w:val="both"/>
        <w:rPr>
          <w:lang w:val="sv-SE"/>
        </w:rPr>
      </w:pPr>
      <w:r>
        <w:rPr>
          <w:rStyle w:val="FootnoteReference"/>
        </w:rPr>
        <w:footnoteRef/>
      </w:r>
      <w:r>
        <w:rPr>
          <w:lang w:val="sv-SE"/>
        </w:rPr>
        <w:t xml:space="preserve">Otoritas Jasa Keuangan, </w:t>
      </w:r>
      <w:r w:rsidRPr="002B3ADE">
        <w:rPr>
          <w:i/>
          <w:iCs/>
          <w:lang w:val="sv-SE"/>
        </w:rPr>
        <w:t>Satgas Pasti Blokir 498 Entitas Ilegal di September 2024</w:t>
      </w:r>
      <w:r>
        <w:rPr>
          <w:lang w:val="sv-SE"/>
        </w:rPr>
        <w:t xml:space="preserve">, Otoritas Jasa Keuangan, diakses 8 Januari 2025, </w:t>
      </w:r>
      <w:r w:rsidRPr="00B47C53">
        <w:rPr>
          <w:u w:val="single"/>
          <w:lang w:val="sv-SE"/>
        </w:rPr>
        <w:t>https://ojk.go.id/id/beritas-dan-kegiatan/info-terkini/Pages/Satgas-Pasti-Blokir-498-Entitas-Ilegal-di-September-2024.aspx.</w:t>
      </w:r>
      <w:r>
        <w:rPr>
          <w:lang w:val="sv-SE"/>
        </w:rPr>
        <w:t xml:space="preserve"> di akses pada hari Jumat tanggal 21 Februari 2025, pukul 08.00 WIB.</w:t>
      </w:r>
    </w:p>
  </w:footnote>
  <w:footnote w:id="3">
    <w:p w:rsidR="00D1020F" w:rsidRPr="007601E2" w:rsidRDefault="00D1020F" w:rsidP="00D1020F">
      <w:pPr>
        <w:pStyle w:val="FootnoteText"/>
        <w:jc w:val="both"/>
        <w:rPr>
          <w:lang w:val="sv-SE"/>
        </w:rPr>
      </w:pPr>
      <w:r>
        <w:rPr>
          <w:rStyle w:val="FootnoteReference"/>
        </w:rPr>
        <w:footnoteRef/>
      </w:r>
      <w:r w:rsidRPr="007601E2">
        <w:rPr>
          <w:lang w:val="sv-SE"/>
        </w:rPr>
        <w:t xml:space="preserve"> Otoritas Jasa Keuangan, </w:t>
      </w:r>
      <w:r w:rsidRPr="007601E2">
        <w:rPr>
          <w:i/>
          <w:iCs/>
          <w:lang w:val="sv-SE"/>
        </w:rPr>
        <w:t xml:space="preserve">Peraturan Otoritas Jasa Keuangan Nomor 77/POJK.01/2016 tentang </w:t>
      </w:r>
      <w:r>
        <w:rPr>
          <w:i/>
          <w:iCs/>
          <w:lang w:val="sv-SE"/>
        </w:rPr>
        <w:br/>
      </w:r>
      <w:r w:rsidRPr="007601E2">
        <w:rPr>
          <w:i/>
          <w:iCs/>
          <w:lang w:val="sv-SE"/>
        </w:rPr>
        <w:t>Layanan Pinjam Meminjam Uang Berbasis Teknologi Informasi</w:t>
      </w:r>
      <w:r w:rsidRPr="007601E2">
        <w:rPr>
          <w:lang w:val="sv-SE"/>
        </w:rPr>
        <w:t>, Jakarta: OJK, 2016</w:t>
      </w:r>
    </w:p>
  </w:footnote>
  <w:footnote w:id="4">
    <w:p w:rsidR="00D1020F" w:rsidRPr="00095AF5" w:rsidRDefault="00D1020F" w:rsidP="00D1020F">
      <w:pPr>
        <w:pStyle w:val="FootnoteText"/>
        <w:jc w:val="both"/>
        <w:rPr>
          <w:lang w:val="sv-SE"/>
        </w:rPr>
      </w:pPr>
      <w:r>
        <w:rPr>
          <w:rStyle w:val="FootnoteReference"/>
        </w:rPr>
        <w:footnoteRef/>
      </w:r>
      <w:r>
        <w:rPr>
          <w:lang w:val="sv-SE"/>
        </w:rPr>
        <w:t>Ibid</w:t>
      </w:r>
    </w:p>
  </w:footnote>
  <w:footnote w:id="5">
    <w:p w:rsidR="00D1020F" w:rsidRPr="00500D6E" w:rsidRDefault="00D1020F" w:rsidP="00D1020F">
      <w:pPr>
        <w:pStyle w:val="FootnoteText"/>
        <w:jc w:val="both"/>
        <w:rPr>
          <w:lang w:val="sv-SE"/>
        </w:rPr>
      </w:pPr>
      <w:r>
        <w:rPr>
          <w:rStyle w:val="FootnoteReference"/>
        </w:rPr>
        <w:footnoteRef/>
      </w:r>
      <w:r>
        <w:rPr>
          <w:lang w:val="sv-SE"/>
        </w:rPr>
        <w:t xml:space="preserve">Otoritas Jasa Keuangan, </w:t>
      </w:r>
      <w:r w:rsidRPr="00A74177">
        <w:rPr>
          <w:i/>
          <w:iCs/>
          <w:lang w:val="sv-SE"/>
        </w:rPr>
        <w:t>Daftar Fintech Terdaftar dan Berizin</w:t>
      </w:r>
      <w:r>
        <w:rPr>
          <w:lang w:val="sv-SE"/>
        </w:rPr>
        <w:t xml:space="preserve"> di OJK (Jakarta : Otoritas Jasa </w:t>
      </w:r>
      <w:r>
        <w:rPr>
          <w:lang w:val="sv-SE"/>
        </w:rPr>
        <w:br/>
        <w:t xml:space="preserve">   Keuangan, 2023).</w:t>
      </w:r>
    </w:p>
  </w:footnote>
  <w:footnote w:id="6">
    <w:p w:rsidR="00D1020F" w:rsidRDefault="00D1020F" w:rsidP="00D1020F">
      <w:pPr>
        <w:pStyle w:val="FootnoteText"/>
        <w:jc w:val="both"/>
        <w:rPr>
          <w:lang w:val="sv-SE"/>
        </w:rPr>
      </w:pPr>
      <w:r>
        <w:rPr>
          <w:rStyle w:val="FootnoteReference"/>
        </w:rPr>
        <w:footnoteRef/>
      </w:r>
      <w:r>
        <w:rPr>
          <w:lang w:val="sv-SE"/>
        </w:rPr>
        <w:t xml:space="preserve">Otoritas Jasa Keuangan, </w:t>
      </w:r>
      <w:r w:rsidRPr="00AA6E90">
        <w:rPr>
          <w:i/>
          <w:iCs/>
          <w:lang w:val="sv-SE"/>
        </w:rPr>
        <w:t>Risiko dan Dampak Pinjaman Online Ilegal</w:t>
      </w:r>
      <w:r>
        <w:rPr>
          <w:lang w:val="sv-SE"/>
        </w:rPr>
        <w:t xml:space="preserve">  (Jakarta : Otoritas Jasa </w:t>
      </w:r>
      <w:r>
        <w:rPr>
          <w:lang w:val="sv-SE"/>
        </w:rPr>
        <w:br/>
        <w:t xml:space="preserve">   Keuangan, 2023).</w:t>
      </w:r>
    </w:p>
    <w:p w:rsidR="00D1020F" w:rsidRPr="00A74177" w:rsidRDefault="00D1020F" w:rsidP="00D1020F">
      <w:pPr>
        <w:pStyle w:val="FootnoteText"/>
        <w:jc w:val="both"/>
        <w:rPr>
          <w:lang w:val="sv-SE"/>
        </w:rPr>
      </w:pPr>
    </w:p>
  </w:footnote>
  <w:footnote w:id="7">
    <w:p w:rsidR="00D1020F" w:rsidRPr="00005C2C" w:rsidRDefault="00D1020F" w:rsidP="00D1020F">
      <w:pPr>
        <w:pStyle w:val="FootnoteText"/>
        <w:jc w:val="both"/>
        <w:rPr>
          <w:lang w:val="sv-SE"/>
        </w:rPr>
      </w:pPr>
      <w:r>
        <w:rPr>
          <w:rStyle w:val="FootnoteReference"/>
        </w:rPr>
        <w:footnoteRef/>
      </w:r>
      <w:r>
        <w:rPr>
          <w:lang w:val="sv-SE"/>
        </w:rPr>
        <w:t xml:space="preserve">Otoritas Jasa Keuangan, </w:t>
      </w:r>
      <w:r w:rsidRPr="00941461">
        <w:rPr>
          <w:i/>
          <w:iCs/>
          <w:lang w:val="sv-SE"/>
        </w:rPr>
        <w:t>Perlindungan Konsumen dan Risiko Pinjaman Online Ilegal</w:t>
      </w:r>
      <w:r>
        <w:rPr>
          <w:lang w:val="sv-SE"/>
        </w:rPr>
        <w:t xml:space="preserve">  (Jakarta : </w:t>
      </w:r>
      <w:r>
        <w:rPr>
          <w:lang w:val="sv-SE"/>
        </w:rPr>
        <w:br/>
        <w:t xml:space="preserve">  Otoritas Jasa Keuangan, 2023).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9B468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1" o:spid="_x0000_s2050" type="#_x0000_t75" style="position:absolute;margin-left:0;margin-top:0;width:425.25pt;height:419.5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9B468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2" o:spid="_x0000_s2051" type="#_x0000_t75" style="position:absolute;margin-left:0;margin-top:0;width:425.25pt;height:419.5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9B468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0" o:spid="_x0000_s2049" type="#_x0000_t75" style="position:absolute;margin-left:0;margin-top:0;width:425.25pt;height:419.5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C9F"/>
    <w:multiLevelType w:val="hybridMultilevel"/>
    <w:tmpl w:val="53C623B6"/>
    <w:lvl w:ilvl="0" w:tplc="70C21B7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971C63"/>
    <w:multiLevelType w:val="hybridMultilevel"/>
    <w:tmpl w:val="73F62B0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
    <w:nsid w:val="2E3552F9"/>
    <w:multiLevelType w:val="hybridMultilevel"/>
    <w:tmpl w:val="7D4683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7FD2AC3"/>
    <w:multiLevelType w:val="hybridMultilevel"/>
    <w:tmpl w:val="BA1EC2BC"/>
    <w:lvl w:ilvl="0" w:tplc="A7F28C74">
      <w:start w:val="1"/>
      <w:numFmt w:val="lowerLetter"/>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4">
    <w:nsid w:val="3E4D48B7"/>
    <w:multiLevelType w:val="hybridMultilevel"/>
    <w:tmpl w:val="A510D736"/>
    <w:lvl w:ilvl="0" w:tplc="9E4EA0BA">
      <w:start w:val="1"/>
      <w:numFmt w:val="decimal"/>
      <w:lvlText w:val="%1."/>
      <w:lvlJc w:val="left"/>
      <w:pPr>
        <w:ind w:left="371" w:hanging="360"/>
      </w:pPr>
      <w:rPr>
        <w:rFonts w:hint="default"/>
      </w:rPr>
    </w:lvl>
    <w:lvl w:ilvl="1" w:tplc="38090019" w:tentative="1">
      <w:start w:val="1"/>
      <w:numFmt w:val="lowerLetter"/>
      <w:lvlText w:val="%2."/>
      <w:lvlJc w:val="left"/>
      <w:pPr>
        <w:ind w:left="1091" w:hanging="360"/>
      </w:pPr>
    </w:lvl>
    <w:lvl w:ilvl="2" w:tplc="3809001B" w:tentative="1">
      <w:start w:val="1"/>
      <w:numFmt w:val="lowerRoman"/>
      <w:lvlText w:val="%3."/>
      <w:lvlJc w:val="right"/>
      <w:pPr>
        <w:ind w:left="1811" w:hanging="180"/>
      </w:pPr>
    </w:lvl>
    <w:lvl w:ilvl="3" w:tplc="3809000F" w:tentative="1">
      <w:start w:val="1"/>
      <w:numFmt w:val="decimal"/>
      <w:lvlText w:val="%4."/>
      <w:lvlJc w:val="left"/>
      <w:pPr>
        <w:ind w:left="2531" w:hanging="360"/>
      </w:pPr>
    </w:lvl>
    <w:lvl w:ilvl="4" w:tplc="38090019" w:tentative="1">
      <w:start w:val="1"/>
      <w:numFmt w:val="lowerLetter"/>
      <w:lvlText w:val="%5."/>
      <w:lvlJc w:val="left"/>
      <w:pPr>
        <w:ind w:left="3251" w:hanging="360"/>
      </w:pPr>
    </w:lvl>
    <w:lvl w:ilvl="5" w:tplc="3809001B" w:tentative="1">
      <w:start w:val="1"/>
      <w:numFmt w:val="lowerRoman"/>
      <w:lvlText w:val="%6."/>
      <w:lvlJc w:val="right"/>
      <w:pPr>
        <w:ind w:left="3971" w:hanging="180"/>
      </w:pPr>
    </w:lvl>
    <w:lvl w:ilvl="6" w:tplc="3809000F" w:tentative="1">
      <w:start w:val="1"/>
      <w:numFmt w:val="decimal"/>
      <w:lvlText w:val="%7."/>
      <w:lvlJc w:val="left"/>
      <w:pPr>
        <w:ind w:left="4691" w:hanging="360"/>
      </w:pPr>
    </w:lvl>
    <w:lvl w:ilvl="7" w:tplc="38090019" w:tentative="1">
      <w:start w:val="1"/>
      <w:numFmt w:val="lowerLetter"/>
      <w:lvlText w:val="%8."/>
      <w:lvlJc w:val="left"/>
      <w:pPr>
        <w:ind w:left="5411" w:hanging="360"/>
      </w:pPr>
    </w:lvl>
    <w:lvl w:ilvl="8" w:tplc="3809001B" w:tentative="1">
      <w:start w:val="1"/>
      <w:numFmt w:val="lowerRoman"/>
      <w:lvlText w:val="%9."/>
      <w:lvlJc w:val="right"/>
      <w:pPr>
        <w:ind w:left="6131" w:hanging="180"/>
      </w:pPr>
    </w:lvl>
  </w:abstractNum>
  <w:abstractNum w:abstractNumId="5">
    <w:nsid w:val="4DEE6969"/>
    <w:multiLevelType w:val="hybridMultilevel"/>
    <w:tmpl w:val="81040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4D802B5"/>
    <w:multiLevelType w:val="hybridMultilevel"/>
    <w:tmpl w:val="EBE6659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nsid w:val="76F318BA"/>
    <w:multiLevelType w:val="hybridMultilevel"/>
    <w:tmpl w:val="AA9EF744"/>
    <w:lvl w:ilvl="0" w:tplc="F2B6E188">
      <w:start w:val="1"/>
      <w:numFmt w:val="lowerLetter"/>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num w:numId="1">
    <w:abstractNumId w:val="5"/>
  </w:num>
  <w:num w:numId="2">
    <w:abstractNumId w:val="1"/>
  </w:num>
  <w:num w:numId="3">
    <w:abstractNumId w:val="0"/>
  </w:num>
  <w:num w:numId="4">
    <w:abstractNumId w:val="4"/>
  </w:num>
  <w:num w:numId="5">
    <w:abstractNumId w:val="3"/>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enforcement="1" w:cryptProviderType="rsaFull" w:cryptAlgorithmClass="hash" w:cryptAlgorithmType="typeAny" w:cryptAlgorithmSid="4" w:cryptSpinCount="50000" w:hash="AryhlM1HPedOFUoLtwpDFoIsFWI=" w:salt="0/vtnBBgnOZY0JSc2o2zL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B3C80"/>
    <w:rsid w:val="00092780"/>
    <w:rsid w:val="00464A36"/>
    <w:rsid w:val="004C7A60"/>
    <w:rsid w:val="005314B1"/>
    <w:rsid w:val="006228CB"/>
    <w:rsid w:val="006A3179"/>
    <w:rsid w:val="0078743B"/>
    <w:rsid w:val="009054FD"/>
    <w:rsid w:val="0095090D"/>
    <w:rsid w:val="009B468F"/>
    <w:rsid w:val="00CB3C80"/>
    <w:rsid w:val="00D1020F"/>
    <w:rsid w:val="00D24C25"/>
    <w:rsid w:val="00EF2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rPr>
  </w:style>
  <w:style w:type="paragraph" w:styleId="FootnoteText">
    <w:name w:val="footnote text"/>
    <w:basedOn w:val="Normal"/>
    <w:link w:val="FootnoteTextChar"/>
    <w:uiPriority w:val="99"/>
    <w:semiHidden/>
    <w:unhideWhenUsed/>
    <w:rsid w:val="00D10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0F"/>
    <w:rPr>
      <w:rFonts w:asciiTheme="majorBidi" w:eastAsiaTheme="minorEastAsia" w:hAnsiTheme="majorBidi"/>
      <w:kern w:val="2"/>
      <w:sz w:val="20"/>
      <w:szCs w:val="20"/>
      <w:lang w:val="en-ID" w:eastAsia="zh-CN"/>
    </w:rPr>
  </w:style>
  <w:style w:type="character" w:styleId="FootnoteReference">
    <w:name w:val="footnote reference"/>
    <w:basedOn w:val="DefaultParagraphFont"/>
    <w:uiPriority w:val="99"/>
    <w:semiHidden/>
    <w:unhideWhenUsed/>
    <w:rsid w:val="00D102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14:ligatures w14:val="standardContextual"/>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14:ligatures w14:val="standardContextual"/>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14:ligatures w14:val="standardContextual"/>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14:ligatures w14:val="standardContextual"/>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14:ligatures w14:val="none"/>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14:ligatures w14:val="standardContextual"/>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14:ligatures w14:val="standardContextual"/>
    </w:rPr>
  </w:style>
  <w:style w:type="paragraph" w:styleId="FootnoteText">
    <w:name w:val="footnote text"/>
    <w:basedOn w:val="Normal"/>
    <w:link w:val="FootnoteTextChar"/>
    <w:uiPriority w:val="99"/>
    <w:semiHidden/>
    <w:unhideWhenUsed/>
    <w:rsid w:val="00D10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0F"/>
    <w:rPr>
      <w:rFonts w:asciiTheme="majorBidi" w:eastAsiaTheme="minorEastAsia" w:hAnsiTheme="majorBidi"/>
      <w:kern w:val="2"/>
      <w:sz w:val="20"/>
      <w:szCs w:val="20"/>
      <w:lang w:val="en-ID" w:eastAsia="zh-CN"/>
      <w14:ligatures w14:val="standardContextual"/>
    </w:rPr>
  </w:style>
  <w:style w:type="character" w:styleId="FootnoteReference">
    <w:name w:val="footnote reference"/>
    <w:basedOn w:val="DefaultParagraphFont"/>
    <w:uiPriority w:val="99"/>
    <w:semiHidden/>
    <w:unhideWhenUsed/>
    <w:rsid w:val="00D1020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2025-12-04T02:20:00Z</dcterms:created>
  <dcterms:modified xsi:type="dcterms:W3CDTF">2025-12-04T02:20:00Z</dcterms:modified>
</cp:coreProperties>
</file>