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99" w:rsidRPr="00B7295E" w:rsidRDefault="00652199" w:rsidP="00652199">
      <w:pPr>
        <w:pStyle w:val="Heading1"/>
        <w:spacing w:before="0" w:line="360" w:lineRule="auto"/>
        <w:jc w:val="center"/>
        <w:rPr>
          <w:lang w:val="sv-SE"/>
        </w:rPr>
      </w:pPr>
      <w:bookmarkStart w:id="0" w:name="_Toc201299665"/>
      <w:r w:rsidRPr="00B7295E">
        <w:rPr>
          <w:lang w:val="sv-SE"/>
        </w:rPr>
        <w:t>BAB II</w:t>
      </w:r>
      <w:r w:rsidRPr="00B7295E">
        <w:rPr>
          <w:lang w:val="sv-SE"/>
        </w:rPr>
        <w:br/>
        <w:t>KAJIAN PUSTAKA</w:t>
      </w:r>
      <w:bookmarkEnd w:id="0"/>
    </w:p>
    <w:p w:rsidR="00652199" w:rsidRDefault="00652199" w:rsidP="00652199">
      <w:pPr>
        <w:pStyle w:val="Heading2"/>
        <w:numPr>
          <w:ilvl w:val="0"/>
          <w:numId w:val="15"/>
        </w:numPr>
        <w:spacing w:before="40" w:after="240" w:line="360" w:lineRule="auto"/>
        <w:ind w:left="0"/>
        <w:rPr>
          <w:lang w:val="sv-SE"/>
        </w:rPr>
      </w:pPr>
      <w:bookmarkStart w:id="1" w:name="_Toc201299666"/>
      <w:r>
        <w:rPr>
          <w:lang w:val="sv-SE"/>
        </w:rPr>
        <w:t>Pengertian dan Makna Penyelidikan</w:t>
      </w:r>
      <w:bookmarkEnd w:id="1"/>
    </w:p>
    <w:p w:rsidR="00652199" w:rsidRPr="002D62A6" w:rsidRDefault="00652199" w:rsidP="00652199">
      <w:pPr>
        <w:spacing w:after="0" w:line="360" w:lineRule="auto"/>
        <w:ind w:firstLine="426"/>
        <w:jc w:val="both"/>
        <w:rPr>
          <w:rFonts w:ascii="Times New Roman" w:hAnsi="Times New Roman"/>
          <w:lang w:val="sv-SE"/>
        </w:rPr>
      </w:pPr>
      <w:r w:rsidRPr="002D62A6">
        <w:rPr>
          <w:lang w:val="sv-SE"/>
        </w:rPr>
        <w:t>Dalam sistem hukum pidana di Indonesia, penyelidikan merupakan tahap awal dalam proses penegakan hukum yang sangat penting. Istilah "penyelidikan" secara yuridis diatur dalam Kitab Undang-Undang Hukum Acara Pidana (KUHAP) dan memiliki arti yang spesifik sesuai dengan fungsinya dalam sistem peradilan pidana.</w:t>
      </w:r>
    </w:p>
    <w:p w:rsidR="00652199" w:rsidRPr="002D62A6" w:rsidRDefault="00652199" w:rsidP="00652199">
      <w:pPr>
        <w:spacing w:after="0" w:line="360" w:lineRule="auto"/>
        <w:ind w:firstLine="426"/>
        <w:jc w:val="both"/>
        <w:rPr>
          <w:lang w:val="sv-SE"/>
        </w:rPr>
      </w:pPr>
      <w:r w:rsidRPr="002D62A6">
        <w:rPr>
          <w:lang w:val="sv-SE"/>
        </w:rPr>
        <w:t>Menurut Pasal 1 angka 5 KUHAP, penyelidikan adalah serangkaian tindakan yang dilakukan oleh penyelidik untuk mencari dan menemukan suatu peristiwa yang diduga sebagai tindak pidana guna menentukan dapat atau tidaknya dilakukan penyidikan terhadap peristiwa tersebut</w:t>
      </w:r>
      <w:r>
        <w:rPr>
          <w:rStyle w:val="FootnoteReference"/>
          <w:lang w:val="sv-SE"/>
        </w:rPr>
        <w:footnoteReference w:id="2"/>
      </w:r>
      <w:r w:rsidRPr="002D62A6">
        <w:rPr>
          <w:lang w:val="sv-SE"/>
        </w:rPr>
        <w:t>. Dengan demikian, penyelidikan bertujuan untuk memastikan apakah suatu kejadian benar-benar mengandung unsur pidana sehingga dapat ditindaklanjuti ke tahap penyidikan.</w:t>
      </w:r>
    </w:p>
    <w:p w:rsidR="00652199" w:rsidRPr="002D62A6" w:rsidRDefault="00652199" w:rsidP="00652199">
      <w:pPr>
        <w:spacing w:after="0" w:line="360" w:lineRule="auto"/>
        <w:ind w:firstLine="426"/>
        <w:jc w:val="both"/>
        <w:rPr>
          <w:lang w:val="sv-SE"/>
        </w:rPr>
      </w:pPr>
      <w:r w:rsidRPr="002D62A6">
        <w:rPr>
          <w:lang w:val="sv-SE"/>
        </w:rPr>
        <w:t>Penyelidikan juga dapat dipahami sebagai proses pencarian awal terhadap kebenaran dari suatu informasi atau laporan masyarakat yang mengindikasikan adanya pelanggaran hukum. Menurut M. Yahya Harahap, penyelidikan adalah proses pengumpulan informasi awal oleh aparat penegak hukum untuk menguji apakah terdapat cukup bukti atau indikasi awal bahwa telah terjadi tindak pidana</w:t>
      </w:r>
      <w:r>
        <w:rPr>
          <w:rStyle w:val="FootnoteReference"/>
          <w:lang w:val="sv-SE"/>
        </w:rPr>
        <w:footnoteReference w:id="3"/>
      </w:r>
      <w:r w:rsidRPr="002D62A6">
        <w:rPr>
          <w:lang w:val="sv-SE"/>
        </w:rPr>
        <w:t>. Tahapan ini bersifat mendasar karena akan menentukan arah dan kelanjutan proses hukum terhadap suatu perkara.</w:t>
      </w:r>
    </w:p>
    <w:p w:rsidR="00652199" w:rsidRPr="002D62A6" w:rsidRDefault="00652199" w:rsidP="00652199">
      <w:pPr>
        <w:spacing w:after="0" w:line="360" w:lineRule="auto"/>
        <w:ind w:firstLine="426"/>
        <w:jc w:val="both"/>
        <w:rPr>
          <w:lang w:val="sv-SE"/>
        </w:rPr>
      </w:pPr>
      <w:r w:rsidRPr="002D62A6">
        <w:rPr>
          <w:lang w:val="sv-SE"/>
        </w:rPr>
        <w:t xml:space="preserve">Dalam praktiknya, penyelidik dapat melakukan berbagai tindakan dalam tahap penyelidikan, seperti permintaan keterangan, pengamatan, atau pengumpulan data awal yang relevan. Tindakan-tindakan ini bertujuan untuk menggali informasi yang cukup agar dapat ditentukan apakah telah terjadi suatu tindak pidana. Meskipun demikian, kewenangan penyelidik masih terbatas. Pada tahap ini, aparat penegak hukum belum memiliki hak untuk melakukan tindakan </w:t>
      </w:r>
      <w:r w:rsidRPr="002D62A6">
        <w:rPr>
          <w:lang w:val="sv-SE"/>
        </w:rPr>
        <w:lastRenderedPageBreak/>
        <w:t>paksa seperti penangkapan, penggeledahan, atau penyitaan sebagaimana dimiliki oleh penyidik dalam tahap penyidikan</w:t>
      </w:r>
      <w:r>
        <w:rPr>
          <w:rStyle w:val="FootnoteReference"/>
          <w:lang w:val="sv-SE"/>
        </w:rPr>
        <w:footnoteReference w:id="4"/>
      </w:r>
      <w:r w:rsidRPr="002D62A6">
        <w:rPr>
          <w:lang w:val="sv-SE"/>
        </w:rPr>
        <w:t>.</w:t>
      </w:r>
    </w:p>
    <w:p w:rsidR="00652199" w:rsidRPr="002D62A6" w:rsidRDefault="00652199" w:rsidP="00652199">
      <w:pPr>
        <w:spacing w:after="0" w:line="360" w:lineRule="auto"/>
        <w:ind w:firstLine="426"/>
        <w:jc w:val="both"/>
        <w:rPr>
          <w:lang w:val="sv-SE"/>
        </w:rPr>
      </w:pPr>
      <w:r w:rsidRPr="002D62A6">
        <w:rPr>
          <w:lang w:val="sv-SE"/>
        </w:rPr>
        <w:t>Berdasarkan Peraturan Kapolri Nomor 6 Tahun 2019 tentang Penyidikan Tindak Pidana, penyelidikan dapat dilakukan melalui upaya klarifikasi terhadap pihak-pihak yang terkait, pemeriksaan tempat kejadian perkara secara terbatas, serta pengumpulan bahan keterangan lainnya yang relevan</w:t>
      </w:r>
      <w:r>
        <w:rPr>
          <w:rStyle w:val="FootnoteReference"/>
          <w:lang w:val="sv-SE"/>
        </w:rPr>
        <w:footnoteReference w:id="5"/>
      </w:r>
      <w:r w:rsidRPr="002D62A6">
        <w:rPr>
          <w:lang w:val="sv-SE"/>
        </w:rPr>
        <w:t>. Oleh karena itu, penyelidikan bersifat sebagai sarana deteksi awal yang menentukan arah dan intensitas proses hukum selanjutnya.</w:t>
      </w:r>
    </w:p>
    <w:p w:rsidR="00652199" w:rsidRPr="002D62A6" w:rsidRDefault="00652199" w:rsidP="00652199">
      <w:pPr>
        <w:spacing w:after="0" w:line="360" w:lineRule="auto"/>
        <w:ind w:firstLine="426"/>
        <w:jc w:val="both"/>
        <w:rPr>
          <w:lang w:val="sv-SE"/>
        </w:rPr>
      </w:pPr>
      <w:r w:rsidRPr="002D62A6">
        <w:rPr>
          <w:lang w:val="sv-SE"/>
        </w:rPr>
        <w:t>Secara konseptual, makna penyelidikan mencakup dua aspek utama, yaitu aspek preventif dan aspek persiapan. Dari sisi preventif, penyelidikan memungkinkan aparat penegak hukum untuk lebih cermat dalam menilai suatu laporan masyarakat agar tidak semua aduan langsung masuk ke tahap penyidikan. Hal ini penting untuk mencegah kesalahan penanganan perkara yang tidak memiliki dasar hukum atau cukup bukti. Dari sisi persiapan, penyelidikan merupakan tahap strategis untuk menyusun dasar hukum dan teknis yang kuat sebelum penyidikan dilakukan, guna memastikan proses hukum berjalan secara efektif dan efisien</w:t>
      </w:r>
      <w:r>
        <w:rPr>
          <w:rStyle w:val="FootnoteReference"/>
          <w:lang w:val="sv-SE"/>
        </w:rPr>
        <w:footnoteReference w:id="6"/>
      </w:r>
      <w:r w:rsidRPr="002D62A6">
        <w:rPr>
          <w:lang w:val="sv-SE"/>
        </w:rPr>
        <w:t>.</w:t>
      </w:r>
    </w:p>
    <w:p w:rsidR="00652199" w:rsidRPr="002D62A6" w:rsidRDefault="00652199" w:rsidP="00652199">
      <w:pPr>
        <w:spacing w:after="0" w:line="360" w:lineRule="auto"/>
        <w:ind w:firstLine="426"/>
        <w:jc w:val="both"/>
        <w:rPr>
          <w:lang w:val="sv-SE"/>
        </w:rPr>
      </w:pPr>
      <w:r w:rsidRPr="002D62A6">
        <w:rPr>
          <w:lang w:val="sv-SE"/>
        </w:rPr>
        <w:t>Selain itu, dalam konteks penegakan hukum modern, penyelidikan juga dapat menjadi indikator profesionalisme aparat penegak hukum dalam memilah dan menganalisis informasi secara objektif dan terukur. Penyalahgunaan wewenang dalam penyelidikan dapat berdampak pada pelanggaran hak asasi manusia dan menurunnya kepercayaan publik terhadap institusi penegak hukum</w:t>
      </w:r>
      <w:r>
        <w:rPr>
          <w:rStyle w:val="FootnoteReference"/>
          <w:lang w:val="sv-SE"/>
        </w:rPr>
        <w:footnoteReference w:id="7"/>
      </w:r>
      <w:r w:rsidRPr="002D62A6">
        <w:rPr>
          <w:lang w:val="sv-SE"/>
        </w:rPr>
        <w:t>.</w:t>
      </w:r>
    </w:p>
    <w:p w:rsidR="00652199" w:rsidRPr="002D62A6" w:rsidRDefault="00652199" w:rsidP="00652199">
      <w:pPr>
        <w:spacing w:after="0" w:line="360" w:lineRule="auto"/>
        <w:ind w:firstLine="426"/>
        <w:jc w:val="both"/>
        <w:rPr>
          <w:lang w:val="sv-SE"/>
        </w:rPr>
      </w:pPr>
      <w:r w:rsidRPr="002D62A6">
        <w:rPr>
          <w:lang w:val="sv-SE"/>
        </w:rPr>
        <w:t xml:space="preserve">Secara konseptual, makna penyelidikan mencakup dua aspek utama, yaitu aspek preventif dan aspek persiapan. Dari sisi preventif, penyelidikan memungkinkan aparat penegak hukum untuk lebih cermat dalam menilai suatu laporan masyarakat agar tidak semua aduan langsung masuk ke tahap penyidikan. </w:t>
      </w:r>
      <w:r w:rsidRPr="002D62A6">
        <w:rPr>
          <w:lang w:val="sv-SE"/>
        </w:rPr>
        <w:lastRenderedPageBreak/>
        <w:t>Dari sisi persiapan, penyelidikan merupakan tahap strategis untuk menyusun dasar hukum dan teknis yang kuat sebelum penyidikan dilakukan.</w:t>
      </w:r>
    </w:p>
    <w:p w:rsidR="00652199" w:rsidRPr="00B03B45" w:rsidRDefault="00652199" w:rsidP="00652199">
      <w:pPr>
        <w:pStyle w:val="Heading2"/>
        <w:numPr>
          <w:ilvl w:val="0"/>
          <w:numId w:val="15"/>
        </w:numPr>
        <w:spacing w:before="0" w:after="240" w:line="360" w:lineRule="auto"/>
        <w:ind w:left="0"/>
        <w:rPr>
          <w:lang w:val="id-ID"/>
        </w:rPr>
      </w:pPr>
      <w:bookmarkStart w:id="2" w:name="_Toc201299667"/>
      <w:r>
        <w:rPr>
          <w:lang w:val="id-ID"/>
        </w:rPr>
        <w:t>Ruang Lingkup dan Pengertian Hukum Pidana</w:t>
      </w:r>
      <w:bookmarkEnd w:id="2"/>
    </w:p>
    <w:p w:rsidR="00652199" w:rsidRDefault="00652199" w:rsidP="00652199">
      <w:pPr>
        <w:pStyle w:val="Heading3"/>
        <w:numPr>
          <w:ilvl w:val="1"/>
          <w:numId w:val="11"/>
        </w:numPr>
        <w:spacing w:before="0" w:after="80" w:line="360" w:lineRule="auto"/>
        <w:ind w:left="284" w:hanging="284"/>
        <w:rPr>
          <w:lang w:val="id-ID" w:eastAsia="en-US"/>
        </w:rPr>
      </w:pPr>
      <w:bookmarkStart w:id="3" w:name="_Toc201299668"/>
      <w:r>
        <w:rPr>
          <w:lang w:val="id-ID" w:eastAsia="en-US"/>
        </w:rPr>
        <w:t>Pengertian Hukum Pidana</w:t>
      </w:r>
      <w:bookmarkEnd w:id="3"/>
    </w:p>
    <w:p w:rsidR="00652199" w:rsidRPr="0032165E" w:rsidRDefault="00652199" w:rsidP="00652199">
      <w:pPr>
        <w:pStyle w:val="NormalWeb"/>
        <w:spacing w:before="0" w:beforeAutospacing="0" w:after="0" w:afterAutospacing="0" w:line="360" w:lineRule="auto"/>
        <w:ind w:left="284" w:firstLine="436"/>
        <w:jc w:val="both"/>
        <w:rPr>
          <w:lang w:val="sv-SE"/>
        </w:rPr>
      </w:pPr>
      <w:r w:rsidRPr="0079355C">
        <w:rPr>
          <w:lang w:val="id-ID"/>
        </w:rPr>
        <w:t>Hukum pidana adalah salah satu cabang dari hukum publik yang mengatur tentang perbuatan-perbuatan yang dilarang oleh undang-undang karena dianggap merugikan masyarakat, serta menentukan sanksi pidana bagi siapa saja yang melanggar larangan tersebut</w:t>
      </w:r>
      <w:r>
        <w:rPr>
          <w:lang w:val="id-ID"/>
        </w:rPr>
        <w:t>.</w:t>
      </w:r>
      <w:r>
        <w:rPr>
          <w:rStyle w:val="FootnoteReference"/>
          <w:lang w:val="id-ID"/>
        </w:rPr>
        <w:footnoteReference w:id="8"/>
      </w:r>
      <w:r w:rsidRPr="0079355C">
        <w:rPr>
          <w:lang w:val="sv-SE"/>
        </w:rPr>
        <w:t>Hukum pidana bersifat memaksa karena pelaksanaannya dijamin oleh negara, dan pelanggaran terhadap hukum ini dapat dikenai sanksi berupa pidana seperti penjara, denda, kurungan, atau bahkan pidana mati dalam kasus-kasus tertentu</w:t>
      </w:r>
      <w:r>
        <w:rPr>
          <w:lang w:val="sv-SE"/>
        </w:rPr>
        <w:t>.</w:t>
      </w:r>
      <w:r>
        <w:rPr>
          <w:rStyle w:val="FootnoteReference"/>
          <w:lang w:val="sv-SE"/>
        </w:rPr>
        <w:footnoteReference w:id="9"/>
      </w:r>
      <w:r w:rsidRPr="0032165E">
        <w:rPr>
          <w:lang w:val="sv-SE"/>
        </w:rPr>
        <w:t>Hukum pidana merupakan bagian dari hukum publik yang mengatur tentang perbuatan yang dilarang oleh undang-undang dan diancam dengan pidana sebagai upaya perlindungan terhadap kepentingan masyarakat. Menurut Halimatul Maryani, hukum pidana tidak hanya bersifat represif, tetapi juga memiliki fungsi preventif untuk menciptakan ketertiban sosial dan menanamkan nilai keadilan dalam masyarakat.</w:t>
      </w:r>
      <w:r>
        <w:rPr>
          <w:rStyle w:val="FootnoteReference"/>
          <w:lang w:val="sv-SE"/>
        </w:rPr>
        <w:footnoteReference w:id="10"/>
      </w:r>
    </w:p>
    <w:p w:rsidR="00652199" w:rsidRDefault="00652199" w:rsidP="00652199">
      <w:pPr>
        <w:pStyle w:val="NormalWeb"/>
        <w:spacing w:before="0" w:beforeAutospacing="0" w:after="0" w:afterAutospacing="0" w:line="360" w:lineRule="auto"/>
        <w:ind w:left="284" w:firstLine="436"/>
        <w:jc w:val="both"/>
        <w:rPr>
          <w:lang w:val="sv-SE"/>
        </w:rPr>
      </w:pPr>
      <w:r w:rsidRPr="0079355C">
        <w:rPr>
          <w:lang w:val="sv-SE"/>
        </w:rPr>
        <w:t>Tujuan utama dari hukum pidana adalah untuk melindungi kepentingan hukum masyarakat, menjaga ketertiban dan keamanan umum, serta menanamkan rasa keadilan. Selain itu, hukum pidana juga bertujuan untuk memberikan efek jera (deterrent effect) kepada pelaku kejahatan agar tidak mengulangi perbuatannya (prevensi khusus), sekaligus mencegah orang lain untuk melakukan kejahatan serupa (prevensi umum)</w:t>
      </w:r>
      <w:r>
        <w:rPr>
          <w:lang w:val="sv-SE"/>
        </w:rPr>
        <w:t>.</w:t>
      </w:r>
      <w:r>
        <w:rPr>
          <w:rStyle w:val="FootnoteReference"/>
          <w:lang w:val="sv-SE"/>
        </w:rPr>
        <w:footnoteReference w:id="11"/>
      </w:r>
      <w:r w:rsidRPr="0079355C">
        <w:rPr>
          <w:lang w:val="sv-SE"/>
        </w:rPr>
        <w:t xml:space="preserve"> Dalam konteks ini, hukum pidana berfungsi sebagai sarana kontrol sosial (</w:t>
      </w:r>
      <w:r w:rsidRPr="0079355C">
        <w:rPr>
          <w:rStyle w:val="Emphasis"/>
          <w:rFonts w:eastAsiaTheme="majorEastAsia"/>
          <w:lang w:val="sv-SE"/>
        </w:rPr>
        <w:t>social control</w:t>
      </w:r>
      <w:r w:rsidRPr="0079355C">
        <w:rPr>
          <w:lang w:val="sv-SE"/>
        </w:rPr>
        <w:t xml:space="preserve">) yang </w:t>
      </w:r>
      <w:r w:rsidRPr="0079355C">
        <w:rPr>
          <w:lang w:val="sv-SE"/>
        </w:rPr>
        <w:lastRenderedPageBreak/>
        <w:t>digunakan oleh negara untuk menanggulangi dan menindak perbuatan-perbuatan yang membahayakan nilai-nilai fundamental dalam masyarakat</w:t>
      </w:r>
      <w:r>
        <w:rPr>
          <w:lang w:val="sv-SE"/>
        </w:rPr>
        <w:t>.</w:t>
      </w:r>
      <w:r>
        <w:rPr>
          <w:rStyle w:val="FootnoteReference"/>
          <w:lang w:val="sv-SE"/>
        </w:rPr>
        <w:footnoteReference w:id="12"/>
      </w:r>
    </w:p>
    <w:p w:rsidR="00652199" w:rsidRPr="0032165E" w:rsidRDefault="00652199" w:rsidP="00652199">
      <w:pPr>
        <w:pStyle w:val="NormalWeb"/>
        <w:spacing w:before="0" w:beforeAutospacing="0" w:after="0" w:afterAutospacing="0" w:line="360" w:lineRule="auto"/>
        <w:ind w:left="284" w:firstLine="436"/>
        <w:jc w:val="both"/>
        <w:rPr>
          <w:lang w:val="sv-SE"/>
        </w:rPr>
      </w:pPr>
      <w:r w:rsidRPr="0032165E">
        <w:rPr>
          <w:lang w:val="sv-SE"/>
        </w:rPr>
        <w:t>Sebagaimana dikemukakan oleh Halimatul Maryani, hukum pidana tidak hanya berfungsi sebagai alat represif dalam menindak pelaku kejahatan, tetapi juga sebagai instrumen preventif dan edukatif dalam membentuk kesadaran hukum masyarakat secara menyeluruh</w:t>
      </w:r>
      <w:r>
        <w:rPr>
          <w:lang w:val="sv-SE"/>
        </w:rPr>
        <w:t>.</w:t>
      </w:r>
      <w:r>
        <w:rPr>
          <w:rStyle w:val="FootnoteReference"/>
          <w:lang w:val="sv-SE"/>
        </w:rPr>
        <w:footnoteReference w:id="13"/>
      </w:r>
    </w:p>
    <w:p w:rsidR="00652199" w:rsidRPr="0079355C" w:rsidRDefault="00652199" w:rsidP="00652199">
      <w:pPr>
        <w:pStyle w:val="NormalWeb"/>
        <w:spacing w:before="0" w:beforeAutospacing="0" w:after="0" w:afterAutospacing="0" w:line="360" w:lineRule="auto"/>
        <w:ind w:left="284" w:firstLine="436"/>
        <w:jc w:val="both"/>
        <w:rPr>
          <w:lang w:val="sv-SE"/>
        </w:rPr>
      </w:pPr>
      <w:r w:rsidRPr="0079355C">
        <w:rPr>
          <w:lang w:val="sv-SE"/>
        </w:rPr>
        <w:t>Secara umum, hukum pidana dapat dipahami sebagai keseluruhan norma hukum yang menentukan perbuatan apa yang tidak boleh dilakukan dan diancam dengan sanksi pidana, siapa yang dapat dimintai pertanggungjawaban pidana, serta bagaimana proses penegakan hukumnya dijalankan. Menurut Soesilo, hukum pidana merupakan kumpulan peraturan yang menentukan perbuatan-perbuatan mana yang dilarang dan diancam dengan hukuman, serta mengatur syarat-syarat untuk menjatuhkan pidana terhadap pelanggarnya</w:t>
      </w:r>
      <w:r>
        <w:rPr>
          <w:lang w:val="sv-SE"/>
        </w:rPr>
        <w:t>.</w:t>
      </w:r>
      <w:r>
        <w:rPr>
          <w:rStyle w:val="FootnoteReference"/>
          <w:lang w:val="sv-SE"/>
        </w:rPr>
        <w:footnoteReference w:id="14"/>
      </w:r>
    </w:p>
    <w:p w:rsidR="00652199" w:rsidRPr="0079355C" w:rsidRDefault="00652199" w:rsidP="00652199">
      <w:pPr>
        <w:pStyle w:val="NormalWeb"/>
        <w:spacing w:before="0" w:beforeAutospacing="0" w:after="0" w:afterAutospacing="0" w:line="360" w:lineRule="auto"/>
        <w:ind w:left="284" w:firstLine="436"/>
        <w:jc w:val="both"/>
        <w:rPr>
          <w:lang w:val="sv-SE"/>
        </w:rPr>
      </w:pPr>
      <w:r w:rsidRPr="0079355C">
        <w:rPr>
          <w:lang w:val="sv-SE"/>
        </w:rPr>
        <w:t>Hukum pidana secara struktural dibagi menjadi dua bagian utama, yakni hukum pidana materiil dan hukum pidana formil. Hukum pidana materiil memuat ketentuan tentang jenis-jenis perbuatan pidana dan sanksinya, seperti yang diatur dalam Kitab Undang-Undang Hukum Pidana (KUHP). Sementara itu, hukum pidana formil atau hukum acara pidana mengatur prosedur pelaksanaan penegakan hukum terhadap pelanggaran tersebut, mulai dari penyelidikan, penyidikan, penuntutan, hingga pelaksanaan putusan pengadilan</w:t>
      </w:r>
      <w:r>
        <w:rPr>
          <w:lang w:val="sv-SE"/>
        </w:rPr>
        <w:t>.</w:t>
      </w:r>
      <w:r>
        <w:rPr>
          <w:rStyle w:val="FootnoteReference"/>
          <w:lang w:val="sv-SE"/>
        </w:rPr>
        <w:footnoteReference w:id="15"/>
      </w:r>
    </w:p>
    <w:p w:rsidR="00652199" w:rsidRPr="0079355C" w:rsidRDefault="00652199" w:rsidP="00652199">
      <w:pPr>
        <w:pStyle w:val="NormalWeb"/>
        <w:spacing w:before="0" w:beforeAutospacing="0" w:after="0" w:afterAutospacing="0" w:line="360" w:lineRule="auto"/>
        <w:ind w:left="284" w:firstLine="436"/>
        <w:jc w:val="both"/>
        <w:rPr>
          <w:lang w:val="sv-SE"/>
        </w:rPr>
      </w:pPr>
      <w:r w:rsidRPr="0079355C">
        <w:rPr>
          <w:lang w:val="sv-SE"/>
        </w:rPr>
        <w:t xml:space="preserve">Selain itu, hukum pidana juga dibedakan menjadi hukum pidana umum dan hukum pidana khusus. Hukum pidana umum berlaku bagi seluruh warga negara dan mencakup tindak pidana secara umum, sedangkan hukum pidana khusus mengatur tindak pidana tertentu yang memiliki karakteristik khusus </w:t>
      </w:r>
      <w:r w:rsidRPr="0079355C">
        <w:rPr>
          <w:lang w:val="sv-SE"/>
        </w:rPr>
        <w:lastRenderedPageBreak/>
        <w:t>seperti tindak pidana korupsi, terorisme, atau narkotika, dan sering kali diatur dalam undang-undang di luar KUHP</w:t>
      </w:r>
      <w:r>
        <w:rPr>
          <w:lang w:val="sv-SE"/>
        </w:rPr>
        <w:t>.</w:t>
      </w:r>
      <w:r>
        <w:rPr>
          <w:rStyle w:val="FootnoteReference"/>
          <w:lang w:val="sv-SE"/>
        </w:rPr>
        <w:footnoteReference w:id="16"/>
      </w:r>
    </w:p>
    <w:p w:rsidR="00652199" w:rsidRPr="0079355C" w:rsidRDefault="00652199" w:rsidP="00652199">
      <w:pPr>
        <w:pStyle w:val="NormalWeb"/>
        <w:spacing w:before="0" w:beforeAutospacing="0" w:after="0" w:afterAutospacing="0" w:line="360" w:lineRule="auto"/>
        <w:ind w:left="284" w:firstLine="436"/>
        <w:jc w:val="both"/>
        <w:rPr>
          <w:lang w:val="sv-SE"/>
        </w:rPr>
      </w:pPr>
      <w:r w:rsidRPr="0079355C">
        <w:rPr>
          <w:lang w:val="sv-SE"/>
        </w:rPr>
        <w:t>Ruang lingkup hukum pidana tidak hanya bersifat represif, tetapi juga preventif. Ia berperan mencegah terjadinya kejahatan melalui pemberlakuan norma dan ancaman sanksi yang tegas, serta memberikan rasa aman bagi masyarakat melalui sistem keadilan yang dapat dipercaya</w:t>
      </w:r>
      <w:r>
        <w:rPr>
          <w:lang w:val="sv-SE"/>
        </w:rPr>
        <w:t>.</w:t>
      </w:r>
      <w:r>
        <w:rPr>
          <w:rStyle w:val="FootnoteReference"/>
          <w:lang w:val="sv-SE"/>
        </w:rPr>
        <w:footnoteReference w:id="17"/>
      </w:r>
      <w:r w:rsidRPr="0079355C">
        <w:rPr>
          <w:lang w:val="sv-SE"/>
        </w:rPr>
        <w:t xml:space="preserve"> Dengan demikian, hukum pidana tidak hanya menjadi alat penindakan, tetapi juga instrumen rekayasa sosial yang berfungsi menjaga nilai-nilai keadilan dan moralitas dalam masyarakat</w:t>
      </w:r>
      <w:r>
        <w:rPr>
          <w:lang w:val="sv-SE"/>
        </w:rPr>
        <w:t>.</w:t>
      </w:r>
    </w:p>
    <w:p w:rsidR="00652199" w:rsidRPr="00C14622" w:rsidRDefault="00652199" w:rsidP="00652199">
      <w:pPr>
        <w:pStyle w:val="Heading3"/>
        <w:numPr>
          <w:ilvl w:val="1"/>
          <w:numId w:val="11"/>
        </w:numPr>
        <w:spacing w:before="0" w:after="80" w:line="360" w:lineRule="auto"/>
        <w:ind w:left="284" w:hanging="284"/>
        <w:rPr>
          <w:lang w:val="id-ID"/>
        </w:rPr>
      </w:pPr>
      <w:bookmarkStart w:id="4" w:name="_Toc201299669"/>
      <w:r>
        <w:rPr>
          <w:lang w:val="id-ID"/>
        </w:rPr>
        <w:t>Jenis – jenis Hukum Pidana</w:t>
      </w:r>
      <w:bookmarkEnd w:id="4"/>
    </w:p>
    <w:p w:rsidR="00652199" w:rsidRPr="00B6722D" w:rsidRDefault="00652199" w:rsidP="00652199">
      <w:pPr>
        <w:spacing w:after="0" w:line="360" w:lineRule="auto"/>
        <w:ind w:left="284"/>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kern w:val="0"/>
          <w:lang w:val="sv-SE" w:eastAsia="en-US"/>
        </w:rPr>
        <w:t>Hukum pidana dapat dibagi menjadi beberapa jenis berdasarkan kriteria tertentu:</w:t>
      </w:r>
    </w:p>
    <w:p w:rsidR="00652199" w:rsidRPr="00C14622" w:rsidRDefault="00652199" w:rsidP="00652199">
      <w:pPr>
        <w:numPr>
          <w:ilvl w:val="0"/>
          <w:numId w:val="12"/>
        </w:numPr>
        <w:spacing w:after="0" w:line="360" w:lineRule="auto"/>
        <w:jc w:val="both"/>
        <w:rPr>
          <w:rFonts w:ascii="Times New Roman" w:eastAsia="Times New Roman" w:hAnsi="Times New Roman" w:cs="Times New Roman"/>
          <w:kern w:val="0"/>
          <w:lang w:val="en-US" w:eastAsia="en-US"/>
        </w:rPr>
      </w:pPr>
      <w:r w:rsidRPr="00C14622">
        <w:rPr>
          <w:rFonts w:ascii="Times New Roman" w:eastAsia="Times New Roman" w:hAnsi="Times New Roman" w:cs="Times New Roman"/>
          <w:kern w:val="0"/>
          <w:lang w:val="en-US" w:eastAsia="en-US"/>
        </w:rPr>
        <w:t>Berdasarkan Sumbernya:</w:t>
      </w:r>
    </w:p>
    <w:p w:rsidR="00652199" w:rsidRPr="00B6722D" w:rsidRDefault="00652199" w:rsidP="00652199">
      <w:pPr>
        <w:numPr>
          <w:ilvl w:val="1"/>
          <w:numId w:val="12"/>
        </w:numPr>
        <w:tabs>
          <w:tab w:val="clear" w:pos="1440"/>
          <w:tab w:val="num" w:pos="1701"/>
        </w:tabs>
        <w:spacing w:after="0" w:line="360" w:lineRule="auto"/>
        <w:ind w:left="1134"/>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i/>
          <w:iCs/>
          <w:kern w:val="0"/>
          <w:lang w:val="sv-SE" w:eastAsia="en-US"/>
        </w:rPr>
        <w:t>Hukum Pidana Materiil:</w:t>
      </w:r>
      <w:r w:rsidRPr="00B6722D">
        <w:rPr>
          <w:rFonts w:ascii="Times New Roman" w:eastAsia="Times New Roman" w:hAnsi="Times New Roman" w:cs="Times New Roman"/>
          <w:kern w:val="0"/>
          <w:lang w:val="sv-SE" w:eastAsia="en-US"/>
        </w:rPr>
        <w:t xml:space="preserve"> Mengatur tentang perbuatan yang dianggap sebagai tindak pidana dan sanksi yang dikenakan.</w:t>
      </w:r>
    </w:p>
    <w:p w:rsidR="00652199" w:rsidRPr="00B6722D" w:rsidRDefault="00652199" w:rsidP="00652199">
      <w:pPr>
        <w:numPr>
          <w:ilvl w:val="1"/>
          <w:numId w:val="12"/>
        </w:numPr>
        <w:tabs>
          <w:tab w:val="clear" w:pos="1440"/>
          <w:tab w:val="num" w:pos="1701"/>
        </w:tabs>
        <w:spacing w:after="0" w:line="360" w:lineRule="auto"/>
        <w:ind w:left="1134"/>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i/>
          <w:iCs/>
          <w:kern w:val="0"/>
          <w:lang w:val="sv-SE" w:eastAsia="en-US"/>
        </w:rPr>
        <w:t>Hukum Pidana Formil:</w:t>
      </w:r>
      <w:r w:rsidRPr="00B6722D">
        <w:rPr>
          <w:rFonts w:ascii="Times New Roman" w:eastAsia="Times New Roman" w:hAnsi="Times New Roman" w:cs="Times New Roman"/>
          <w:kern w:val="0"/>
          <w:lang w:val="sv-SE" w:eastAsia="en-US"/>
        </w:rPr>
        <w:t xml:space="preserve"> Mengatur tentang prosedur penegakan hukum pidana, termasuk penyidikan, penuntutan, dan peradilan.</w:t>
      </w:r>
    </w:p>
    <w:p w:rsidR="00652199" w:rsidRPr="00C14622" w:rsidRDefault="00652199" w:rsidP="00652199">
      <w:pPr>
        <w:numPr>
          <w:ilvl w:val="0"/>
          <w:numId w:val="12"/>
        </w:numPr>
        <w:spacing w:after="0" w:line="360" w:lineRule="auto"/>
        <w:jc w:val="both"/>
        <w:rPr>
          <w:rFonts w:ascii="Times New Roman" w:eastAsia="Times New Roman" w:hAnsi="Times New Roman" w:cs="Times New Roman"/>
          <w:kern w:val="0"/>
          <w:lang w:val="en-US" w:eastAsia="en-US"/>
        </w:rPr>
      </w:pPr>
      <w:r w:rsidRPr="00C14622">
        <w:rPr>
          <w:rFonts w:ascii="Times New Roman" w:eastAsia="Times New Roman" w:hAnsi="Times New Roman" w:cs="Times New Roman"/>
          <w:kern w:val="0"/>
          <w:lang w:val="en-US" w:eastAsia="en-US"/>
        </w:rPr>
        <w:t>Berdasarkan Sifatnya:</w:t>
      </w:r>
    </w:p>
    <w:p w:rsidR="00652199" w:rsidRPr="00B6722D" w:rsidRDefault="00652199" w:rsidP="00652199">
      <w:pPr>
        <w:numPr>
          <w:ilvl w:val="1"/>
          <w:numId w:val="12"/>
        </w:numPr>
        <w:tabs>
          <w:tab w:val="clear" w:pos="1440"/>
          <w:tab w:val="num" w:pos="1701"/>
        </w:tabs>
        <w:spacing w:after="0" w:line="360" w:lineRule="auto"/>
        <w:ind w:left="1134"/>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i/>
          <w:iCs/>
          <w:kern w:val="0"/>
          <w:lang w:val="sv-SE" w:eastAsia="en-US"/>
        </w:rPr>
        <w:t>Hukum Pidana Umum:</w:t>
      </w:r>
      <w:r w:rsidRPr="00B6722D">
        <w:rPr>
          <w:rFonts w:ascii="Times New Roman" w:eastAsia="Times New Roman" w:hAnsi="Times New Roman" w:cs="Times New Roman"/>
          <w:kern w:val="0"/>
          <w:lang w:val="sv-SE" w:eastAsia="en-US"/>
        </w:rPr>
        <w:t xml:space="preserve"> Berlaku untuk semua orang dan mencakup tindak pidana umum seperti pencurian, pembunuhan, dan penipuan.</w:t>
      </w:r>
    </w:p>
    <w:p w:rsidR="00652199" w:rsidRPr="00B6722D" w:rsidRDefault="00652199" w:rsidP="00652199">
      <w:pPr>
        <w:numPr>
          <w:ilvl w:val="1"/>
          <w:numId w:val="12"/>
        </w:numPr>
        <w:tabs>
          <w:tab w:val="clear" w:pos="1440"/>
          <w:tab w:val="num" w:pos="1701"/>
        </w:tabs>
        <w:spacing w:line="360" w:lineRule="auto"/>
        <w:ind w:left="1134"/>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i/>
          <w:iCs/>
          <w:kern w:val="0"/>
          <w:lang w:val="sv-SE" w:eastAsia="en-US"/>
        </w:rPr>
        <w:t>Hukum Pidana Khusus:</w:t>
      </w:r>
      <w:r w:rsidRPr="00B6722D">
        <w:rPr>
          <w:rFonts w:ascii="Times New Roman" w:eastAsia="Times New Roman" w:hAnsi="Times New Roman" w:cs="Times New Roman"/>
          <w:kern w:val="0"/>
          <w:lang w:val="sv-SE" w:eastAsia="en-US"/>
        </w:rPr>
        <w:t xml:space="preserve"> Mengatur tindak pidana tertentu yang memerlukan penanganan khusus, seperti tindak pidana korupsi, narkotika, dan terorisme.</w:t>
      </w:r>
    </w:p>
    <w:p w:rsidR="00652199" w:rsidRPr="00456B22" w:rsidRDefault="00652199" w:rsidP="00652199">
      <w:pPr>
        <w:pStyle w:val="Heading2"/>
        <w:numPr>
          <w:ilvl w:val="0"/>
          <w:numId w:val="15"/>
        </w:numPr>
        <w:spacing w:before="0" w:after="240" w:line="360" w:lineRule="auto"/>
        <w:ind w:left="0"/>
        <w:rPr>
          <w:lang w:val="id-ID"/>
        </w:rPr>
      </w:pPr>
      <w:bookmarkStart w:id="5" w:name="_Toc201299670"/>
      <w:r w:rsidRPr="00456B22">
        <w:rPr>
          <w:lang w:val="id-ID"/>
        </w:rPr>
        <w:t xml:space="preserve">Gambaran Umum Tentang </w:t>
      </w:r>
      <w:r>
        <w:rPr>
          <w:lang w:val="id-ID"/>
        </w:rPr>
        <w:t xml:space="preserve">Pinjaman </w:t>
      </w:r>
      <w:r w:rsidRPr="00456B22">
        <w:rPr>
          <w:lang w:val="id-ID"/>
        </w:rPr>
        <w:t>Online</w:t>
      </w:r>
      <w:bookmarkEnd w:id="5"/>
    </w:p>
    <w:p w:rsidR="00652199" w:rsidRPr="001E487C" w:rsidRDefault="00652199" w:rsidP="00652199">
      <w:pPr>
        <w:pStyle w:val="Heading3"/>
        <w:numPr>
          <w:ilvl w:val="2"/>
          <w:numId w:val="12"/>
        </w:numPr>
        <w:spacing w:before="160" w:after="80"/>
        <w:ind w:left="426"/>
        <w:rPr>
          <w:lang w:val="id-ID"/>
        </w:rPr>
      </w:pPr>
      <w:bookmarkStart w:id="6" w:name="_Toc201299671"/>
      <w:r>
        <w:rPr>
          <w:lang w:val="id-ID"/>
        </w:rPr>
        <w:t>Pengertian Pinjaman</w:t>
      </w:r>
      <w:bookmarkEnd w:id="6"/>
    </w:p>
    <w:p w:rsidR="00652199" w:rsidRPr="00CD48B8" w:rsidRDefault="00652199" w:rsidP="00652199">
      <w:pPr>
        <w:pStyle w:val="ListParagraph"/>
        <w:spacing w:after="0" w:line="360" w:lineRule="auto"/>
        <w:ind w:left="426" w:firstLine="294"/>
        <w:jc w:val="both"/>
        <w:rPr>
          <w:rFonts w:cstheme="majorBidi"/>
          <w:lang w:val="id-ID"/>
        </w:rPr>
      </w:pPr>
      <w:r w:rsidRPr="001E487C">
        <w:rPr>
          <w:rFonts w:cstheme="majorBidi"/>
          <w:lang w:val="id-ID"/>
        </w:rPr>
        <w:t xml:space="preserve">Pinjaman merupakan suatu perjanjian antara dua pihak, di mana pihak pertama (kreditur) memberikan sejumlah uang atau barang kepada pihak </w:t>
      </w:r>
      <w:r w:rsidRPr="001E487C">
        <w:rPr>
          <w:rFonts w:cstheme="majorBidi"/>
          <w:lang w:val="id-ID"/>
        </w:rPr>
        <w:lastRenderedPageBreak/>
        <w:t>kedua (debitur) dengan syarat bahwa debitur akan mengembalikan uang atau barang tersebut dalam jangka waktu tertentu dan dengan ketentuan yang telah disepakati sebelumnya, seperti bunga, denda, atau imbalan lainnya. Pinjaman sebagai suatu bentuk hubungan hukum antara kreditur dan debitur diatur dalam hukum perdata Indonesia, khususnya dalam Pasal 1754 Kitab Undang-Undang Hukum Perdata (KUHPer), yang menyatakan bahwa pinjam-meminjam adalah suatu perjanjian di mana pihak yang satu menyerahkan sejumlah barang yang habis dipakai kepada pihak lainnya, dengan syarat bahwa pihak yang menerima akan mengembalikannya dalam jumlah dan jenis yang sama setelah jangka waktu tertentu</w:t>
      </w:r>
      <w:r>
        <w:rPr>
          <w:rFonts w:cstheme="majorBidi"/>
          <w:lang w:val="id-ID"/>
        </w:rPr>
        <w:t>.</w:t>
      </w:r>
      <w:r>
        <w:rPr>
          <w:rStyle w:val="FootnoteReference"/>
          <w:rFonts w:cstheme="majorBidi"/>
          <w:lang w:val="id-ID"/>
        </w:rPr>
        <w:footnoteReference w:id="18"/>
      </w:r>
    </w:p>
    <w:p w:rsidR="00652199" w:rsidRPr="00B6722D" w:rsidRDefault="00652199" w:rsidP="00652199">
      <w:pPr>
        <w:pStyle w:val="ListParagraph"/>
        <w:spacing w:after="0" w:line="360" w:lineRule="auto"/>
        <w:ind w:left="426" w:firstLine="567"/>
        <w:jc w:val="both"/>
        <w:rPr>
          <w:lang w:val="id-ID"/>
        </w:rPr>
      </w:pPr>
      <w:r w:rsidRPr="005940BD">
        <w:rPr>
          <w:rFonts w:cstheme="majorBidi"/>
          <w:lang w:val="id-ID"/>
        </w:rPr>
        <w:t>Dalam</w:t>
      </w:r>
      <w:r w:rsidRPr="00CD48B8">
        <w:rPr>
          <w:rFonts w:cstheme="majorBidi"/>
          <w:lang w:val="id-ID"/>
        </w:rPr>
        <w:t xml:space="preserve"> konteks keuangan modern, istilah "pinjaman" sering diasosiasikan dengan "kredit", yaitu penyediaan uang atau tagihan yang dapat dipersamakan dengan itu, berdasarkan persetujuan atau kesepakatan pinjam meminjam antara bank dengan pihak lain yang mewajibkan pihak peminjam untuk melunasi utangnya setelah jangka waktu tertentu dengan pemberian bunga</w:t>
      </w:r>
      <w:r>
        <w:rPr>
          <w:rFonts w:cstheme="majorBidi"/>
          <w:lang w:val="id-ID"/>
        </w:rPr>
        <w:t>.</w:t>
      </w:r>
      <w:r>
        <w:rPr>
          <w:rStyle w:val="FootnoteReference"/>
          <w:rFonts w:cstheme="majorBidi"/>
          <w:lang w:val="id-ID"/>
        </w:rPr>
        <w:footnoteReference w:id="19"/>
      </w:r>
      <w:r w:rsidRPr="00B6722D">
        <w:rPr>
          <w:rFonts w:cstheme="majorBidi"/>
          <w:lang w:val="id-ID"/>
        </w:rPr>
        <w:t>Pinjaman ini biasanya diberikan oleh lembaga keuangan formal seperti bank umum, bank syariah, koperasi simpan pinjam, maupun lembaga pembiayaan. Tujuan dari pemberian pinjaman bisa bermacam-macam, antara lain untuk konsumsi, modal kerja, investasi usaha, pembelian aset, maupun pembiayaan pendidikan</w:t>
      </w:r>
      <w:r w:rsidRPr="00B6722D">
        <w:rPr>
          <w:lang w:val="id-ID"/>
        </w:rPr>
        <w:t>.</w:t>
      </w:r>
    </w:p>
    <w:p w:rsidR="00652199" w:rsidRPr="00B6722D" w:rsidRDefault="00652199" w:rsidP="00652199">
      <w:pPr>
        <w:pStyle w:val="ListParagraph"/>
        <w:spacing w:line="360" w:lineRule="auto"/>
        <w:ind w:left="426" w:firstLine="567"/>
        <w:jc w:val="both"/>
        <w:rPr>
          <w:rFonts w:cstheme="majorBidi"/>
          <w:lang w:val="sv-SE"/>
        </w:rPr>
      </w:pPr>
      <w:r w:rsidRPr="00B6722D">
        <w:rPr>
          <w:rFonts w:cstheme="majorBidi"/>
          <w:lang w:val="sv-SE"/>
        </w:rPr>
        <w:t xml:space="preserve">Perkembangan teknologi digital telah mendorong transformasi besar dalam industri jasa keuangan, termasuk dalam hal pemberian pinjaman. Salah satu wujud dari perkembangan tersebut adalah munculnya pinjaman berbasis teknologi informasi yang dikenal sebagai pinjaman online atau </w:t>
      </w:r>
      <w:r w:rsidRPr="00B6722D">
        <w:rPr>
          <w:rStyle w:val="Emphasis"/>
          <w:rFonts w:cstheme="majorBidi"/>
          <w:lang w:val="sv-SE"/>
        </w:rPr>
        <w:t>financial technology lending</w:t>
      </w:r>
      <w:r w:rsidRPr="00B6722D">
        <w:rPr>
          <w:rFonts w:cstheme="majorBidi"/>
          <w:lang w:val="sv-SE"/>
        </w:rPr>
        <w:t xml:space="preserve"> (fintech lending). Platform pinjaman online memungkinkan masyarakat untuk mengakses pembiayaan secara cepat dan mudah melalui aplikasi atau situs web, tanpa harus melalui prosedur konvensional yang kompleks. Meskipun demikian, pinjaman online juga menghadirkan berbagai risiko, seperti suku bunga yang tinggi, penagihan </w:t>
      </w:r>
      <w:r w:rsidRPr="00B6722D">
        <w:rPr>
          <w:rFonts w:cstheme="majorBidi"/>
          <w:lang w:val="sv-SE"/>
        </w:rPr>
        <w:lastRenderedPageBreak/>
        <w:t>tidak etis, penyalahgunaan data pribadi, serta maraknya praktik pinjaman ilegal yang tidak terdaftar dan tidak diawasi oleh otoritas resmi seperti Otoritas Jasa Keuangan (OJK)</w:t>
      </w:r>
      <w:r>
        <w:rPr>
          <w:rStyle w:val="FootnoteReference"/>
          <w:rFonts w:cstheme="majorBidi"/>
        </w:rPr>
        <w:footnoteReference w:id="20"/>
      </w:r>
      <w:r w:rsidRPr="00B6722D">
        <w:rPr>
          <w:rFonts w:cstheme="majorBidi"/>
          <w:lang w:val="sv-SE"/>
        </w:rPr>
        <w:t>.</w:t>
      </w:r>
      <w:r w:rsidRPr="005940BD">
        <w:rPr>
          <w:lang w:val="sv-SE"/>
        </w:rPr>
        <w:t>Pinjaman dapat diklasifikasikan berdasarkan berbagai kriteria</w:t>
      </w:r>
      <w:r w:rsidRPr="00B6722D">
        <w:rPr>
          <w:rFonts w:cstheme="majorBidi"/>
          <w:lang w:val="sv-SE"/>
        </w:rPr>
        <w:t>, antara lain sebagai berikut:</w:t>
      </w:r>
    </w:p>
    <w:p w:rsidR="00652199" w:rsidRPr="00251526" w:rsidRDefault="00652199" w:rsidP="00652199">
      <w:pPr>
        <w:ind w:left="426"/>
      </w:pPr>
      <w:r w:rsidRPr="00251526">
        <w:t>1</w:t>
      </w:r>
      <w:r>
        <w:t>)</w:t>
      </w:r>
      <w:r w:rsidRPr="00251526">
        <w:t xml:space="preserve"> Berdasarkan Jaminan:</w:t>
      </w:r>
    </w:p>
    <w:p w:rsidR="00652199" w:rsidRDefault="00652199" w:rsidP="00652199">
      <w:pPr>
        <w:numPr>
          <w:ilvl w:val="0"/>
          <w:numId w:val="9"/>
        </w:numPr>
        <w:tabs>
          <w:tab w:val="clear" w:pos="720"/>
        </w:tabs>
        <w:spacing w:after="0" w:line="360" w:lineRule="auto"/>
        <w:ind w:left="993"/>
        <w:jc w:val="both"/>
        <w:rPr>
          <w:rFonts w:cstheme="majorBidi"/>
        </w:rPr>
      </w:pPr>
      <w:r w:rsidRPr="00251526">
        <w:rPr>
          <w:rStyle w:val="Strong"/>
          <w:rFonts w:cstheme="majorBidi"/>
          <w:b w:val="0"/>
          <w:bCs w:val="0"/>
        </w:rPr>
        <w:t>Pinjaman dengan Jaminan (Secured Loan)</w:t>
      </w:r>
      <w:r w:rsidRPr="00251526">
        <w:rPr>
          <w:rFonts w:cstheme="majorBidi"/>
        </w:rPr>
        <w:t>:</w:t>
      </w:r>
    </w:p>
    <w:p w:rsidR="00652199" w:rsidRPr="00251526" w:rsidRDefault="00652199" w:rsidP="00652199">
      <w:pPr>
        <w:spacing w:after="0" w:line="360" w:lineRule="auto"/>
        <w:ind w:left="993" w:firstLine="447"/>
        <w:jc w:val="both"/>
        <w:rPr>
          <w:rFonts w:cstheme="majorBidi"/>
        </w:rPr>
      </w:pPr>
      <w:r w:rsidRPr="00251526">
        <w:rPr>
          <w:rFonts w:cstheme="majorBidi"/>
        </w:rPr>
        <w:t>Merupakan jenis pinjaman yang disertai dengan jaminan berupa aset atau barang berharga, seperti rumah, tanah, kendaraan bermotor, deposito, atau surat berharga lainnya. Dalam hal debitur gagal membayar pinjaman, kreditur berhak menyita dan melelang agunan tersebut untuk menutup kerugian. Pinjaman jenis ini biasanya memiliki bunga lebih rendah karena risikonya lebih kecil bagi pemberi pinjaman</w:t>
      </w:r>
      <w:r>
        <w:rPr>
          <w:rStyle w:val="FootnoteReference"/>
          <w:rFonts w:cstheme="majorBidi"/>
        </w:rPr>
        <w:footnoteReference w:id="21"/>
      </w:r>
      <w:r w:rsidRPr="00251526">
        <w:rPr>
          <w:rFonts w:cstheme="majorBidi"/>
        </w:rPr>
        <w:t>.</w:t>
      </w:r>
    </w:p>
    <w:p w:rsidR="00652199" w:rsidRDefault="00652199" w:rsidP="00652199">
      <w:pPr>
        <w:numPr>
          <w:ilvl w:val="0"/>
          <w:numId w:val="9"/>
        </w:numPr>
        <w:tabs>
          <w:tab w:val="clear" w:pos="720"/>
          <w:tab w:val="num" w:pos="993"/>
        </w:tabs>
        <w:spacing w:after="0" w:line="360" w:lineRule="auto"/>
        <w:ind w:left="993"/>
        <w:jc w:val="both"/>
        <w:rPr>
          <w:rFonts w:cstheme="majorBidi"/>
        </w:rPr>
      </w:pPr>
      <w:r w:rsidRPr="00251526">
        <w:rPr>
          <w:rStyle w:val="Strong"/>
          <w:rFonts w:cstheme="majorBidi"/>
          <w:b w:val="0"/>
          <w:bCs w:val="0"/>
        </w:rPr>
        <w:t>Pinjaman tanpa Jaminan (Unsecured Loan)</w:t>
      </w:r>
      <w:r w:rsidRPr="00251526">
        <w:rPr>
          <w:rFonts w:cstheme="majorBidi"/>
        </w:rPr>
        <w:t>:</w:t>
      </w:r>
    </w:p>
    <w:p w:rsidR="00652199" w:rsidRPr="00B6722D" w:rsidRDefault="00652199" w:rsidP="00652199">
      <w:pPr>
        <w:spacing w:line="360" w:lineRule="auto"/>
        <w:ind w:left="993" w:firstLine="447"/>
        <w:jc w:val="both"/>
        <w:rPr>
          <w:rFonts w:cstheme="majorBidi"/>
          <w:lang w:val="sv-SE"/>
        </w:rPr>
      </w:pPr>
      <w:r w:rsidRPr="00B6722D">
        <w:rPr>
          <w:rFonts w:cstheme="majorBidi"/>
          <w:lang w:val="sv-SE"/>
        </w:rPr>
        <w:t>Merupakan pinjaman yang diberikan tanpa memerlukan jaminan atau agunan. Penilaian kelayakan debitur dalam jenis pinjaman ini biasanya didasarkan pada riwayat kredit, penghasilan tetap, dan kemampuan membayar. Karena risikonya lebih tinggi bagi kreditur, bunga pinjaman ini umumnya lebih besar dibanding pinjaman dengan jaminan</w:t>
      </w:r>
      <w:r>
        <w:rPr>
          <w:rFonts w:cstheme="majorBidi"/>
          <w:lang w:val="sv-SE"/>
        </w:rPr>
        <w:t>.</w:t>
      </w:r>
      <w:r>
        <w:rPr>
          <w:rStyle w:val="FootnoteReference"/>
          <w:rFonts w:cstheme="majorBidi"/>
        </w:rPr>
        <w:footnoteReference w:id="22"/>
      </w:r>
    </w:p>
    <w:p w:rsidR="00652199" w:rsidRPr="00251526" w:rsidRDefault="00652199" w:rsidP="00652199">
      <w:pPr>
        <w:ind w:left="426"/>
      </w:pPr>
      <w:r w:rsidRPr="00251526">
        <w:t>2</w:t>
      </w:r>
      <w:r>
        <w:t>)</w:t>
      </w:r>
      <w:r w:rsidRPr="00251526">
        <w:t xml:space="preserve"> Berdasarkan Tujuan:</w:t>
      </w:r>
    </w:p>
    <w:p w:rsidR="00652199" w:rsidRDefault="00652199" w:rsidP="00652199">
      <w:pPr>
        <w:numPr>
          <w:ilvl w:val="0"/>
          <w:numId w:val="10"/>
        </w:numPr>
        <w:tabs>
          <w:tab w:val="clear" w:pos="720"/>
        </w:tabs>
        <w:spacing w:after="0" w:line="360" w:lineRule="auto"/>
        <w:ind w:left="993"/>
        <w:jc w:val="both"/>
        <w:rPr>
          <w:rFonts w:cstheme="majorBidi"/>
        </w:rPr>
      </w:pPr>
      <w:r w:rsidRPr="00251526">
        <w:rPr>
          <w:rStyle w:val="Strong"/>
          <w:rFonts w:cstheme="majorBidi"/>
          <w:b w:val="0"/>
          <w:bCs w:val="0"/>
        </w:rPr>
        <w:t>Pinjaman Konsumtif</w:t>
      </w:r>
      <w:r w:rsidRPr="00251526">
        <w:rPr>
          <w:rFonts w:cstheme="majorBidi"/>
        </w:rPr>
        <w:t>:</w:t>
      </w:r>
    </w:p>
    <w:p w:rsidR="00652199" w:rsidRPr="00B6722D" w:rsidRDefault="00652199" w:rsidP="00652199">
      <w:pPr>
        <w:spacing w:after="0" w:line="360" w:lineRule="auto"/>
        <w:ind w:left="993" w:firstLine="447"/>
        <w:jc w:val="both"/>
        <w:rPr>
          <w:rFonts w:cstheme="majorBidi"/>
          <w:lang w:val="sv-SE"/>
        </w:rPr>
      </w:pPr>
      <w:r w:rsidRPr="00B6722D">
        <w:rPr>
          <w:rFonts w:cstheme="majorBidi"/>
          <w:lang w:val="sv-SE"/>
        </w:rPr>
        <w:t xml:space="preserve">Jenis pinjaman ini digunakan untuk kebutuhan konsumtif atau pribadi yang tidak langsung menghasilkan pendapatan. Contohnya meliputi pinjaman untuk pembelian barang elektronik, renovasi rumah, liburan, biaya pernikahan, atau pendidikan. Meskipun tidak produktif </w:t>
      </w:r>
      <w:r w:rsidRPr="00B6722D">
        <w:rPr>
          <w:rFonts w:cstheme="majorBidi"/>
          <w:lang w:val="sv-SE"/>
        </w:rPr>
        <w:lastRenderedPageBreak/>
        <w:t>secara finansial, pinjaman konsumtif tetap menjadi bagian penting dari sistem pembiayaan masyarakat.</w:t>
      </w:r>
    </w:p>
    <w:p w:rsidR="00652199" w:rsidRDefault="00652199" w:rsidP="00652199">
      <w:pPr>
        <w:numPr>
          <w:ilvl w:val="0"/>
          <w:numId w:val="10"/>
        </w:numPr>
        <w:tabs>
          <w:tab w:val="clear" w:pos="720"/>
        </w:tabs>
        <w:spacing w:after="0" w:line="360" w:lineRule="auto"/>
        <w:ind w:left="993"/>
        <w:jc w:val="both"/>
        <w:rPr>
          <w:rFonts w:cstheme="majorBidi"/>
        </w:rPr>
      </w:pPr>
      <w:r w:rsidRPr="00251526">
        <w:rPr>
          <w:rStyle w:val="Strong"/>
          <w:rFonts w:cstheme="majorBidi"/>
          <w:b w:val="0"/>
          <w:bCs w:val="0"/>
        </w:rPr>
        <w:t>Pinjaman Produktif</w:t>
      </w:r>
      <w:r w:rsidRPr="00251526">
        <w:rPr>
          <w:rFonts w:cstheme="majorBidi"/>
        </w:rPr>
        <w:t>:</w:t>
      </w:r>
    </w:p>
    <w:p w:rsidR="00652199" w:rsidRPr="00B6722D" w:rsidRDefault="00652199" w:rsidP="00652199">
      <w:pPr>
        <w:spacing w:line="360" w:lineRule="auto"/>
        <w:ind w:left="993" w:firstLine="447"/>
        <w:jc w:val="both"/>
        <w:rPr>
          <w:rFonts w:cstheme="majorBidi"/>
          <w:lang w:val="sv-SE"/>
        </w:rPr>
      </w:pPr>
      <w:r w:rsidRPr="00B6722D">
        <w:rPr>
          <w:rFonts w:cstheme="majorBidi"/>
          <w:lang w:val="sv-SE"/>
        </w:rPr>
        <w:t>Pinjaman ini digunakan untuk membiayai kegiatan produktif, seperti modal usaha, pengembangan bisnis, atau investasi aset tetap. Tujuannya adalah untuk meningkatkan pendapatan atau keuntungan bagi peminjam. Pinjaman produktif banyak diberikan kepada pelaku usaha kecil dan menengah (UMKM) maupun korporasi besar sebagai bentuk dukungan terhadap pertumbuhan ekonomi nasional</w:t>
      </w:r>
      <w:r>
        <w:rPr>
          <w:rFonts w:cstheme="majorBidi"/>
          <w:lang w:val="sv-SE"/>
        </w:rPr>
        <w:t>.</w:t>
      </w:r>
      <w:r>
        <w:rPr>
          <w:rStyle w:val="FootnoteReference"/>
          <w:rFonts w:cstheme="majorBidi"/>
        </w:rPr>
        <w:footnoteReference w:id="23"/>
      </w:r>
    </w:p>
    <w:p w:rsidR="00652199" w:rsidRPr="00251526" w:rsidRDefault="00652199" w:rsidP="00652199">
      <w:pPr>
        <w:ind w:left="426"/>
      </w:pPr>
      <w:r w:rsidRPr="00251526">
        <w:t>3</w:t>
      </w:r>
      <w:r>
        <w:t>)</w:t>
      </w:r>
      <w:r w:rsidRPr="00251526">
        <w:t xml:space="preserve"> Berdasarkan Jangka Waktu:</w:t>
      </w:r>
    </w:p>
    <w:p w:rsidR="00652199" w:rsidRDefault="00652199" w:rsidP="00652199">
      <w:pPr>
        <w:numPr>
          <w:ilvl w:val="0"/>
          <w:numId w:val="11"/>
        </w:numPr>
        <w:tabs>
          <w:tab w:val="clear" w:pos="720"/>
          <w:tab w:val="num" w:pos="1276"/>
        </w:tabs>
        <w:spacing w:after="0" w:line="360" w:lineRule="auto"/>
        <w:ind w:left="993"/>
        <w:jc w:val="both"/>
        <w:rPr>
          <w:rFonts w:cstheme="majorBidi"/>
        </w:rPr>
      </w:pPr>
      <w:r w:rsidRPr="00251526">
        <w:rPr>
          <w:rStyle w:val="Strong"/>
          <w:rFonts w:cstheme="majorBidi"/>
          <w:b w:val="0"/>
          <w:bCs w:val="0"/>
        </w:rPr>
        <w:t>Pinjaman Jangka Pendek</w:t>
      </w:r>
      <w:r w:rsidRPr="00251526">
        <w:rPr>
          <w:rFonts w:cstheme="majorBidi"/>
        </w:rPr>
        <w:t>:</w:t>
      </w:r>
    </w:p>
    <w:p w:rsidR="00652199" w:rsidRPr="00B6722D" w:rsidRDefault="00652199" w:rsidP="00652199">
      <w:pPr>
        <w:tabs>
          <w:tab w:val="num" w:pos="1276"/>
        </w:tabs>
        <w:spacing w:after="0" w:line="360" w:lineRule="auto"/>
        <w:ind w:left="993"/>
        <w:jc w:val="both"/>
        <w:rPr>
          <w:rFonts w:cstheme="majorBidi"/>
          <w:lang w:val="sv-SE"/>
        </w:rPr>
      </w:pPr>
      <w:r>
        <w:rPr>
          <w:rFonts w:cstheme="majorBidi"/>
          <w:lang w:val="sv-SE"/>
        </w:rPr>
        <w:tab/>
      </w:r>
      <w:r w:rsidRPr="00B6722D">
        <w:rPr>
          <w:rFonts w:cstheme="majorBidi"/>
          <w:lang w:val="sv-SE"/>
        </w:rPr>
        <w:t>Pinjaman yang memiliki tenor (jangka waktu pengembalian) kurang dari satu tahun. Biasanya digunakan untuk kebutuhan modal kerja sementara atau pengeluaran tak terduga yang sifatnya segera.</w:t>
      </w:r>
    </w:p>
    <w:p w:rsidR="00652199" w:rsidRDefault="00652199" w:rsidP="00652199">
      <w:pPr>
        <w:numPr>
          <w:ilvl w:val="0"/>
          <w:numId w:val="11"/>
        </w:numPr>
        <w:tabs>
          <w:tab w:val="clear" w:pos="720"/>
          <w:tab w:val="num" w:pos="1276"/>
        </w:tabs>
        <w:spacing w:after="0" w:line="360" w:lineRule="auto"/>
        <w:ind w:left="993"/>
        <w:jc w:val="both"/>
        <w:rPr>
          <w:rFonts w:cstheme="majorBidi"/>
        </w:rPr>
      </w:pPr>
      <w:r w:rsidRPr="00251526">
        <w:rPr>
          <w:rStyle w:val="Strong"/>
          <w:rFonts w:cstheme="majorBidi"/>
          <w:b w:val="0"/>
          <w:bCs w:val="0"/>
        </w:rPr>
        <w:t>Pinjaman Jangka Menengah</w:t>
      </w:r>
      <w:r w:rsidRPr="00251526">
        <w:rPr>
          <w:rFonts w:cstheme="majorBidi"/>
        </w:rPr>
        <w:t>:</w:t>
      </w:r>
    </w:p>
    <w:p w:rsidR="00652199" w:rsidRPr="00B6722D" w:rsidRDefault="00652199" w:rsidP="00652199">
      <w:pPr>
        <w:tabs>
          <w:tab w:val="num" w:pos="1276"/>
        </w:tabs>
        <w:spacing w:after="0" w:line="360" w:lineRule="auto"/>
        <w:ind w:left="993"/>
        <w:jc w:val="both"/>
        <w:rPr>
          <w:rFonts w:cstheme="majorBidi"/>
          <w:lang w:val="sv-SE"/>
        </w:rPr>
      </w:pPr>
      <w:r>
        <w:rPr>
          <w:rFonts w:cstheme="majorBidi"/>
          <w:lang w:val="sv-SE"/>
        </w:rPr>
        <w:tab/>
      </w:r>
      <w:r w:rsidRPr="00B6722D">
        <w:rPr>
          <w:rFonts w:cstheme="majorBidi"/>
          <w:lang w:val="sv-SE"/>
        </w:rPr>
        <w:t>Pinjaman dengan tenor antara satu hingga lima tahun. Pinjaman ini sering digunakan untuk keperluan pembelian kendaraan, renovasi rumah, atau pembiayaan proyek kecil menengah.</w:t>
      </w:r>
    </w:p>
    <w:p w:rsidR="00652199" w:rsidRDefault="00652199" w:rsidP="00652199">
      <w:pPr>
        <w:numPr>
          <w:ilvl w:val="0"/>
          <w:numId w:val="11"/>
        </w:numPr>
        <w:tabs>
          <w:tab w:val="clear" w:pos="720"/>
          <w:tab w:val="num" w:pos="1276"/>
        </w:tabs>
        <w:spacing w:after="0" w:line="360" w:lineRule="auto"/>
        <w:ind w:left="993"/>
        <w:jc w:val="both"/>
        <w:rPr>
          <w:rFonts w:cstheme="majorBidi"/>
        </w:rPr>
      </w:pPr>
      <w:r w:rsidRPr="00251526">
        <w:rPr>
          <w:rStyle w:val="Strong"/>
          <w:rFonts w:cstheme="majorBidi"/>
          <w:b w:val="0"/>
          <w:bCs w:val="0"/>
        </w:rPr>
        <w:t>Pinjaman Jangka Panjang</w:t>
      </w:r>
      <w:r w:rsidRPr="00251526">
        <w:rPr>
          <w:rFonts w:cstheme="majorBidi"/>
        </w:rPr>
        <w:t>:</w:t>
      </w:r>
    </w:p>
    <w:p w:rsidR="00652199" w:rsidRPr="00B255F6" w:rsidRDefault="00652199" w:rsidP="00652199">
      <w:pPr>
        <w:tabs>
          <w:tab w:val="num" w:pos="1276"/>
        </w:tabs>
        <w:spacing w:line="360" w:lineRule="auto"/>
        <w:ind w:left="993"/>
        <w:jc w:val="both"/>
        <w:rPr>
          <w:rFonts w:cstheme="majorBidi"/>
          <w:lang w:val="sv-SE"/>
        </w:rPr>
      </w:pPr>
      <w:r>
        <w:rPr>
          <w:rFonts w:cstheme="majorBidi"/>
          <w:lang w:val="sv-SE"/>
        </w:rPr>
        <w:tab/>
      </w:r>
      <w:r w:rsidRPr="00B6722D">
        <w:rPr>
          <w:rFonts w:cstheme="majorBidi"/>
          <w:lang w:val="sv-SE"/>
        </w:rPr>
        <w:t>Pinjaman dengan tenor lebih dari lima tahun, biasanya digunakan untuk pembelian properti, pengembangan usaha skala besar, atau investasi infrastruktur jangka panjang.</w:t>
      </w:r>
    </w:p>
    <w:p w:rsidR="00652199" w:rsidRDefault="00652199" w:rsidP="00652199">
      <w:pPr>
        <w:pStyle w:val="Heading3"/>
        <w:numPr>
          <w:ilvl w:val="2"/>
          <w:numId w:val="12"/>
        </w:numPr>
        <w:spacing w:before="0" w:after="80" w:line="360" w:lineRule="auto"/>
        <w:ind w:left="426"/>
        <w:rPr>
          <w:lang w:val="id-ID"/>
        </w:rPr>
      </w:pPr>
      <w:bookmarkStart w:id="7" w:name="_Toc201299672"/>
      <w:r>
        <w:rPr>
          <w:lang w:val="id-ID"/>
        </w:rPr>
        <w:t>Pengertian Online</w:t>
      </w:r>
      <w:bookmarkEnd w:id="7"/>
    </w:p>
    <w:p w:rsidR="00652199" w:rsidRDefault="00652199" w:rsidP="00652199">
      <w:pPr>
        <w:pStyle w:val="ListParagraph"/>
        <w:spacing w:line="360" w:lineRule="auto"/>
        <w:ind w:left="426" w:firstLine="294"/>
        <w:jc w:val="both"/>
        <w:rPr>
          <w:rStyle w:val="relative"/>
          <w:rFonts w:cstheme="majorBidi"/>
          <w:lang w:val="id-ID"/>
        </w:rPr>
      </w:pPr>
      <w:r w:rsidRPr="00B6722D">
        <w:rPr>
          <w:rStyle w:val="relative"/>
          <w:rFonts w:cstheme="majorBidi"/>
          <w:lang w:val="sv-SE"/>
        </w:rPr>
        <w:t xml:space="preserve">Istilah "online" merujuk pada kondisi terhubung dengan jaringan internet atau sistem komunikasi digital lainnya.Dalam konteks teknologi informasi, online berarti suatu perangkat atau individu yang aktif dan dapat berinteraksi melalui jaringan digital.Perkembangan teknologi telah memungkinkan </w:t>
      </w:r>
      <w:r w:rsidRPr="00B6722D">
        <w:rPr>
          <w:rStyle w:val="relative"/>
          <w:rFonts w:cstheme="majorBidi"/>
          <w:lang w:val="sv-SE"/>
        </w:rPr>
        <w:lastRenderedPageBreak/>
        <w:t>berbagai aktivitas dilakukan secara online, termasuk komunikasi, transaksi keuangan, pendidikan, dan layanan publik</w:t>
      </w:r>
      <w:r>
        <w:rPr>
          <w:rStyle w:val="relative"/>
          <w:rFonts w:cstheme="majorBidi"/>
          <w:lang w:val="id-ID"/>
        </w:rPr>
        <w:t>.</w:t>
      </w:r>
      <w:r>
        <w:rPr>
          <w:rStyle w:val="FootnoteReference"/>
          <w:rFonts w:cstheme="majorBidi"/>
          <w:lang w:val="id-ID"/>
        </w:rPr>
        <w:footnoteReference w:id="24"/>
      </w:r>
    </w:p>
    <w:p w:rsidR="00652199" w:rsidRDefault="00652199" w:rsidP="00652199">
      <w:pPr>
        <w:pStyle w:val="Heading3"/>
        <w:numPr>
          <w:ilvl w:val="2"/>
          <w:numId w:val="12"/>
        </w:numPr>
        <w:spacing w:before="0" w:after="80" w:line="360" w:lineRule="auto"/>
        <w:ind w:left="426"/>
        <w:rPr>
          <w:rStyle w:val="relative"/>
          <w:lang w:val="id-ID"/>
        </w:rPr>
      </w:pPr>
      <w:bookmarkStart w:id="8" w:name="_Toc201299673"/>
      <w:r>
        <w:t>Pengertian Pinjaman Online</w:t>
      </w:r>
      <w:bookmarkEnd w:id="8"/>
    </w:p>
    <w:p w:rsidR="00652199" w:rsidRPr="001E487C" w:rsidRDefault="00652199" w:rsidP="00652199">
      <w:pPr>
        <w:pStyle w:val="ListParagraph"/>
        <w:spacing w:after="0" w:line="360" w:lineRule="auto"/>
        <w:ind w:left="426" w:firstLine="425"/>
        <w:jc w:val="both"/>
        <w:rPr>
          <w:rFonts w:ascii="Times New Roman" w:eastAsia="Times New Roman" w:hAnsi="Times New Roman" w:cs="Times New Roman"/>
          <w:kern w:val="0"/>
          <w:lang w:val="id-ID" w:eastAsia="en-US"/>
        </w:rPr>
      </w:pPr>
      <w:r w:rsidRPr="001E487C">
        <w:rPr>
          <w:rFonts w:ascii="Times New Roman" w:eastAsia="Times New Roman" w:hAnsi="Times New Roman" w:cs="Times New Roman"/>
          <w:kern w:val="0"/>
          <w:lang w:val="id-ID" w:eastAsia="en-US"/>
        </w:rPr>
        <w:t xml:space="preserve">Pinjaman online adalah suatu bentuk layanan pembiayaan berbasis teknologi yang memungkinkan proses pinjam-meminjam uang dilakukan secara digital melalui platform internet atau aplikasi berbasis mobile. Layanan ini merupakan bagian dari inovasi </w:t>
      </w:r>
      <w:r w:rsidRPr="001E487C">
        <w:rPr>
          <w:rFonts w:ascii="Times New Roman" w:eastAsia="Times New Roman" w:hAnsi="Times New Roman" w:cs="Times New Roman"/>
          <w:i/>
          <w:iCs/>
          <w:kern w:val="0"/>
          <w:lang w:val="id-ID" w:eastAsia="en-US"/>
        </w:rPr>
        <w:t>financial technology</w:t>
      </w:r>
      <w:r w:rsidRPr="001E487C">
        <w:rPr>
          <w:rFonts w:ascii="Times New Roman" w:eastAsia="Times New Roman" w:hAnsi="Times New Roman" w:cs="Times New Roman"/>
          <w:kern w:val="0"/>
          <w:lang w:val="id-ID" w:eastAsia="en-US"/>
        </w:rPr>
        <w:t xml:space="preserve"> (</w:t>
      </w:r>
      <w:r w:rsidRPr="001E487C">
        <w:rPr>
          <w:rFonts w:ascii="Times New Roman" w:eastAsia="Times New Roman" w:hAnsi="Times New Roman" w:cs="Times New Roman"/>
          <w:i/>
          <w:iCs/>
          <w:kern w:val="0"/>
          <w:lang w:val="id-ID" w:eastAsia="en-US"/>
        </w:rPr>
        <w:t>fintech</w:t>
      </w:r>
      <w:r w:rsidRPr="001E487C">
        <w:rPr>
          <w:rFonts w:ascii="Times New Roman" w:eastAsia="Times New Roman" w:hAnsi="Times New Roman" w:cs="Times New Roman"/>
          <w:kern w:val="0"/>
          <w:lang w:val="id-ID" w:eastAsia="en-US"/>
        </w:rPr>
        <w:t xml:space="preserve">), khususnya dalam kategori </w:t>
      </w:r>
      <w:r w:rsidRPr="001E487C">
        <w:rPr>
          <w:rFonts w:ascii="Times New Roman" w:eastAsia="Times New Roman" w:hAnsi="Times New Roman" w:cs="Times New Roman"/>
          <w:i/>
          <w:iCs/>
          <w:kern w:val="0"/>
          <w:lang w:val="id-ID" w:eastAsia="en-US"/>
        </w:rPr>
        <w:t>peer-to-peer</w:t>
      </w:r>
      <w:r w:rsidRPr="001E487C">
        <w:rPr>
          <w:rFonts w:ascii="Times New Roman" w:eastAsia="Times New Roman" w:hAnsi="Times New Roman" w:cs="Times New Roman"/>
          <w:kern w:val="0"/>
          <w:lang w:val="id-ID" w:eastAsia="en-US"/>
        </w:rPr>
        <w:t xml:space="preserve"> (P2P) </w:t>
      </w:r>
      <w:r w:rsidRPr="001E487C">
        <w:rPr>
          <w:rFonts w:ascii="Times New Roman" w:eastAsia="Times New Roman" w:hAnsi="Times New Roman" w:cs="Times New Roman"/>
          <w:i/>
          <w:iCs/>
          <w:kern w:val="0"/>
          <w:lang w:val="id-ID" w:eastAsia="en-US"/>
        </w:rPr>
        <w:t>lending</w:t>
      </w:r>
      <w:r w:rsidRPr="001E487C">
        <w:rPr>
          <w:rFonts w:ascii="Times New Roman" w:eastAsia="Times New Roman" w:hAnsi="Times New Roman" w:cs="Times New Roman"/>
          <w:kern w:val="0"/>
          <w:lang w:val="id-ID" w:eastAsia="en-US"/>
        </w:rPr>
        <w:t>, yang mempertemukan peminjam (</w:t>
      </w:r>
      <w:r w:rsidRPr="001E487C">
        <w:rPr>
          <w:rFonts w:ascii="Times New Roman" w:eastAsia="Times New Roman" w:hAnsi="Times New Roman" w:cs="Times New Roman"/>
          <w:i/>
          <w:iCs/>
          <w:kern w:val="0"/>
          <w:lang w:val="id-ID" w:eastAsia="en-US"/>
        </w:rPr>
        <w:t>borrower</w:t>
      </w:r>
      <w:r w:rsidRPr="001E487C">
        <w:rPr>
          <w:rFonts w:ascii="Times New Roman" w:eastAsia="Times New Roman" w:hAnsi="Times New Roman" w:cs="Times New Roman"/>
          <w:kern w:val="0"/>
          <w:lang w:val="id-ID" w:eastAsia="en-US"/>
        </w:rPr>
        <w:t>) dan pemberi pinjaman (lender) tanpa perantara lembaga keuangan konvensional seperti bank.</w:t>
      </w:r>
      <w:r>
        <w:rPr>
          <w:rStyle w:val="FootnoteReference"/>
          <w:rFonts w:ascii="Times New Roman" w:eastAsia="Times New Roman" w:hAnsi="Times New Roman" w:cs="Times New Roman"/>
          <w:kern w:val="0"/>
          <w:lang w:val="en-US" w:eastAsia="en-US"/>
        </w:rPr>
        <w:footnoteReference w:id="25"/>
      </w:r>
    </w:p>
    <w:p w:rsidR="00652199" w:rsidRPr="00B6722D" w:rsidRDefault="00652199" w:rsidP="00652199">
      <w:pPr>
        <w:pStyle w:val="ListParagraph"/>
        <w:spacing w:after="0" w:line="360" w:lineRule="auto"/>
        <w:ind w:left="426" w:firstLine="425"/>
        <w:jc w:val="both"/>
        <w:rPr>
          <w:rFonts w:ascii="Times New Roman" w:eastAsia="Times New Roman" w:hAnsi="Times New Roman" w:cs="Times New Roman"/>
          <w:kern w:val="0"/>
          <w:lang w:val="id-ID" w:eastAsia="en-US"/>
        </w:rPr>
      </w:pPr>
      <w:r w:rsidRPr="001E487C">
        <w:rPr>
          <w:rFonts w:ascii="Times New Roman" w:eastAsia="Times New Roman" w:hAnsi="Times New Roman" w:cs="Times New Roman"/>
          <w:kern w:val="0"/>
          <w:lang w:val="id-ID" w:eastAsia="en-US"/>
        </w:rPr>
        <w:t>Kelebihan dari pinjaman online antara lain adalah proses pengajuan yang relatif cepat, syarat administrasi yang tidak terlalu rumit, dan pencairan dana yang dapat dilakukan dalam hitungan jam atau hari. Pemohon pinjaman cukup mengunggah dokumen secara digital seperti KTP, slip gaji, dan NPWP melalui aplikasi, dan seluruh proses verifikasi dilakukan secara daring</w:t>
      </w:r>
      <w:r>
        <w:rPr>
          <w:lang w:val="id-ID"/>
        </w:rPr>
        <w:t xml:space="preserve">. </w:t>
      </w:r>
      <w:r w:rsidRPr="00B6722D">
        <w:rPr>
          <w:rFonts w:ascii="Times New Roman" w:eastAsia="Times New Roman" w:hAnsi="Times New Roman" w:cs="Times New Roman"/>
          <w:kern w:val="0"/>
          <w:lang w:val="id-ID" w:eastAsia="en-US"/>
        </w:rPr>
        <w:t xml:space="preserve">Untuk mengatur dan mengawasi kegiatan pinjaman online, pemerintah Indonesia melalui Otoritas Jasa Keuangan (OJK) telah menetapkan beberapa peraturan, antara lain: </w:t>
      </w:r>
    </w:p>
    <w:p w:rsidR="00652199" w:rsidRPr="00B6722D" w:rsidRDefault="00652199" w:rsidP="00652199">
      <w:pPr>
        <w:numPr>
          <w:ilvl w:val="0"/>
          <w:numId w:val="13"/>
        </w:numPr>
        <w:spacing w:after="0" w:line="360" w:lineRule="auto"/>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kern w:val="0"/>
          <w:lang w:val="sv-SE" w:eastAsia="en-US"/>
        </w:rPr>
        <w:t xml:space="preserve">Peraturan OJK Nomor 77/POJK.01/2016 tentang Layanan Pinjam Meminjam Uang Berbasis Teknologi Informasi: </w:t>
      </w:r>
    </w:p>
    <w:p w:rsidR="00652199" w:rsidRPr="00B6722D" w:rsidRDefault="00652199" w:rsidP="00652199">
      <w:pPr>
        <w:spacing w:after="0" w:line="360" w:lineRule="auto"/>
        <w:ind w:left="720" w:firstLine="414"/>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kern w:val="0"/>
          <w:lang w:val="sv-SE" w:eastAsia="en-US"/>
        </w:rPr>
        <w:t>Mengatur tentang penyelenggaraan layanan pinjam meminjam uang berbasis teknologi informasi, termasuk pendaftaran, perizinan, dan perlindungan konsumen</w:t>
      </w:r>
      <w:r>
        <w:rPr>
          <w:rFonts w:ascii="Times New Roman" w:eastAsia="Times New Roman" w:hAnsi="Times New Roman" w:cs="Times New Roman"/>
          <w:kern w:val="0"/>
          <w:lang w:val="sv-SE" w:eastAsia="en-US"/>
        </w:rPr>
        <w:t>.</w:t>
      </w:r>
      <w:r>
        <w:rPr>
          <w:rStyle w:val="FootnoteReference"/>
          <w:rFonts w:ascii="Times New Roman" w:eastAsia="Times New Roman" w:hAnsi="Times New Roman" w:cs="Times New Roman"/>
          <w:kern w:val="0"/>
          <w:lang w:val="en-US" w:eastAsia="en-US"/>
        </w:rPr>
        <w:footnoteReference w:id="26"/>
      </w:r>
    </w:p>
    <w:p w:rsidR="00652199" w:rsidRPr="00B6722D" w:rsidRDefault="00652199" w:rsidP="00652199">
      <w:pPr>
        <w:numPr>
          <w:ilvl w:val="0"/>
          <w:numId w:val="13"/>
        </w:numPr>
        <w:spacing w:after="0" w:line="360" w:lineRule="auto"/>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kern w:val="0"/>
          <w:lang w:val="sv-SE" w:eastAsia="en-US"/>
        </w:rPr>
        <w:t xml:space="preserve">Peraturan OJK Nomor 10/POJK.05/2022 tentang Layanan Pendanaan Bersama Berbasis Teknologi Informasi: </w:t>
      </w:r>
    </w:p>
    <w:p w:rsidR="00652199" w:rsidRPr="0049744F" w:rsidRDefault="00652199" w:rsidP="00652199">
      <w:pPr>
        <w:spacing w:after="0" w:line="360" w:lineRule="auto"/>
        <w:ind w:left="720" w:firstLine="414"/>
        <w:jc w:val="both"/>
        <w:rPr>
          <w:rFonts w:ascii="Times New Roman" w:eastAsia="Times New Roman" w:hAnsi="Times New Roman" w:cs="Times New Roman"/>
          <w:kern w:val="0"/>
          <w:lang w:val="id-ID" w:eastAsia="en-US"/>
        </w:rPr>
      </w:pPr>
      <w:r w:rsidRPr="00B6722D">
        <w:rPr>
          <w:rFonts w:ascii="Times New Roman" w:eastAsia="Times New Roman" w:hAnsi="Times New Roman" w:cs="Times New Roman"/>
          <w:kern w:val="0"/>
          <w:lang w:val="sv-SE" w:eastAsia="en-US"/>
        </w:rPr>
        <w:lastRenderedPageBreak/>
        <w:t>Mengatur tentang tata kelola, manajemen risiko, dan perlindungan konsumen dalam layanan pendanaan bersama berbasis teknologi informasi</w:t>
      </w:r>
      <w:r>
        <w:rPr>
          <w:rFonts w:ascii="Times New Roman" w:eastAsia="Times New Roman" w:hAnsi="Times New Roman" w:cs="Times New Roman"/>
          <w:kern w:val="0"/>
          <w:lang w:val="sv-SE" w:eastAsia="en-US"/>
        </w:rPr>
        <w:t>.</w:t>
      </w:r>
      <w:r>
        <w:rPr>
          <w:rStyle w:val="FootnoteReference"/>
          <w:rFonts w:ascii="Times New Roman" w:eastAsia="Times New Roman" w:hAnsi="Times New Roman" w:cs="Times New Roman"/>
          <w:kern w:val="0"/>
          <w:lang w:val="en-US" w:eastAsia="en-US"/>
        </w:rPr>
        <w:footnoteReference w:id="27"/>
      </w:r>
    </w:p>
    <w:p w:rsidR="00652199" w:rsidRPr="00B6722D" w:rsidRDefault="00652199" w:rsidP="00652199">
      <w:pPr>
        <w:numPr>
          <w:ilvl w:val="0"/>
          <w:numId w:val="13"/>
        </w:numPr>
        <w:spacing w:after="0" w:line="360" w:lineRule="auto"/>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kern w:val="0"/>
          <w:lang w:val="sv-SE" w:eastAsia="en-US"/>
        </w:rPr>
        <w:t xml:space="preserve">Surat Edaran OJK Nomor 18/SEOJK.02/2017 tentang Tata Kelola Layanan Pinjam Meminjam Uang Berbasis Teknologi Informasi: </w:t>
      </w:r>
    </w:p>
    <w:p w:rsidR="00652199" w:rsidRPr="00727FA7" w:rsidRDefault="00652199" w:rsidP="00652199">
      <w:pPr>
        <w:spacing w:after="0" w:line="360" w:lineRule="auto"/>
        <w:ind w:left="720" w:firstLine="414"/>
        <w:jc w:val="both"/>
        <w:rPr>
          <w:rFonts w:ascii="Times New Roman" w:eastAsia="Times New Roman" w:hAnsi="Times New Roman" w:cs="Times New Roman"/>
          <w:kern w:val="0"/>
          <w:lang w:val="id-ID" w:eastAsia="en-US"/>
        </w:rPr>
      </w:pPr>
      <w:r w:rsidRPr="00B6722D">
        <w:rPr>
          <w:rFonts w:ascii="Times New Roman" w:eastAsia="Times New Roman" w:hAnsi="Times New Roman" w:cs="Times New Roman"/>
          <w:kern w:val="0"/>
          <w:lang w:val="sv-SE" w:eastAsia="en-US"/>
        </w:rPr>
        <w:t>Memberikan panduan tentang tata kelola dan manajemen risiko bagi penyelenggara layanan pinjaman online</w:t>
      </w:r>
      <w:r>
        <w:rPr>
          <w:rFonts w:ascii="Times New Roman" w:eastAsia="Times New Roman" w:hAnsi="Times New Roman" w:cs="Times New Roman"/>
          <w:kern w:val="0"/>
          <w:lang w:val="sv-SE" w:eastAsia="en-US"/>
        </w:rPr>
        <w:t>.</w:t>
      </w:r>
      <w:r>
        <w:rPr>
          <w:rStyle w:val="FootnoteReference"/>
          <w:rFonts w:ascii="Times New Roman" w:eastAsia="Times New Roman" w:hAnsi="Times New Roman" w:cs="Times New Roman"/>
          <w:kern w:val="0"/>
          <w:lang w:val="en-US" w:eastAsia="en-US"/>
        </w:rPr>
        <w:footnoteReference w:id="28"/>
      </w:r>
    </w:p>
    <w:p w:rsidR="00652199" w:rsidRDefault="00652199" w:rsidP="00652199">
      <w:pPr>
        <w:pStyle w:val="Heading2"/>
        <w:numPr>
          <w:ilvl w:val="0"/>
          <w:numId w:val="15"/>
        </w:numPr>
        <w:spacing w:before="0" w:line="360" w:lineRule="auto"/>
        <w:ind w:left="0"/>
        <w:rPr>
          <w:lang w:val="id-ID" w:eastAsia="en-US"/>
        </w:rPr>
      </w:pPr>
      <w:bookmarkStart w:id="9" w:name="_Toc201299674"/>
      <w:r w:rsidRPr="00BA0C66">
        <w:rPr>
          <w:lang w:val="id-ID" w:eastAsia="en-US"/>
        </w:rPr>
        <w:t>Gambaran Umum Tentang Ilegal</w:t>
      </w:r>
      <w:bookmarkEnd w:id="9"/>
    </w:p>
    <w:p w:rsidR="00652199" w:rsidRDefault="00652199" w:rsidP="00652199">
      <w:pPr>
        <w:pStyle w:val="Heading3"/>
        <w:numPr>
          <w:ilvl w:val="1"/>
          <w:numId w:val="13"/>
        </w:numPr>
        <w:spacing w:before="0" w:line="360" w:lineRule="auto"/>
        <w:ind w:left="426"/>
        <w:rPr>
          <w:lang w:val="id-ID" w:eastAsia="en-US"/>
        </w:rPr>
      </w:pPr>
      <w:bookmarkStart w:id="10" w:name="_Toc201299675"/>
      <w:r>
        <w:rPr>
          <w:lang w:val="id-ID" w:eastAsia="en-US"/>
        </w:rPr>
        <w:t>Pengertian Ilegal</w:t>
      </w:r>
      <w:bookmarkEnd w:id="10"/>
    </w:p>
    <w:p w:rsidR="00652199" w:rsidRPr="001345E2" w:rsidRDefault="00652199" w:rsidP="00652199">
      <w:pPr>
        <w:pStyle w:val="ListParagraph"/>
        <w:spacing w:after="0" w:line="360" w:lineRule="auto"/>
        <w:ind w:left="426" w:firstLine="294"/>
        <w:jc w:val="both"/>
        <w:rPr>
          <w:rStyle w:val="relative"/>
          <w:rFonts w:cstheme="majorBidi"/>
          <w:lang w:val="id-ID"/>
        </w:rPr>
      </w:pPr>
      <w:r w:rsidRPr="00B6722D">
        <w:rPr>
          <w:rStyle w:val="relative"/>
          <w:rFonts w:cstheme="majorBidi"/>
          <w:lang w:val="sv-SE"/>
        </w:rPr>
        <w:t>Istilah "ilegal" merujuk pada segala sesuatu yang bertentangan dengan hukum atau tidak memiliki dasar hukum yang sah.Dalam konteks pinjaman online, layanan ilegal adalah layanan yang beroperasi tanpa izin resmi dari otoritas yang berwenang, seperti OJK, dan sering kali tidak mematuhi peraturan yang berlaku, sehingga berpotensi merugikan konsumen</w:t>
      </w:r>
      <w:r>
        <w:rPr>
          <w:rStyle w:val="relative"/>
          <w:rFonts w:cstheme="majorBidi"/>
          <w:lang w:val="id-ID"/>
        </w:rPr>
        <w:t>.</w:t>
      </w:r>
      <w:r>
        <w:rPr>
          <w:rStyle w:val="FootnoteReference"/>
          <w:rFonts w:cstheme="majorBidi"/>
          <w:lang w:val="id-ID"/>
        </w:rPr>
        <w:footnoteReference w:id="29"/>
      </w:r>
    </w:p>
    <w:p w:rsidR="00652199" w:rsidRPr="00BA0C66" w:rsidRDefault="00652199" w:rsidP="00652199">
      <w:pPr>
        <w:pStyle w:val="Heading3"/>
        <w:numPr>
          <w:ilvl w:val="1"/>
          <w:numId w:val="13"/>
        </w:numPr>
        <w:spacing w:before="0" w:line="360" w:lineRule="auto"/>
        <w:ind w:left="426"/>
        <w:rPr>
          <w:rStyle w:val="relative"/>
          <w:rFonts w:eastAsia="Times New Roman"/>
          <w:kern w:val="0"/>
          <w:lang w:val="id-ID" w:eastAsia="en-US"/>
        </w:rPr>
      </w:pPr>
      <w:bookmarkStart w:id="11" w:name="_Toc201299676"/>
      <w:r>
        <w:rPr>
          <w:rStyle w:val="relative"/>
          <w:lang w:val="id-ID"/>
        </w:rPr>
        <w:t>Peraturan Tentang Ilegal</w:t>
      </w:r>
      <w:bookmarkEnd w:id="11"/>
    </w:p>
    <w:p w:rsidR="00652199" w:rsidRPr="00B6722D" w:rsidRDefault="00652199" w:rsidP="00652199">
      <w:pPr>
        <w:spacing w:after="0" w:line="360" w:lineRule="auto"/>
        <w:ind w:left="426" w:firstLine="425"/>
        <w:jc w:val="both"/>
        <w:rPr>
          <w:rFonts w:ascii="Times New Roman" w:eastAsia="Times New Roman" w:hAnsi="Times New Roman" w:cs="Times New Roman"/>
          <w:kern w:val="0"/>
          <w:lang w:val="id-ID" w:eastAsia="en-US"/>
        </w:rPr>
      </w:pPr>
      <w:r w:rsidRPr="00B6722D">
        <w:rPr>
          <w:rFonts w:ascii="Times New Roman" w:eastAsia="Times New Roman" w:hAnsi="Times New Roman" w:cs="Times New Roman"/>
          <w:kern w:val="0"/>
          <w:lang w:val="id-ID" w:eastAsia="en-US"/>
        </w:rPr>
        <w:t>Pemerintah Indonesia telah mengambil langkah-langkah untuk memberantas praktik pinjaman online ilegal melalui berbagai kebijakan dan regulasi, antara lain:</w:t>
      </w:r>
    </w:p>
    <w:p w:rsidR="00652199" w:rsidRPr="00B6722D" w:rsidRDefault="00652199" w:rsidP="00652199">
      <w:pPr>
        <w:numPr>
          <w:ilvl w:val="0"/>
          <w:numId w:val="14"/>
        </w:numPr>
        <w:spacing w:after="0" w:line="360" w:lineRule="auto"/>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kern w:val="0"/>
          <w:lang w:val="sv-SE" w:eastAsia="en-US"/>
        </w:rPr>
        <w:t xml:space="preserve">Pernyataan Bersama OJK, Bank Indonesia, Kepolisian RI, Kementerian Komunikasi dan Informatika, dan Kementerian Koperasi dan UKM: </w:t>
      </w:r>
    </w:p>
    <w:p w:rsidR="00652199" w:rsidRPr="00B6722D" w:rsidRDefault="00652199" w:rsidP="00652199">
      <w:pPr>
        <w:spacing w:after="0" w:line="360" w:lineRule="auto"/>
        <w:ind w:left="720" w:firstLine="414"/>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kern w:val="0"/>
          <w:lang w:val="sv-SE" w:eastAsia="en-US"/>
        </w:rPr>
        <w:t>Menegaskan komitmen bersama dalam pemberantasan pinjaman online ilegal dan perlindungan konsumen.</w:t>
      </w:r>
    </w:p>
    <w:p w:rsidR="00652199" w:rsidRPr="00B6722D" w:rsidRDefault="00652199" w:rsidP="00652199">
      <w:pPr>
        <w:numPr>
          <w:ilvl w:val="0"/>
          <w:numId w:val="14"/>
        </w:numPr>
        <w:spacing w:after="0" w:line="360" w:lineRule="auto"/>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kern w:val="0"/>
          <w:lang w:val="sv-SE" w:eastAsia="en-US"/>
        </w:rPr>
        <w:t xml:space="preserve">Pemutusan Akses oleh Kementerian Komunikasi dan Informatika: </w:t>
      </w:r>
    </w:p>
    <w:p w:rsidR="00652199" w:rsidRPr="00B6722D" w:rsidRDefault="00652199" w:rsidP="00652199">
      <w:pPr>
        <w:spacing w:after="0" w:line="360" w:lineRule="auto"/>
        <w:ind w:left="720" w:firstLine="414"/>
        <w:jc w:val="both"/>
        <w:rPr>
          <w:rFonts w:ascii="Times New Roman" w:eastAsia="Times New Roman" w:hAnsi="Times New Roman" w:cs="Times New Roman"/>
          <w:kern w:val="0"/>
          <w:lang w:val="sv-SE" w:eastAsia="en-US"/>
        </w:rPr>
      </w:pPr>
      <w:r w:rsidRPr="00B6722D">
        <w:rPr>
          <w:rFonts w:ascii="Times New Roman" w:eastAsia="Times New Roman" w:hAnsi="Times New Roman" w:cs="Times New Roman"/>
          <w:kern w:val="0"/>
          <w:lang w:val="sv-SE" w:eastAsia="en-US"/>
        </w:rPr>
        <w:t xml:space="preserve">Sejak tahun 2018 hingga Agustus 2021, Kementerian Kominfo telah memutus akses terhadap ribuan konten terkait fintech ilegal yang melanggar peraturan perundang-undangan. </w:t>
      </w:r>
    </w:p>
    <w:p w:rsidR="00652199" w:rsidRDefault="00652199" w:rsidP="00652199">
      <w:pPr>
        <w:numPr>
          <w:ilvl w:val="0"/>
          <w:numId w:val="14"/>
        </w:numPr>
        <w:spacing w:after="0" w:line="360" w:lineRule="auto"/>
        <w:jc w:val="both"/>
        <w:rPr>
          <w:rFonts w:ascii="Times New Roman" w:eastAsia="Times New Roman" w:hAnsi="Times New Roman" w:cs="Times New Roman"/>
          <w:kern w:val="0"/>
          <w:lang w:val="en-US" w:eastAsia="en-US"/>
        </w:rPr>
      </w:pPr>
      <w:r w:rsidRPr="00BA0C66">
        <w:rPr>
          <w:rFonts w:ascii="Times New Roman" w:eastAsia="Times New Roman" w:hAnsi="Times New Roman" w:cs="Times New Roman"/>
          <w:kern w:val="0"/>
          <w:lang w:val="en-US" w:eastAsia="en-US"/>
        </w:rPr>
        <w:lastRenderedPageBreak/>
        <w:t xml:space="preserve">Sanksi Administratif dan Pidana: </w:t>
      </w:r>
    </w:p>
    <w:p w:rsidR="00652199" w:rsidRDefault="00652199" w:rsidP="00652199">
      <w:pPr>
        <w:spacing w:after="0" w:line="360" w:lineRule="auto"/>
        <w:ind w:left="720" w:firstLine="414"/>
        <w:jc w:val="both"/>
        <w:rPr>
          <w:rFonts w:ascii="Times New Roman" w:eastAsia="Times New Roman" w:hAnsi="Times New Roman" w:cs="Times New Roman"/>
          <w:kern w:val="0"/>
          <w:lang w:val="id-ID" w:eastAsia="en-US"/>
        </w:rPr>
      </w:pPr>
      <w:r w:rsidRPr="00BA0C66">
        <w:rPr>
          <w:rFonts w:ascii="Times New Roman" w:eastAsia="Times New Roman" w:hAnsi="Times New Roman" w:cs="Times New Roman"/>
          <w:kern w:val="0"/>
          <w:lang w:val="en-US" w:eastAsia="en-US"/>
        </w:rPr>
        <w:t>Perusahaan pinjaman online ilegal dapat dikenai sanksi administratif berupa denda dan pencabutan izin, serta sanksi pidana jika terbukti melakukan pelanggaran hukum, seperti penipuan atau pelanggaran perlindungan data pribadi</w:t>
      </w:r>
      <w:r>
        <w:rPr>
          <w:rFonts w:ascii="Times New Roman" w:eastAsia="Times New Roman" w:hAnsi="Times New Roman" w:cs="Times New Roman"/>
          <w:kern w:val="0"/>
          <w:lang w:val="id-ID" w:eastAsia="en-US"/>
        </w:rPr>
        <w:t>.</w:t>
      </w:r>
    </w:p>
    <w:p w:rsidR="00E27208" w:rsidRPr="00652199" w:rsidRDefault="008D59D0" w:rsidP="00652199">
      <w:bookmarkStart w:id="12" w:name="_GoBack"/>
      <w:bookmarkEnd w:id="12"/>
    </w:p>
    <w:sectPr w:rsidR="00E27208" w:rsidRPr="00652199" w:rsidSect="00CB3C8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9D0" w:rsidRDefault="008D59D0" w:rsidP="006A3179">
      <w:pPr>
        <w:spacing w:after="0" w:line="240" w:lineRule="auto"/>
      </w:pPr>
      <w:r>
        <w:separator/>
      </w:r>
    </w:p>
  </w:endnote>
  <w:endnote w:type="continuationSeparator" w:id="1">
    <w:p w:rsidR="008D59D0" w:rsidRDefault="008D59D0" w:rsidP="006A3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8D59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57067"/>
      <w:docPartObj>
        <w:docPartGallery w:val="Page Numbers (Bottom of Page)"/>
        <w:docPartUnique/>
      </w:docPartObj>
    </w:sdtPr>
    <w:sdtEndPr>
      <w:rPr>
        <w:noProof/>
      </w:rPr>
    </w:sdtEndPr>
    <w:sdtContent>
      <w:p w:rsidR="00C24873" w:rsidRDefault="00305FF2" w:rsidP="000057EF">
        <w:pPr>
          <w:pStyle w:val="Footer"/>
          <w:jc w:val="center"/>
        </w:pPr>
        <w:r>
          <w:fldChar w:fldCharType="begin"/>
        </w:r>
        <w:r w:rsidR="00AA6792">
          <w:instrText xml:space="preserve"> PAGE   \* MERGEFORMAT </w:instrText>
        </w:r>
        <w:r>
          <w:fldChar w:fldCharType="separate"/>
        </w:r>
        <w:r w:rsidR="00C25EB5">
          <w:rPr>
            <w:noProof/>
          </w:rPr>
          <w:t>1</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8D59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9D0" w:rsidRDefault="008D59D0" w:rsidP="006A3179">
      <w:pPr>
        <w:spacing w:after="0" w:line="240" w:lineRule="auto"/>
      </w:pPr>
      <w:r>
        <w:separator/>
      </w:r>
    </w:p>
  </w:footnote>
  <w:footnote w:type="continuationSeparator" w:id="1">
    <w:p w:rsidR="008D59D0" w:rsidRDefault="008D59D0" w:rsidP="006A3179">
      <w:pPr>
        <w:spacing w:after="0" w:line="240" w:lineRule="auto"/>
      </w:pPr>
      <w:r>
        <w:continuationSeparator/>
      </w:r>
    </w:p>
  </w:footnote>
  <w:footnote w:id="2">
    <w:p w:rsidR="00652199" w:rsidRPr="002D62A6" w:rsidRDefault="00652199" w:rsidP="00652199">
      <w:pPr>
        <w:pStyle w:val="FootnoteText"/>
        <w:jc w:val="both"/>
        <w:rPr>
          <w:lang w:val="sv-SE"/>
        </w:rPr>
      </w:pPr>
      <w:r>
        <w:rPr>
          <w:rStyle w:val="FootnoteReference"/>
        </w:rPr>
        <w:footnoteRef/>
      </w:r>
      <w:r w:rsidRPr="002D62A6">
        <w:rPr>
          <w:lang w:val="sv-SE"/>
        </w:rPr>
        <w:t xml:space="preserve"> Undang-Undang Nomor 8 Tahun 1981 tentang Hukum Acara Pidana, Pasal 1 angka 5</w:t>
      </w:r>
    </w:p>
  </w:footnote>
  <w:footnote w:id="3">
    <w:p w:rsidR="00652199" w:rsidRPr="002D62A6" w:rsidRDefault="00652199" w:rsidP="00652199">
      <w:pPr>
        <w:pStyle w:val="FootnoteText"/>
        <w:ind w:left="142" w:hanging="142"/>
        <w:jc w:val="both"/>
        <w:rPr>
          <w:lang w:val="sv-SE"/>
        </w:rPr>
      </w:pPr>
      <w:r>
        <w:rPr>
          <w:rStyle w:val="FootnoteReference"/>
        </w:rPr>
        <w:footnoteRef/>
      </w:r>
      <w:r w:rsidRPr="002D62A6">
        <w:rPr>
          <w:lang w:val="sv-SE"/>
        </w:rPr>
        <w:t xml:space="preserve"> M. Yahya Harahap, </w:t>
      </w:r>
      <w:r w:rsidRPr="002D62A6">
        <w:rPr>
          <w:i/>
          <w:iCs/>
          <w:lang w:val="sv-SE"/>
        </w:rPr>
        <w:t>Pembahasan Permasalahan dan Penerapan KUHAP: Penyidikan dan Penuntutan</w:t>
      </w:r>
      <w:r w:rsidRPr="002D62A6">
        <w:rPr>
          <w:lang w:val="sv-SE"/>
        </w:rPr>
        <w:t>, (Jakarta: Sinar Grafika, 2015), hlm. 24.</w:t>
      </w:r>
    </w:p>
  </w:footnote>
  <w:footnote w:id="4">
    <w:p w:rsidR="00652199" w:rsidRPr="002D62A6" w:rsidRDefault="00652199" w:rsidP="00652199">
      <w:pPr>
        <w:pStyle w:val="FootnoteText"/>
        <w:ind w:right="-285"/>
        <w:jc w:val="both"/>
        <w:rPr>
          <w:lang w:val="sv-SE"/>
        </w:rPr>
      </w:pPr>
      <w:r>
        <w:rPr>
          <w:rStyle w:val="FootnoteReference"/>
        </w:rPr>
        <w:footnoteRef/>
      </w:r>
      <w:r w:rsidRPr="002D62A6">
        <w:rPr>
          <w:lang w:val="sv-SE"/>
        </w:rPr>
        <w:t xml:space="preserve"> Barda Nawawi Arief, </w:t>
      </w:r>
      <w:r w:rsidRPr="002D62A6">
        <w:rPr>
          <w:i/>
          <w:iCs/>
          <w:lang w:val="sv-SE"/>
        </w:rPr>
        <w:t>Bunga Rampai Kebijakan Hukum Pidana</w:t>
      </w:r>
      <w:r w:rsidRPr="002D62A6">
        <w:rPr>
          <w:lang w:val="sv-SE"/>
        </w:rPr>
        <w:t>, (Jakarta: Kencana, 2019), hlm. 113</w:t>
      </w:r>
    </w:p>
  </w:footnote>
  <w:footnote w:id="5">
    <w:p w:rsidR="00652199" w:rsidRPr="002D62A6" w:rsidRDefault="00652199" w:rsidP="00652199">
      <w:pPr>
        <w:pStyle w:val="FootnoteText"/>
        <w:ind w:left="142" w:hanging="142"/>
        <w:jc w:val="both"/>
        <w:rPr>
          <w:lang w:val="sv-SE"/>
        </w:rPr>
      </w:pPr>
      <w:r>
        <w:rPr>
          <w:rStyle w:val="FootnoteReference"/>
        </w:rPr>
        <w:footnoteRef/>
      </w:r>
      <w:r w:rsidRPr="000D1B08">
        <w:rPr>
          <w:lang w:val="sv-SE"/>
        </w:rPr>
        <w:t>Peraturan Kepala Kepolisian Negara Republik Indonesia Nomor 6 Tahun 2019 tentang Penyidikan Tindak Pidana, Pasal 4</w:t>
      </w:r>
    </w:p>
  </w:footnote>
  <w:footnote w:id="6">
    <w:p w:rsidR="00652199" w:rsidRPr="002D62A6" w:rsidRDefault="00652199" w:rsidP="00652199">
      <w:pPr>
        <w:pStyle w:val="FootnoteText"/>
        <w:ind w:left="142" w:hanging="142"/>
        <w:jc w:val="both"/>
        <w:rPr>
          <w:lang w:val="sv-SE"/>
        </w:rPr>
      </w:pPr>
      <w:r>
        <w:rPr>
          <w:rStyle w:val="FootnoteReference"/>
        </w:rPr>
        <w:footnoteRef/>
      </w:r>
      <w:r w:rsidRPr="002D62A6">
        <w:rPr>
          <w:lang w:val="sv-SE"/>
        </w:rPr>
        <w:t xml:space="preserve"> Ahmad Sofian, </w:t>
      </w:r>
      <w:r w:rsidRPr="002D62A6">
        <w:rPr>
          <w:i/>
          <w:iCs/>
          <w:lang w:val="sv-SE"/>
        </w:rPr>
        <w:t>Hukum Acara Pidana Kontemporer: Pendekatan Teori dan Praktik</w:t>
      </w:r>
      <w:r w:rsidRPr="002D62A6">
        <w:rPr>
          <w:lang w:val="sv-SE"/>
        </w:rPr>
        <w:t>, (Jakarta: Prenadamedia Group, 2020), hlm. 78</w:t>
      </w:r>
    </w:p>
  </w:footnote>
  <w:footnote w:id="7">
    <w:p w:rsidR="00652199" w:rsidRPr="002D62A6" w:rsidRDefault="00652199" w:rsidP="00652199">
      <w:pPr>
        <w:pStyle w:val="FootnoteText"/>
        <w:ind w:left="142" w:hanging="142"/>
        <w:jc w:val="both"/>
        <w:rPr>
          <w:lang w:val="sv-SE"/>
        </w:rPr>
      </w:pPr>
      <w:r>
        <w:rPr>
          <w:rStyle w:val="FootnoteReference"/>
        </w:rPr>
        <w:footnoteRef/>
      </w:r>
      <w:r w:rsidRPr="002D62A6">
        <w:rPr>
          <w:lang w:val="sv-SE"/>
        </w:rPr>
        <w:t xml:space="preserve"> Ridwan Arifin, </w:t>
      </w:r>
      <w:r w:rsidRPr="002D62A6">
        <w:rPr>
          <w:i/>
          <w:iCs/>
          <w:lang w:val="sv-SE"/>
        </w:rPr>
        <w:t>Profesionalisme Aparat Penegak Hukum dalam Penyelidikan dan Penyidikan Tindak Pidana</w:t>
      </w:r>
      <w:r w:rsidRPr="002D62A6">
        <w:rPr>
          <w:lang w:val="sv-SE"/>
        </w:rPr>
        <w:t>, (Yogyakarta: Genta Publishing, 2021), hlm. 92</w:t>
      </w:r>
    </w:p>
  </w:footnote>
  <w:footnote w:id="8">
    <w:p w:rsidR="00652199" w:rsidRPr="0079355C" w:rsidRDefault="00652199" w:rsidP="00652199">
      <w:pPr>
        <w:pStyle w:val="FootnoteText"/>
        <w:jc w:val="both"/>
      </w:pPr>
      <w:r>
        <w:rPr>
          <w:rStyle w:val="FootnoteReference"/>
        </w:rPr>
        <w:footnoteRef/>
      </w:r>
      <w:r w:rsidRPr="0079355C">
        <w:t xml:space="preserve"> Erdianto Effendi, </w:t>
      </w:r>
      <w:r w:rsidRPr="0079355C">
        <w:rPr>
          <w:i/>
          <w:iCs/>
        </w:rPr>
        <w:t>Hukum Pidana Indonesia</w:t>
      </w:r>
      <w:r w:rsidRPr="0079355C">
        <w:t>, (Jakarta: Prenadamedia Group, 2020), hlm. 32</w:t>
      </w:r>
    </w:p>
  </w:footnote>
  <w:footnote w:id="9">
    <w:p w:rsidR="00652199" w:rsidRPr="0079355C" w:rsidRDefault="00652199" w:rsidP="00652199">
      <w:pPr>
        <w:pStyle w:val="FootnoteText"/>
        <w:jc w:val="both"/>
        <w:rPr>
          <w:lang w:val="sv-SE"/>
        </w:rPr>
      </w:pPr>
      <w:r>
        <w:rPr>
          <w:rStyle w:val="FootnoteReference"/>
        </w:rPr>
        <w:footnoteRef/>
      </w:r>
      <w:r w:rsidRPr="0079355C">
        <w:rPr>
          <w:lang w:val="sv-SE"/>
        </w:rPr>
        <w:t xml:space="preserve"> Lilik Mulyadi, </w:t>
      </w:r>
      <w:r w:rsidRPr="0079355C">
        <w:rPr>
          <w:i/>
          <w:iCs/>
          <w:lang w:val="sv-SE"/>
        </w:rPr>
        <w:t>Hukum Pidana Umum</w:t>
      </w:r>
      <w:r w:rsidRPr="0079355C">
        <w:rPr>
          <w:lang w:val="sv-SE"/>
        </w:rPr>
        <w:t>, (Bandung: Alumni, 2021), hlm. 56.</w:t>
      </w:r>
    </w:p>
  </w:footnote>
  <w:footnote w:id="10">
    <w:p w:rsidR="00652199" w:rsidRPr="0032165E" w:rsidRDefault="00652199" w:rsidP="00652199">
      <w:pPr>
        <w:pStyle w:val="FootnoteText"/>
        <w:ind w:left="142" w:hanging="142"/>
        <w:jc w:val="both"/>
        <w:rPr>
          <w:lang w:val="sv-SE"/>
        </w:rPr>
      </w:pPr>
      <w:r>
        <w:rPr>
          <w:rStyle w:val="FootnoteReference"/>
        </w:rPr>
        <w:footnoteRef/>
      </w:r>
      <w:r w:rsidRPr="0032165E">
        <w:rPr>
          <w:lang w:val="sv-SE"/>
        </w:rPr>
        <w:t xml:space="preserve"> Halimatul Maryani, </w:t>
      </w:r>
      <w:r w:rsidRPr="0032165E">
        <w:rPr>
          <w:i/>
          <w:iCs/>
          <w:lang w:val="sv-SE"/>
        </w:rPr>
        <w:t>Pengantar Hukum Pidana</w:t>
      </w:r>
      <w:r w:rsidRPr="0032165E">
        <w:rPr>
          <w:lang w:val="sv-SE"/>
        </w:rPr>
        <w:t>, Medan: Fakultas Hukum UMN Al-Washliyah, 2023, hlm. 15.</w:t>
      </w:r>
    </w:p>
  </w:footnote>
  <w:footnote w:id="11">
    <w:p w:rsidR="00652199" w:rsidRPr="0079355C" w:rsidRDefault="00652199" w:rsidP="00652199">
      <w:pPr>
        <w:pStyle w:val="FootnoteText"/>
        <w:ind w:left="142" w:hanging="142"/>
        <w:jc w:val="both"/>
        <w:rPr>
          <w:lang w:val="sv-SE"/>
        </w:rPr>
      </w:pPr>
      <w:r>
        <w:rPr>
          <w:rStyle w:val="FootnoteReference"/>
        </w:rPr>
        <w:footnoteRef/>
      </w:r>
      <w:r w:rsidRPr="0079355C">
        <w:rPr>
          <w:lang w:val="sv-SE"/>
        </w:rPr>
        <w:t xml:space="preserve"> Barda Nawawi Arief, </w:t>
      </w:r>
      <w:r w:rsidRPr="0079355C">
        <w:rPr>
          <w:i/>
          <w:iCs/>
          <w:lang w:val="sv-SE"/>
        </w:rPr>
        <w:t>Kebijakan Legislatif dalam Penanggulangan Kejahatan</w:t>
      </w:r>
      <w:r w:rsidRPr="0079355C">
        <w:rPr>
          <w:lang w:val="sv-SE"/>
        </w:rPr>
        <w:t>, (Jakarta: Kencana, 2020), hlm. 73.</w:t>
      </w:r>
    </w:p>
  </w:footnote>
  <w:footnote w:id="12">
    <w:p w:rsidR="00652199" w:rsidRPr="0079355C" w:rsidRDefault="00652199" w:rsidP="00652199">
      <w:pPr>
        <w:pStyle w:val="FootnoteText"/>
        <w:jc w:val="both"/>
        <w:rPr>
          <w:lang w:val="sv-SE"/>
        </w:rPr>
      </w:pPr>
      <w:r>
        <w:rPr>
          <w:rStyle w:val="FootnoteReference"/>
        </w:rPr>
        <w:footnoteRef/>
      </w:r>
      <w:r w:rsidRPr="0079355C">
        <w:rPr>
          <w:lang w:val="sv-SE"/>
        </w:rPr>
        <w:t xml:space="preserve"> Ahmad Sofian, </w:t>
      </w:r>
      <w:r w:rsidRPr="0079355C">
        <w:rPr>
          <w:i/>
          <w:iCs/>
          <w:lang w:val="sv-SE"/>
        </w:rPr>
        <w:t>Hukum Pidana Kontemporer</w:t>
      </w:r>
      <w:r w:rsidRPr="0079355C">
        <w:rPr>
          <w:lang w:val="sv-SE"/>
        </w:rPr>
        <w:t>, (Jakarta: Prenadamedia Group, 2021), hlm. 89.</w:t>
      </w:r>
    </w:p>
  </w:footnote>
  <w:footnote w:id="13">
    <w:p w:rsidR="00652199" w:rsidRPr="0032165E" w:rsidRDefault="00652199" w:rsidP="00652199">
      <w:pPr>
        <w:pStyle w:val="FootnoteText"/>
        <w:ind w:left="142" w:hanging="142"/>
        <w:jc w:val="both"/>
        <w:rPr>
          <w:lang w:val="sv-SE"/>
        </w:rPr>
      </w:pPr>
      <w:r>
        <w:rPr>
          <w:rStyle w:val="FootnoteReference"/>
        </w:rPr>
        <w:footnoteRef/>
      </w:r>
      <w:r w:rsidRPr="0032165E">
        <w:rPr>
          <w:lang w:val="sv-SE"/>
        </w:rPr>
        <w:t xml:space="preserve"> Halimatul Maryani, </w:t>
      </w:r>
      <w:r w:rsidRPr="0032165E">
        <w:rPr>
          <w:i/>
          <w:iCs/>
          <w:lang w:val="sv-SE"/>
        </w:rPr>
        <w:t>Pengantar Hukum Pidana</w:t>
      </w:r>
      <w:r w:rsidRPr="0032165E">
        <w:rPr>
          <w:lang w:val="sv-SE"/>
        </w:rPr>
        <w:t>, Medan: Fakultas Hukum UMN Al-Washliyah, 2023, hlm. 27.</w:t>
      </w:r>
    </w:p>
  </w:footnote>
  <w:footnote w:id="14">
    <w:p w:rsidR="00652199" w:rsidRPr="0079355C" w:rsidRDefault="00652199" w:rsidP="00652199">
      <w:pPr>
        <w:pStyle w:val="FootnoteText"/>
        <w:ind w:left="142" w:hanging="142"/>
        <w:jc w:val="both"/>
        <w:rPr>
          <w:lang w:val="sv-SE"/>
        </w:rPr>
      </w:pPr>
      <w:r>
        <w:rPr>
          <w:rStyle w:val="FootnoteReference"/>
        </w:rPr>
        <w:footnoteRef/>
      </w:r>
      <w:r w:rsidRPr="0079355C">
        <w:rPr>
          <w:lang w:val="sv-SE"/>
        </w:rPr>
        <w:t xml:space="preserve"> R. Soesilo, </w:t>
      </w:r>
      <w:r w:rsidRPr="0079355C">
        <w:rPr>
          <w:i/>
          <w:iCs/>
          <w:lang w:val="sv-SE"/>
        </w:rPr>
        <w:t>Kitab Undang-Undang Hukum Pidana serta Komentar-komentarnya</w:t>
      </w:r>
      <w:r w:rsidRPr="0079355C">
        <w:rPr>
          <w:lang w:val="sv-SE"/>
        </w:rPr>
        <w:t>, (Jakarta: Politeia, 2019), hlm. 4.</w:t>
      </w:r>
    </w:p>
  </w:footnote>
  <w:footnote w:id="15">
    <w:p w:rsidR="00652199" w:rsidRPr="0079355C" w:rsidRDefault="00652199" w:rsidP="00652199">
      <w:pPr>
        <w:pStyle w:val="FootnoteText"/>
        <w:jc w:val="both"/>
        <w:rPr>
          <w:lang w:val="sv-SE"/>
        </w:rPr>
      </w:pPr>
      <w:r>
        <w:rPr>
          <w:rStyle w:val="FootnoteReference"/>
        </w:rPr>
        <w:footnoteRef/>
      </w:r>
      <w:r w:rsidRPr="0079355C">
        <w:rPr>
          <w:lang w:val="sv-SE"/>
        </w:rPr>
        <w:t xml:space="preserve"> I Gede A. S. Raka, </w:t>
      </w:r>
      <w:r w:rsidRPr="0079355C">
        <w:rPr>
          <w:i/>
          <w:iCs/>
          <w:lang w:val="sv-SE"/>
        </w:rPr>
        <w:t>Hukum Acara Pidana</w:t>
      </w:r>
      <w:r w:rsidRPr="0079355C">
        <w:rPr>
          <w:lang w:val="sv-SE"/>
        </w:rPr>
        <w:t>, (Yogyakarta: Graha Ilmu, 2019), hlm. 112.</w:t>
      </w:r>
    </w:p>
  </w:footnote>
  <w:footnote w:id="16">
    <w:p w:rsidR="00652199" w:rsidRPr="0079355C" w:rsidRDefault="00652199" w:rsidP="00652199">
      <w:pPr>
        <w:pStyle w:val="FootnoteText"/>
        <w:jc w:val="both"/>
        <w:rPr>
          <w:lang w:val="sv-SE"/>
        </w:rPr>
      </w:pPr>
      <w:r>
        <w:rPr>
          <w:rStyle w:val="FootnoteReference"/>
        </w:rPr>
        <w:footnoteRef/>
      </w:r>
      <w:r w:rsidRPr="0079355C">
        <w:rPr>
          <w:lang w:val="sv-SE"/>
        </w:rPr>
        <w:t xml:space="preserve"> Andi Hamzah, </w:t>
      </w:r>
      <w:r w:rsidRPr="0079355C">
        <w:rPr>
          <w:i/>
          <w:iCs/>
          <w:lang w:val="sv-SE"/>
        </w:rPr>
        <w:t>Hukum Pidana Khusus</w:t>
      </w:r>
      <w:r w:rsidRPr="0079355C">
        <w:rPr>
          <w:lang w:val="sv-SE"/>
        </w:rPr>
        <w:t>, (Jakarta: Sinar Grafika, 2020), hlm. 28.</w:t>
      </w:r>
    </w:p>
  </w:footnote>
  <w:footnote w:id="17">
    <w:p w:rsidR="00652199" w:rsidRPr="0079355C" w:rsidRDefault="00652199" w:rsidP="00652199">
      <w:pPr>
        <w:pStyle w:val="FootnoteText"/>
        <w:ind w:left="142" w:hanging="142"/>
        <w:jc w:val="both"/>
        <w:rPr>
          <w:lang w:val="sv-SE"/>
        </w:rPr>
      </w:pPr>
      <w:r>
        <w:rPr>
          <w:rStyle w:val="FootnoteReference"/>
        </w:rPr>
        <w:footnoteRef/>
      </w:r>
      <w:r w:rsidRPr="0079355C">
        <w:rPr>
          <w:lang w:val="sv-SE"/>
        </w:rPr>
        <w:t xml:space="preserve"> Ridwan Arifin, </w:t>
      </w:r>
      <w:r w:rsidRPr="0079355C">
        <w:rPr>
          <w:i/>
          <w:iCs/>
          <w:lang w:val="sv-SE"/>
        </w:rPr>
        <w:t>Teori dan Praktik Hukum Pidana dalam Sistem Peradilan Indonesia</w:t>
      </w:r>
      <w:r w:rsidRPr="0079355C">
        <w:rPr>
          <w:lang w:val="sv-SE"/>
        </w:rPr>
        <w:t>, (Yogyakarta: Genta Publishing, 2021), hlm. 97.</w:t>
      </w:r>
    </w:p>
  </w:footnote>
  <w:footnote w:id="18">
    <w:p w:rsidR="00652199" w:rsidRPr="00251526" w:rsidRDefault="00652199" w:rsidP="00652199">
      <w:pPr>
        <w:pStyle w:val="FootnoteText"/>
        <w:jc w:val="both"/>
        <w:rPr>
          <w:rFonts w:cstheme="majorBidi"/>
          <w:sz w:val="18"/>
          <w:szCs w:val="18"/>
          <w:lang w:val="id-ID"/>
        </w:rPr>
      </w:pPr>
      <w:r w:rsidRPr="00251526">
        <w:rPr>
          <w:rStyle w:val="FootnoteReference"/>
          <w:rFonts w:cstheme="majorBidi"/>
          <w:sz w:val="18"/>
          <w:szCs w:val="18"/>
        </w:rPr>
        <w:footnoteRef/>
      </w:r>
      <w:r w:rsidRPr="00B6722D">
        <w:rPr>
          <w:rFonts w:cstheme="majorBidi"/>
          <w:sz w:val="18"/>
          <w:szCs w:val="18"/>
          <w:lang w:val="sv-SE"/>
        </w:rPr>
        <w:t xml:space="preserve"> Kitab Undang-Undang Hukum Perdata (KUHPer), Pasal 1754.</w:t>
      </w:r>
    </w:p>
  </w:footnote>
  <w:footnote w:id="19">
    <w:p w:rsidR="00652199" w:rsidRPr="00251526" w:rsidRDefault="00652199" w:rsidP="00652199">
      <w:pPr>
        <w:pStyle w:val="FootnoteText"/>
        <w:ind w:left="142" w:hanging="142"/>
        <w:jc w:val="both"/>
        <w:rPr>
          <w:rFonts w:cstheme="majorBidi"/>
          <w:sz w:val="18"/>
          <w:szCs w:val="18"/>
          <w:lang w:val="id-ID"/>
        </w:rPr>
      </w:pPr>
      <w:r w:rsidRPr="00251526">
        <w:rPr>
          <w:rStyle w:val="FootnoteReference"/>
          <w:rFonts w:cstheme="majorBidi"/>
          <w:sz w:val="18"/>
          <w:szCs w:val="18"/>
        </w:rPr>
        <w:footnoteRef/>
      </w:r>
      <w:r w:rsidRPr="00B6722D">
        <w:rPr>
          <w:rFonts w:cstheme="majorBidi"/>
          <w:sz w:val="18"/>
          <w:szCs w:val="18"/>
          <w:lang w:val="sv-SE"/>
        </w:rPr>
        <w:t xml:space="preserve"> Otoritas Jasa Keuangan (OJK), </w:t>
      </w:r>
      <w:r w:rsidRPr="00B6722D">
        <w:rPr>
          <w:rStyle w:val="Emphasis"/>
          <w:rFonts w:cstheme="majorBidi"/>
          <w:sz w:val="18"/>
          <w:szCs w:val="18"/>
          <w:lang w:val="sv-SE"/>
        </w:rPr>
        <w:t>Modul Literasi Keuangan Sektor Jasa Keuangan untuk Perguruan Tinggi</w:t>
      </w:r>
      <w:r w:rsidRPr="00B6722D">
        <w:rPr>
          <w:rFonts w:cstheme="majorBidi"/>
          <w:sz w:val="18"/>
          <w:szCs w:val="18"/>
          <w:lang w:val="sv-SE"/>
        </w:rPr>
        <w:t>, Edisi Revisi 2021, hlm. 45.</w:t>
      </w:r>
    </w:p>
  </w:footnote>
  <w:footnote w:id="20">
    <w:p w:rsidR="00652199" w:rsidRPr="00251526" w:rsidRDefault="00652199" w:rsidP="00652199">
      <w:pPr>
        <w:pStyle w:val="FootnoteText"/>
        <w:ind w:left="142" w:hanging="142"/>
        <w:jc w:val="both"/>
        <w:rPr>
          <w:rFonts w:cstheme="majorBidi"/>
          <w:sz w:val="18"/>
          <w:szCs w:val="18"/>
          <w:lang w:val="id-ID"/>
        </w:rPr>
      </w:pPr>
      <w:r w:rsidRPr="00251526">
        <w:rPr>
          <w:rStyle w:val="FootnoteReference"/>
          <w:rFonts w:cstheme="majorBidi"/>
          <w:sz w:val="18"/>
          <w:szCs w:val="18"/>
        </w:rPr>
        <w:footnoteRef/>
      </w:r>
      <w:r w:rsidRPr="00B6722D">
        <w:rPr>
          <w:rFonts w:cstheme="majorBidi"/>
          <w:sz w:val="18"/>
          <w:szCs w:val="18"/>
          <w:lang w:val="sv-SE"/>
        </w:rPr>
        <w:t xml:space="preserve"> Otoritas Jasa Keuangan (OJK), </w:t>
      </w:r>
      <w:r w:rsidRPr="00B6722D">
        <w:rPr>
          <w:rStyle w:val="Emphasis"/>
          <w:rFonts w:cstheme="majorBidi"/>
          <w:sz w:val="18"/>
          <w:szCs w:val="18"/>
          <w:lang w:val="sv-SE"/>
        </w:rPr>
        <w:t>Statistik Fintech Lending Periode Desember 2023</w:t>
      </w:r>
      <w:r w:rsidRPr="00B6722D">
        <w:rPr>
          <w:rFonts w:cstheme="majorBidi"/>
          <w:sz w:val="18"/>
          <w:szCs w:val="18"/>
          <w:lang w:val="sv-SE"/>
        </w:rPr>
        <w:t>, diakses melalui www.ojk.go.id.</w:t>
      </w:r>
    </w:p>
  </w:footnote>
  <w:footnote w:id="21">
    <w:p w:rsidR="00652199" w:rsidRPr="00251526" w:rsidRDefault="00652199" w:rsidP="00652199">
      <w:pPr>
        <w:pStyle w:val="FootnoteText"/>
        <w:ind w:left="142" w:hanging="142"/>
        <w:jc w:val="both"/>
        <w:rPr>
          <w:rFonts w:cstheme="majorBidi"/>
          <w:sz w:val="18"/>
          <w:szCs w:val="18"/>
          <w:lang w:val="id-ID"/>
        </w:rPr>
      </w:pPr>
      <w:r w:rsidRPr="00251526">
        <w:rPr>
          <w:rStyle w:val="FootnoteReference"/>
          <w:rFonts w:cstheme="majorBidi"/>
          <w:sz w:val="18"/>
          <w:szCs w:val="18"/>
        </w:rPr>
        <w:footnoteRef/>
      </w:r>
      <w:r w:rsidRPr="00B6722D">
        <w:rPr>
          <w:rFonts w:cstheme="majorBidi"/>
          <w:sz w:val="18"/>
          <w:szCs w:val="18"/>
          <w:lang w:val="sv-SE"/>
        </w:rPr>
        <w:t xml:space="preserve"> Otoritas Jasa Keuangan (OJK), </w:t>
      </w:r>
      <w:r w:rsidRPr="00B6722D">
        <w:rPr>
          <w:rStyle w:val="Emphasis"/>
          <w:rFonts w:cstheme="majorBidi"/>
          <w:sz w:val="18"/>
          <w:szCs w:val="18"/>
          <w:lang w:val="sv-SE"/>
        </w:rPr>
        <w:t>Modul Literasi Keuangan Sektor Jasa Keuangan untuk Perguruan Tinggi</w:t>
      </w:r>
      <w:r w:rsidRPr="00B6722D">
        <w:rPr>
          <w:rFonts w:cstheme="majorBidi"/>
          <w:sz w:val="18"/>
          <w:szCs w:val="18"/>
          <w:lang w:val="sv-SE"/>
        </w:rPr>
        <w:t>, Edisi Revisi, 2021, hlm. 47</w:t>
      </w:r>
    </w:p>
  </w:footnote>
  <w:footnote w:id="22">
    <w:p w:rsidR="00652199" w:rsidRPr="00251526" w:rsidRDefault="00652199" w:rsidP="00652199">
      <w:pPr>
        <w:pStyle w:val="FootnoteText"/>
        <w:ind w:left="142" w:hanging="142"/>
        <w:jc w:val="both"/>
        <w:rPr>
          <w:rFonts w:cstheme="majorBidi"/>
          <w:sz w:val="18"/>
          <w:szCs w:val="18"/>
          <w:lang w:val="id-ID"/>
        </w:rPr>
      </w:pPr>
      <w:r w:rsidRPr="00251526">
        <w:rPr>
          <w:rStyle w:val="FootnoteReference"/>
          <w:rFonts w:cstheme="majorBidi"/>
          <w:sz w:val="18"/>
          <w:szCs w:val="18"/>
        </w:rPr>
        <w:footnoteRef/>
      </w:r>
      <w:r w:rsidRPr="00B6722D">
        <w:rPr>
          <w:rFonts w:cstheme="majorBidi"/>
          <w:sz w:val="18"/>
          <w:szCs w:val="18"/>
          <w:lang w:val="sv-SE"/>
        </w:rPr>
        <w:t xml:space="preserve"> Bank Indonesia, </w:t>
      </w:r>
      <w:r w:rsidRPr="00B6722D">
        <w:rPr>
          <w:rStyle w:val="Emphasis"/>
          <w:rFonts w:cstheme="majorBidi"/>
          <w:sz w:val="18"/>
          <w:szCs w:val="18"/>
          <w:lang w:val="sv-SE"/>
        </w:rPr>
        <w:t>Laporan Perkembangan Kredit Konsumsi di Indonesia Tahun 2020</w:t>
      </w:r>
      <w:r w:rsidRPr="00B6722D">
        <w:rPr>
          <w:rFonts w:cstheme="majorBidi"/>
          <w:sz w:val="18"/>
          <w:szCs w:val="18"/>
          <w:lang w:val="sv-SE"/>
        </w:rPr>
        <w:t>, Jakarta: BI, 2020, hlm. 15</w:t>
      </w:r>
    </w:p>
  </w:footnote>
  <w:footnote w:id="23">
    <w:p w:rsidR="00652199" w:rsidRPr="00251526" w:rsidRDefault="00652199" w:rsidP="00652199">
      <w:pPr>
        <w:pStyle w:val="FootnoteText"/>
        <w:ind w:left="142" w:hanging="142"/>
        <w:jc w:val="both"/>
        <w:rPr>
          <w:rFonts w:cstheme="majorBidi"/>
          <w:sz w:val="18"/>
          <w:szCs w:val="18"/>
          <w:lang w:val="id-ID"/>
        </w:rPr>
      </w:pPr>
      <w:r w:rsidRPr="00251526">
        <w:rPr>
          <w:rStyle w:val="FootnoteReference"/>
          <w:rFonts w:cstheme="majorBidi"/>
          <w:sz w:val="18"/>
          <w:szCs w:val="18"/>
        </w:rPr>
        <w:footnoteRef/>
      </w:r>
      <w:r w:rsidRPr="00B6722D">
        <w:rPr>
          <w:rFonts w:cstheme="majorBidi"/>
          <w:sz w:val="18"/>
          <w:szCs w:val="18"/>
          <w:lang w:val="sv-SE"/>
        </w:rPr>
        <w:t xml:space="preserve"> Kementerian Koperasi dan UKM, </w:t>
      </w:r>
      <w:r w:rsidRPr="00B6722D">
        <w:rPr>
          <w:rStyle w:val="Emphasis"/>
          <w:rFonts w:cstheme="majorBidi"/>
          <w:sz w:val="18"/>
          <w:szCs w:val="18"/>
          <w:lang w:val="sv-SE"/>
        </w:rPr>
        <w:t>Laporan Tahunan UMKM dan Koperasi di Indonesia Tahun 2022</w:t>
      </w:r>
      <w:r w:rsidRPr="00B6722D">
        <w:rPr>
          <w:rFonts w:cstheme="majorBidi"/>
          <w:sz w:val="18"/>
          <w:szCs w:val="18"/>
          <w:lang w:val="sv-SE"/>
        </w:rPr>
        <w:t xml:space="preserve">, Jakarta: </w:t>
      </w:r>
      <w:r>
        <w:rPr>
          <w:rFonts w:cstheme="majorBidi"/>
          <w:sz w:val="18"/>
          <w:szCs w:val="18"/>
          <w:lang w:val="sv-SE"/>
        </w:rPr>
        <w:br/>
      </w:r>
      <w:r w:rsidRPr="00B6722D">
        <w:rPr>
          <w:rFonts w:cstheme="majorBidi"/>
          <w:sz w:val="18"/>
          <w:szCs w:val="18"/>
          <w:lang w:val="sv-SE"/>
        </w:rPr>
        <w:t>Kemenkop UKM, 2022, hlm. 38</w:t>
      </w:r>
    </w:p>
  </w:footnote>
  <w:footnote w:id="24">
    <w:p w:rsidR="00652199" w:rsidRPr="003A6387" w:rsidRDefault="00652199" w:rsidP="00652199">
      <w:pPr>
        <w:pStyle w:val="FootnoteText"/>
        <w:jc w:val="both"/>
        <w:rPr>
          <w:lang w:val="sv-SE"/>
        </w:rPr>
      </w:pPr>
      <w:r>
        <w:rPr>
          <w:rStyle w:val="FootnoteReference"/>
        </w:rPr>
        <w:footnoteRef/>
      </w:r>
      <w:r w:rsidRPr="003A6387">
        <w:rPr>
          <w:lang w:val="sv-SE"/>
        </w:rPr>
        <w:t xml:space="preserve"> Richardus Eko Indrajit, </w:t>
      </w:r>
      <w:r w:rsidRPr="003A6387">
        <w:rPr>
          <w:i/>
          <w:iCs/>
          <w:lang w:val="sv-SE"/>
        </w:rPr>
        <w:t>Manajemen Sistem Informasi dan Teknologi Informasi</w:t>
      </w:r>
      <w:r w:rsidRPr="003A6387">
        <w:rPr>
          <w:lang w:val="sv-SE"/>
        </w:rPr>
        <w:t xml:space="preserve">, Jakarta: Bumi </w:t>
      </w:r>
      <w:r>
        <w:rPr>
          <w:lang w:val="sv-SE"/>
        </w:rPr>
        <w:br/>
      </w:r>
      <w:r w:rsidRPr="003A6387">
        <w:rPr>
          <w:lang w:val="sv-SE"/>
        </w:rPr>
        <w:t>Aksara, 2019.</w:t>
      </w:r>
    </w:p>
  </w:footnote>
  <w:footnote w:id="25">
    <w:p w:rsidR="00652199" w:rsidRPr="00C45FB7" w:rsidRDefault="00652199" w:rsidP="00652199">
      <w:pPr>
        <w:pStyle w:val="FootnoteText"/>
        <w:jc w:val="both"/>
        <w:rPr>
          <w:lang w:val="id-ID"/>
        </w:rPr>
      </w:pPr>
      <w:r>
        <w:rPr>
          <w:rStyle w:val="FootnoteReference"/>
        </w:rPr>
        <w:footnoteRef/>
      </w:r>
      <w:r w:rsidRPr="00B6722D">
        <w:rPr>
          <w:lang w:val="sv-SE"/>
        </w:rPr>
        <w:t xml:space="preserve"> Otoritas Jasa Keuangan, </w:t>
      </w:r>
      <w:r w:rsidRPr="00B6722D">
        <w:rPr>
          <w:rStyle w:val="Emphasis"/>
          <w:lang w:val="sv-SE"/>
        </w:rPr>
        <w:t>Statistik Fintech Lending Periode Desember 2023</w:t>
      </w:r>
      <w:r w:rsidRPr="00B6722D">
        <w:rPr>
          <w:lang w:val="sv-SE"/>
        </w:rPr>
        <w:t xml:space="preserve">, diakses melalui </w:t>
      </w:r>
      <w:r>
        <w:rPr>
          <w:lang w:val="sv-SE"/>
        </w:rPr>
        <w:br/>
      </w:r>
      <w:r w:rsidRPr="00B6722D">
        <w:rPr>
          <w:lang w:val="sv-SE"/>
        </w:rPr>
        <w:t>www.ojk.go.id</w:t>
      </w:r>
    </w:p>
  </w:footnote>
  <w:footnote w:id="26">
    <w:p w:rsidR="00652199" w:rsidRPr="006A5A54" w:rsidRDefault="00652199" w:rsidP="00652199">
      <w:pPr>
        <w:pStyle w:val="FootnoteText"/>
        <w:jc w:val="both"/>
        <w:rPr>
          <w:lang w:val="id-ID"/>
        </w:rPr>
      </w:pPr>
      <w:r>
        <w:rPr>
          <w:rStyle w:val="FootnoteReference"/>
        </w:rPr>
        <w:footnoteRef/>
      </w:r>
      <w:r w:rsidRPr="00B6722D">
        <w:rPr>
          <w:lang w:val="sv-SE"/>
        </w:rPr>
        <w:t xml:space="preserve"> Otoritas Jasa Keuangan, </w:t>
      </w:r>
      <w:r w:rsidRPr="00B6722D">
        <w:rPr>
          <w:rStyle w:val="Emphasis"/>
          <w:lang w:val="sv-SE"/>
        </w:rPr>
        <w:t xml:space="preserve">Peraturan OJK Nomor 77/POJK.01/2016 tentang Layanan Pinjam </w:t>
      </w:r>
      <w:r>
        <w:rPr>
          <w:rStyle w:val="Emphasis"/>
          <w:lang w:val="sv-SE"/>
        </w:rPr>
        <w:br/>
      </w:r>
      <w:r w:rsidRPr="00B6722D">
        <w:rPr>
          <w:rStyle w:val="Emphasis"/>
          <w:lang w:val="sv-SE"/>
        </w:rPr>
        <w:t>Meminjam Uang Berbasis Teknologi Informasi</w:t>
      </w:r>
      <w:r w:rsidRPr="00B6722D">
        <w:rPr>
          <w:lang w:val="sv-SE"/>
        </w:rPr>
        <w:t>, Lembaran Negara Republik Indonesia Tahun 2016.</w:t>
      </w:r>
    </w:p>
  </w:footnote>
  <w:footnote w:id="27">
    <w:p w:rsidR="00652199" w:rsidRPr="006A5A54" w:rsidRDefault="00652199" w:rsidP="00652199">
      <w:pPr>
        <w:pStyle w:val="FootnoteText"/>
        <w:jc w:val="both"/>
        <w:rPr>
          <w:lang w:val="id-ID"/>
        </w:rPr>
      </w:pPr>
      <w:r>
        <w:rPr>
          <w:rStyle w:val="FootnoteReference"/>
        </w:rPr>
        <w:footnoteRef/>
      </w:r>
      <w:r w:rsidRPr="00B6722D">
        <w:rPr>
          <w:lang w:val="sv-SE"/>
        </w:rPr>
        <w:t xml:space="preserve"> Otoritas Jasa Keuangan, </w:t>
      </w:r>
      <w:r w:rsidRPr="00B6722D">
        <w:rPr>
          <w:rStyle w:val="Emphasis"/>
          <w:lang w:val="sv-SE"/>
        </w:rPr>
        <w:t xml:space="preserve">Peraturan OJK Nomor 10/POJK.05/2022 tentang Layanan Pendanaan </w:t>
      </w:r>
      <w:r>
        <w:rPr>
          <w:rStyle w:val="Emphasis"/>
          <w:lang w:val="sv-SE"/>
        </w:rPr>
        <w:br/>
      </w:r>
      <w:r w:rsidRPr="00B6722D">
        <w:rPr>
          <w:rStyle w:val="Emphasis"/>
          <w:lang w:val="sv-SE"/>
        </w:rPr>
        <w:t>Bersama Berbasis Teknologi Informasi</w:t>
      </w:r>
      <w:r w:rsidRPr="00B6722D">
        <w:rPr>
          <w:lang w:val="sv-SE"/>
        </w:rPr>
        <w:t xml:space="preserve">, Lembaran Negara Republik Indonesia Tahun 2022 </w:t>
      </w:r>
      <w:r>
        <w:rPr>
          <w:lang w:val="sv-SE"/>
        </w:rPr>
        <w:br/>
      </w:r>
      <w:r w:rsidRPr="00B6722D">
        <w:rPr>
          <w:lang w:val="sv-SE"/>
        </w:rPr>
        <w:t>Nomor 99</w:t>
      </w:r>
    </w:p>
  </w:footnote>
  <w:footnote w:id="28">
    <w:p w:rsidR="00652199" w:rsidRPr="006A5A54" w:rsidRDefault="00652199" w:rsidP="00652199">
      <w:pPr>
        <w:pStyle w:val="FootnoteText"/>
        <w:jc w:val="both"/>
        <w:rPr>
          <w:lang w:val="id-ID"/>
        </w:rPr>
      </w:pPr>
      <w:r>
        <w:rPr>
          <w:rStyle w:val="FootnoteReference"/>
        </w:rPr>
        <w:footnoteRef/>
      </w:r>
      <w:r w:rsidRPr="00B6722D">
        <w:rPr>
          <w:lang w:val="sv-SE"/>
        </w:rPr>
        <w:t xml:space="preserve"> Otoritas Jasa Keuangan, </w:t>
      </w:r>
      <w:r w:rsidRPr="00B6722D">
        <w:rPr>
          <w:rStyle w:val="Emphasis"/>
          <w:lang w:val="sv-SE"/>
        </w:rPr>
        <w:t xml:space="preserve">Surat Edaran OJK Nomor 18/SEOJK.02/2017 tentang Tata Kelola dan </w:t>
      </w:r>
      <w:r>
        <w:rPr>
          <w:rStyle w:val="Emphasis"/>
          <w:lang w:val="sv-SE"/>
        </w:rPr>
        <w:br/>
      </w:r>
      <w:r w:rsidRPr="00B6722D">
        <w:rPr>
          <w:rStyle w:val="Emphasis"/>
          <w:lang w:val="sv-SE"/>
        </w:rPr>
        <w:t>Manajemen Risiko Layanan Pinjam Meminjam Uang Berbasis Teknologi Informasi</w:t>
      </w:r>
      <w:r w:rsidRPr="00B6722D">
        <w:rPr>
          <w:lang w:val="sv-SE"/>
        </w:rPr>
        <w:t>, 2017</w:t>
      </w:r>
    </w:p>
  </w:footnote>
  <w:footnote w:id="29">
    <w:p w:rsidR="00652199" w:rsidRPr="00261A37" w:rsidRDefault="00652199" w:rsidP="00652199">
      <w:pPr>
        <w:pStyle w:val="FootnoteText"/>
        <w:jc w:val="both"/>
        <w:rPr>
          <w:lang w:val="sv-SE"/>
        </w:rPr>
      </w:pPr>
      <w:r>
        <w:rPr>
          <w:rStyle w:val="FootnoteReference"/>
        </w:rPr>
        <w:footnoteRef/>
      </w:r>
      <w:r w:rsidRPr="00261A37">
        <w:rPr>
          <w:lang w:val="sv-SE"/>
        </w:rPr>
        <w:t xml:space="preserve"> Rachmadi Usman, </w:t>
      </w:r>
      <w:r w:rsidRPr="00261A37">
        <w:rPr>
          <w:i/>
          <w:iCs/>
          <w:lang w:val="sv-SE"/>
        </w:rPr>
        <w:t>Aspek-Aspek Hukum Perbankan dan Lembaga Keuangan Lainnya di Indonesia</w:t>
      </w:r>
      <w:r w:rsidRPr="00261A37">
        <w:rPr>
          <w:lang w:val="sv-SE"/>
        </w:rPr>
        <w:t xml:space="preserve">, </w:t>
      </w:r>
      <w:r>
        <w:rPr>
          <w:lang w:val="sv-SE"/>
        </w:rPr>
        <w:br/>
      </w:r>
      <w:r w:rsidRPr="00261A37">
        <w:rPr>
          <w:lang w:val="sv-SE"/>
        </w:rPr>
        <w:t>Jakarta: Kencana,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305F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1" o:spid="_x0000_s2050" type="#_x0000_t75" style="position:absolute;margin-left:0;margin-top:0;width:425.25pt;height:419.5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305F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2" o:spid="_x0000_s2051" type="#_x0000_t75" style="position:absolute;margin-left:0;margin-top:0;width:425.25pt;height:419.5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305F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0" o:spid="_x0000_s2049" type="#_x0000_t75" style="position:absolute;margin-left:0;margin-top:0;width:425.25pt;height:419.5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C9F"/>
    <w:multiLevelType w:val="hybridMultilevel"/>
    <w:tmpl w:val="53C623B6"/>
    <w:lvl w:ilvl="0" w:tplc="70C21B7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80E3E49"/>
    <w:multiLevelType w:val="hybridMultilevel"/>
    <w:tmpl w:val="6388F8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971C63"/>
    <w:multiLevelType w:val="hybridMultilevel"/>
    <w:tmpl w:val="73F62B0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
    <w:nsid w:val="28A45666"/>
    <w:multiLevelType w:val="multilevel"/>
    <w:tmpl w:val="7AE8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552F9"/>
    <w:multiLevelType w:val="hybridMultilevel"/>
    <w:tmpl w:val="7D4683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F55197E"/>
    <w:multiLevelType w:val="multilevel"/>
    <w:tmpl w:val="390CF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D2AC3"/>
    <w:multiLevelType w:val="hybridMultilevel"/>
    <w:tmpl w:val="BA1EC2BC"/>
    <w:lvl w:ilvl="0" w:tplc="A7F28C74">
      <w:start w:val="1"/>
      <w:numFmt w:val="lowerLetter"/>
      <w:lvlText w:val="%1."/>
      <w:lvlJc w:val="left"/>
      <w:pPr>
        <w:ind w:left="731" w:hanging="360"/>
      </w:pPr>
      <w:rPr>
        <w:rFonts w:hint="default"/>
      </w:rPr>
    </w:lvl>
    <w:lvl w:ilvl="1" w:tplc="38090019" w:tentative="1">
      <w:start w:val="1"/>
      <w:numFmt w:val="lowerLetter"/>
      <w:lvlText w:val="%2."/>
      <w:lvlJc w:val="left"/>
      <w:pPr>
        <w:ind w:left="1451" w:hanging="360"/>
      </w:pPr>
    </w:lvl>
    <w:lvl w:ilvl="2" w:tplc="3809001B" w:tentative="1">
      <w:start w:val="1"/>
      <w:numFmt w:val="lowerRoman"/>
      <w:lvlText w:val="%3."/>
      <w:lvlJc w:val="right"/>
      <w:pPr>
        <w:ind w:left="2171" w:hanging="180"/>
      </w:pPr>
    </w:lvl>
    <w:lvl w:ilvl="3" w:tplc="3809000F" w:tentative="1">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tentative="1">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abstractNum w:abstractNumId="7">
    <w:nsid w:val="3E4D48B7"/>
    <w:multiLevelType w:val="hybridMultilevel"/>
    <w:tmpl w:val="A510D736"/>
    <w:lvl w:ilvl="0" w:tplc="9E4EA0BA">
      <w:start w:val="1"/>
      <w:numFmt w:val="decimal"/>
      <w:lvlText w:val="%1."/>
      <w:lvlJc w:val="left"/>
      <w:pPr>
        <w:ind w:left="371" w:hanging="360"/>
      </w:pPr>
      <w:rPr>
        <w:rFonts w:hint="default"/>
      </w:rPr>
    </w:lvl>
    <w:lvl w:ilvl="1" w:tplc="38090019" w:tentative="1">
      <w:start w:val="1"/>
      <w:numFmt w:val="lowerLetter"/>
      <w:lvlText w:val="%2."/>
      <w:lvlJc w:val="left"/>
      <w:pPr>
        <w:ind w:left="1091" w:hanging="360"/>
      </w:pPr>
    </w:lvl>
    <w:lvl w:ilvl="2" w:tplc="3809001B" w:tentative="1">
      <w:start w:val="1"/>
      <w:numFmt w:val="lowerRoman"/>
      <w:lvlText w:val="%3."/>
      <w:lvlJc w:val="right"/>
      <w:pPr>
        <w:ind w:left="1811" w:hanging="180"/>
      </w:pPr>
    </w:lvl>
    <w:lvl w:ilvl="3" w:tplc="3809000F" w:tentative="1">
      <w:start w:val="1"/>
      <w:numFmt w:val="decimal"/>
      <w:lvlText w:val="%4."/>
      <w:lvlJc w:val="left"/>
      <w:pPr>
        <w:ind w:left="2531" w:hanging="360"/>
      </w:pPr>
    </w:lvl>
    <w:lvl w:ilvl="4" w:tplc="38090019" w:tentative="1">
      <w:start w:val="1"/>
      <w:numFmt w:val="lowerLetter"/>
      <w:lvlText w:val="%5."/>
      <w:lvlJc w:val="left"/>
      <w:pPr>
        <w:ind w:left="3251" w:hanging="360"/>
      </w:pPr>
    </w:lvl>
    <w:lvl w:ilvl="5" w:tplc="3809001B" w:tentative="1">
      <w:start w:val="1"/>
      <w:numFmt w:val="lowerRoman"/>
      <w:lvlText w:val="%6."/>
      <w:lvlJc w:val="right"/>
      <w:pPr>
        <w:ind w:left="3971" w:hanging="180"/>
      </w:pPr>
    </w:lvl>
    <w:lvl w:ilvl="6" w:tplc="3809000F" w:tentative="1">
      <w:start w:val="1"/>
      <w:numFmt w:val="decimal"/>
      <w:lvlText w:val="%7."/>
      <w:lvlJc w:val="left"/>
      <w:pPr>
        <w:ind w:left="4691" w:hanging="360"/>
      </w:pPr>
    </w:lvl>
    <w:lvl w:ilvl="7" w:tplc="38090019" w:tentative="1">
      <w:start w:val="1"/>
      <w:numFmt w:val="lowerLetter"/>
      <w:lvlText w:val="%8."/>
      <w:lvlJc w:val="left"/>
      <w:pPr>
        <w:ind w:left="5411" w:hanging="360"/>
      </w:pPr>
    </w:lvl>
    <w:lvl w:ilvl="8" w:tplc="3809001B" w:tentative="1">
      <w:start w:val="1"/>
      <w:numFmt w:val="lowerRoman"/>
      <w:lvlText w:val="%9."/>
      <w:lvlJc w:val="right"/>
      <w:pPr>
        <w:ind w:left="6131" w:hanging="180"/>
      </w:pPr>
    </w:lvl>
  </w:abstractNum>
  <w:abstractNum w:abstractNumId="8">
    <w:nsid w:val="425214DE"/>
    <w:multiLevelType w:val="multilevel"/>
    <w:tmpl w:val="883A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C85520"/>
    <w:multiLevelType w:val="multilevel"/>
    <w:tmpl w:val="D5E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EE6969"/>
    <w:multiLevelType w:val="hybridMultilevel"/>
    <w:tmpl w:val="81040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4D802B5"/>
    <w:multiLevelType w:val="hybridMultilevel"/>
    <w:tmpl w:val="EBE6659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nsid w:val="76F318BA"/>
    <w:multiLevelType w:val="hybridMultilevel"/>
    <w:tmpl w:val="AA9EF744"/>
    <w:lvl w:ilvl="0" w:tplc="F2B6E188">
      <w:start w:val="1"/>
      <w:numFmt w:val="lowerLetter"/>
      <w:lvlText w:val="%1."/>
      <w:lvlJc w:val="left"/>
      <w:pPr>
        <w:ind w:left="731" w:hanging="360"/>
      </w:pPr>
      <w:rPr>
        <w:rFonts w:hint="default"/>
      </w:rPr>
    </w:lvl>
    <w:lvl w:ilvl="1" w:tplc="38090019" w:tentative="1">
      <w:start w:val="1"/>
      <w:numFmt w:val="lowerLetter"/>
      <w:lvlText w:val="%2."/>
      <w:lvlJc w:val="left"/>
      <w:pPr>
        <w:ind w:left="1451" w:hanging="360"/>
      </w:pPr>
    </w:lvl>
    <w:lvl w:ilvl="2" w:tplc="3809001B" w:tentative="1">
      <w:start w:val="1"/>
      <w:numFmt w:val="lowerRoman"/>
      <w:lvlText w:val="%3."/>
      <w:lvlJc w:val="right"/>
      <w:pPr>
        <w:ind w:left="2171" w:hanging="180"/>
      </w:pPr>
    </w:lvl>
    <w:lvl w:ilvl="3" w:tplc="3809000F" w:tentative="1">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tentative="1">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abstractNum w:abstractNumId="13">
    <w:nsid w:val="7D2F3696"/>
    <w:multiLevelType w:val="multilevel"/>
    <w:tmpl w:val="8988B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BC4D23"/>
    <w:multiLevelType w:val="multilevel"/>
    <w:tmpl w:val="8CDA28B0"/>
    <w:lvl w:ilvl="0">
      <w:start w:val="1"/>
      <w:numFmt w:val="bullet"/>
      <w:lvlText w:val=""/>
      <w:lvlJc w:val="left"/>
      <w:pPr>
        <w:tabs>
          <w:tab w:val="num" w:pos="720"/>
        </w:tabs>
        <w:ind w:left="720" w:hanging="360"/>
      </w:pPr>
      <w:rPr>
        <w:rFonts w:ascii="Symbol" w:hAnsi="Symbol"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2062" w:hanging="360"/>
      </w:pPr>
      <w:rPr>
        <w:rFonts w:hint="default"/>
      </w:rPr>
    </w:lvl>
    <w:lvl w:ilvl="5">
      <w:start w:val="1"/>
      <w:numFmt w:val="bullet"/>
      <w:lvlText w:val="-"/>
      <w:lvlJc w:val="left"/>
      <w:pPr>
        <w:ind w:left="4320" w:hanging="360"/>
      </w:pPr>
      <w:rPr>
        <w:rFonts w:ascii="Times New Roman" w:eastAsiaTheme="minorEastAsia" w:hAnsi="Times New Roman" w:cs="Times New Roman" w:hint="default"/>
      </w:rPr>
    </w:lvl>
    <w:lvl w:ilvl="6">
      <w:start w:val="1"/>
      <w:numFmt w:val="upperLetter"/>
      <w:lvlText w:val="%7."/>
      <w:lvlJc w:val="left"/>
      <w:pPr>
        <w:ind w:left="5040" w:hanging="360"/>
      </w:p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0"/>
  </w:num>
  <w:num w:numId="4">
    <w:abstractNumId w:val="7"/>
  </w:num>
  <w:num w:numId="5">
    <w:abstractNumId w:val="6"/>
  </w:num>
  <w:num w:numId="6">
    <w:abstractNumId w:val="12"/>
  </w:num>
  <w:num w:numId="7">
    <w:abstractNumId w:val="4"/>
  </w:num>
  <w:num w:numId="8">
    <w:abstractNumId w:val="11"/>
  </w:num>
  <w:num w:numId="9">
    <w:abstractNumId w:val="3"/>
  </w:num>
  <w:num w:numId="10">
    <w:abstractNumId w:val="9"/>
  </w:num>
  <w:num w:numId="11">
    <w:abstractNumId w:val="5"/>
  </w:num>
  <w:num w:numId="12">
    <w:abstractNumId w:val="14"/>
  </w:num>
  <w:num w:numId="13">
    <w:abstractNumId w:val="13"/>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enforcement="1" w:cryptProviderType="rsaFull" w:cryptAlgorithmClass="hash" w:cryptAlgorithmType="typeAny" w:cryptAlgorithmSid="4" w:cryptSpinCount="50000" w:hash="a8ZGIXPLPwmhmcQCYyy32hTRgN0=" w:salt="7y32CzQnZOXrk+Hey6fdb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B3C80"/>
    <w:rsid w:val="00092780"/>
    <w:rsid w:val="00305FF2"/>
    <w:rsid w:val="00464A36"/>
    <w:rsid w:val="004C7A60"/>
    <w:rsid w:val="00652199"/>
    <w:rsid w:val="006A3179"/>
    <w:rsid w:val="0078743B"/>
    <w:rsid w:val="008D59D0"/>
    <w:rsid w:val="009054FD"/>
    <w:rsid w:val="0095090D"/>
    <w:rsid w:val="00AA6792"/>
    <w:rsid w:val="00C25EB5"/>
    <w:rsid w:val="00CB3C80"/>
    <w:rsid w:val="00D1020F"/>
    <w:rsid w:val="00D24C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6A3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21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rPr>
  </w:style>
  <w:style w:type="character" w:customStyle="1" w:styleId="Heading2Char">
    <w:name w:val="Heading 2 Char"/>
    <w:basedOn w:val="DefaultParagraphFont"/>
    <w:link w:val="Heading2"/>
    <w:uiPriority w:val="9"/>
    <w:semiHidden/>
    <w:rsid w:val="006A3179"/>
    <w:rPr>
      <w:rFonts w:asciiTheme="majorHAnsi" w:eastAsiaTheme="majorEastAsia" w:hAnsiTheme="majorHAnsi" w:cstheme="majorBidi"/>
      <w:b/>
      <w:bCs/>
      <w:color w:val="4F81BD" w:themeColor="accent1"/>
      <w:kern w:val="2"/>
      <w:sz w:val="26"/>
      <w:szCs w:val="26"/>
      <w:lang w:val="en-ID" w:eastAsia="zh-CN"/>
    </w:rPr>
  </w:style>
  <w:style w:type="paragraph" w:styleId="FootnoteText">
    <w:name w:val="footnote text"/>
    <w:basedOn w:val="Normal"/>
    <w:link w:val="FootnoteTextChar"/>
    <w:uiPriority w:val="99"/>
    <w:semiHidden/>
    <w:unhideWhenUsed/>
    <w:rsid w:val="00D10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0F"/>
    <w:rPr>
      <w:rFonts w:asciiTheme="majorBidi" w:eastAsiaTheme="minorEastAsia" w:hAnsiTheme="majorBidi"/>
      <w:kern w:val="2"/>
      <w:sz w:val="20"/>
      <w:szCs w:val="20"/>
      <w:lang w:val="en-ID" w:eastAsia="zh-CN"/>
    </w:rPr>
  </w:style>
  <w:style w:type="character" w:styleId="FootnoteReference">
    <w:name w:val="footnote reference"/>
    <w:basedOn w:val="DefaultParagraphFont"/>
    <w:uiPriority w:val="99"/>
    <w:semiHidden/>
    <w:unhideWhenUsed/>
    <w:rsid w:val="00D1020F"/>
    <w:rPr>
      <w:vertAlign w:val="superscript"/>
    </w:rPr>
  </w:style>
  <w:style w:type="character" w:customStyle="1" w:styleId="Heading3Char">
    <w:name w:val="Heading 3 Char"/>
    <w:basedOn w:val="DefaultParagraphFont"/>
    <w:link w:val="Heading3"/>
    <w:uiPriority w:val="9"/>
    <w:semiHidden/>
    <w:rsid w:val="00652199"/>
    <w:rPr>
      <w:rFonts w:asciiTheme="majorHAnsi" w:eastAsiaTheme="majorEastAsia" w:hAnsiTheme="majorHAnsi" w:cstheme="majorBidi"/>
      <w:b/>
      <w:bCs/>
      <w:color w:val="4F81BD" w:themeColor="accent1"/>
      <w:kern w:val="2"/>
      <w:sz w:val="24"/>
      <w:szCs w:val="24"/>
      <w:lang w:val="en-ID" w:eastAsia="zh-CN"/>
    </w:rPr>
  </w:style>
  <w:style w:type="character" w:styleId="Emphasis">
    <w:name w:val="Emphasis"/>
    <w:basedOn w:val="DefaultParagraphFont"/>
    <w:uiPriority w:val="20"/>
    <w:qFormat/>
    <w:rsid w:val="00652199"/>
    <w:rPr>
      <w:i/>
      <w:iCs/>
    </w:rPr>
  </w:style>
  <w:style w:type="character" w:styleId="Strong">
    <w:name w:val="Strong"/>
    <w:basedOn w:val="DefaultParagraphFont"/>
    <w:uiPriority w:val="22"/>
    <w:qFormat/>
    <w:rsid w:val="00652199"/>
    <w:rPr>
      <w:b/>
      <w:bCs/>
    </w:rPr>
  </w:style>
  <w:style w:type="character" w:customStyle="1" w:styleId="relative">
    <w:name w:val="relative"/>
    <w:basedOn w:val="DefaultParagraphFont"/>
    <w:rsid w:val="00652199"/>
  </w:style>
  <w:style w:type="paragraph" w:styleId="NormalWeb">
    <w:name w:val="Normal (Web)"/>
    <w:basedOn w:val="Normal"/>
    <w:uiPriority w:val="99"/>
    <w:unhideWhenUsed/>
    <w:rsid w:val="00652199"/>
    <w:pPr>
      <w:spacing w:before="100" w:beforeAutospacing="1" w:after="100" w:afterAutospacing="1" w:line="240" w:lineRule="auto"/>
    </w:pPr>
    <w:rPr>
      <w:rFonts w:ascii="Times New Roman" w:eastAsia="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14:ligatures w14:val="standardContextual"/>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6A3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21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14:ligatures w14:val="standardContextual"/>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14:ligatures w14:val="standardContextual"/>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14:ligatures w14:val="standardContextual"/>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14:ligatures w14:val="none"/>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14:ligatures w14:val="standardContextual"/>
    </w:rPr>
  </w:style>
  <w:style w:type="character" w:customStyle="1" w:styleId="Heading2Char">
    <w:name w:val="Heading 2 Char"/>
    <w:basedOn w:val="DefaultParagraphFont"/>
    <w:link w:val="Heading2"/>
    <w:uiPriority w:val="9"/>
    <w:semiHidden/>
    <w:rsid w:val="006A3179"/>
    <w:rPr>
      <w:rFonts w:asciiTheme="majorHAnsi" w:eastAsiaTheme="majorEastAsia" w:hAnsiTheme="majorHAnsi" w:cstheme="majorBidi"/>
      <w:b/>
      <w:bCs/>
      <w:color w:val="4F81BD" w:themeColor="accent1"/>
      <w:kern w:val="2"/>
      <w:sz w:val="26"/>
      <w:szCs w:val="26"/>
      <w:lang w:val="en-ID" w:eastAsia="zh-CN"/>
      <w14:ligatures w14:val="standardContextual"/>
    </w:rPr>
  </w:style>
  <w:style w:type="paragraph" w:styleId="FootnoteText">
    <w:name w:val="footnote text"/>
    <w:basedOn w:val="Normal"/>
    <w:link w:val="FootnoteTextChar"/>
    <w:uiPriority w:val="99"/>
    <w:semiHidden/>
    <w:unhideWhenUsed/>
    <w:rsid w:val="00D10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0F"/>
    <w:rPr>
      <w:rFonts w:asciiTheme="majorBidi" w:eastAsiaTheme="minorEastAsia" w:hAnsiTheme="majorBidi"/>
      <w:kern w:val="2"/>
      <w:sz w:val="20"/>
      <w:szCs w:val="20"/>
      <w:lang w:val="en-ID" w:eastAsia="zh-CN"/>
      <w14:ligatures w14:val="standardContextual"/>
    </w:rPr>
  </w:style>
  <w:style w:type="character" w:styleId="FootnoteReference">
    <w:name w:val="footnote reference"/>
    <w:basedOn w:val="DefaultParagraphFont"/>
    <w:uiPriority w:val="99"/>
    <w:semiHidden/>
    <w:unhideWhenUsed/>
    <w:rsid w:val="00D1020F"/>
    <w:rPr>
      <w:vertAlign w:val="superscript"/>
    </w:rPr>
  </w:style>
  <w:style w:type="character" w:customStyle="1" w:styleId="Heading3Char">
    <w:name w:val="Heading 3 Char"/>
    <w:basedOn w:val="DefaultParagraphFont"/>
    <w:link w:val="Heading3"/>
    <w:uiPriority w:val="9"/>
    <w:semiHidden/>
    <w:rsid w:val="00652199"/>
    <w:rPr>
      <w:rFonts w:asciiTheme="majorHAnsi" w:eastAsiaTheme="majorEastAsia" w:hAnsiTheme="majorHAnsi" w:cstheme="majorBidi"/>
      <w:b/>
      <w:bCs/>
      <w:color w:val="4F81BD" w:themeColor="accent1"/>
      <w:kern w:val="2"/>
      <w:sz w:val="24"/>
      <w:szCs w:val="24"/>
      <w:lang w:val="en-ID" w:eastAsia="zh-CN"/>
      <w14:ligatures w14:val="standardContextual"/>
    </w:rPr>
  </w:style>
  <w:style w:type="character" w:styleId="Emphasis">
    <w:name w:val="Emphasis"/>
    <w:basedOn w:val="DefaultParagraphFont"/>
    <w:uiPriority w:val="20"/>
    <w:qFormat/>
    <w:rsid w:val="00652199"/>
    <w:rPr>
      <w:i/>
      <w:iCs/>
    </w:rPr>
  </w:style>
  <w:style w:type="character" w:styleId="Strong">
    <w:name w:val="Strong"/>
    <w:basedOn w:val="DefaultParagraphFont"/>
    <w:uiPriority w:val="22"/>
    <w:qFormat/>
    <w:rsid w:val="00652199"/>
    <w:rPr>
      <w:b/>
      <w:bCs/>
    </w:rPr>
  </w:style>
  <w:style w:type="character" w:customStyle="1" w:styleId="relative">
    <w:name w:val="relative"/>
    <w:basedOn w:val="DefaultParagraphFont"/>
    <w:rsid w:val="00652199"/>
  </w:style>
  <w:style w:type="paragraph" w:styleId="NormalWeb">
    <w:name w:val="Normal (Web)"/>
    <w:basedOn w:val="Normal"/>
    <w:uiPriority w:val="99"/>
    <w:unhideWhenUsed/>
    <w:rsid w:val="0065219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2025-12-04T02:20:00Z</dcterms:created>
  <dcterms:modified xsi:type="dcterms:W3CDTF">2025-12-04T02:20:00Z</dcterms:modified>
</cp:coreProperties>
</file>