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93F" w:rsidRDefault="00ED793F" w:rsidP="00ED793F">
      <w:pPr>
        <w:pStyle w:val="Heading1"/>
        <w:spacing w:before="0" w:after="0" w:line="360" w:lineRule="auto"/>
        <w:jc w:val="center"/>
        <w:rPr>
          <w:b w:val="0"/>
          <w:bCs/>
          <w:szCs w:val="20"/>
          <w:lang w:val="id-ID" w:eastAsia="en-US"/>
        </w:rPr>
      </w:pPr>
      <w:bookmarkStart w:id="0" w:name="_Toc201299677"/>
      <w:r w:rsidRPr="00AB1458">
        <w:rPr>
          <w:bCs/>
          <w:szCs w:val="20"/>
          <w:lang w:val="id-ID" w:eastAsia="en-US"/>
        </w:rPr>
        <w:t>BAB III</w:t>
      </w:r>
      <w:r w:rsidRPr="00AB1458">
        <w:rPr>
          <w:bCs/>
          <w:szCs w:val="20"/>
          <w:lang w:val="id-ID" w:eastAsia="en-US"/>
        </w:rPr>
        <w:br/>
        <w:t>METODE PENELITIAN</w:t>
      </w:r>
      <w:bookmarkEnd w:id="0"/>
    </w:p>
    <w:p w:rsidR="00ED793F" w:rsidRPr="00AB1458" w:rsidRDefault="00ED793F" w:rsidP="00ED793F">
      <w:pPr>
        <w:spacing w:after="0" w:line="360" w:lineRule="auto"/>
        <w:rPr>
          <w:lang w:val="id-ID" w:eastAsia="en-US"/>
        </w:rPr>
      </w:pPr>
    </w:p>
    <w:p w:rsidR="00ED793F" w:rsidRPr="000F782D" w:rsidRDefault="00ED793F" w:rsidP="00ED793F">
      <w:pPr>
        <w:pStyle w:val="Heading2"/>
        <w:numPr>
          <w:ilvl w:val="2"/>
          <w:numId w:val="13"/>
        </w:numPr>
        <w:spacing w:before="0" w:after="240" w:line="360" w:lineRule="auto"/>
        <w:ind w:left="0"/>
      </w:pPr>
      <w:bookmarkStart w:id="1" w:name="_Toc201299678"/>
      <w:r w:rsidRPr="000F782D">
        <w:t>Lokasi Penelitian</w:t>
      </w:r>
      <w:bookmarkEnd w:id="1"/>
    </w:p>
    <w:p w:rsidR="00ED793F" w:rsidRDefault="00ED793F" w:rsidP="00ED793F">
      <w:pPr>
        <w:spacing w:line="360" w:lineRule="auto"/>
        <w:jc w:val="both"/>
        <w:rPr>
          <w:rFonts w:cstheme="majorBidi"/>
          <w:lang w:val="id-ID" w:eastAsia="en-US"/>
        </w:rPr>
      </w:pPr>
      <w:r>
        <w:rPr>
          <w:rFonts w:cstheme="majorBidi"/>
          <w:lang w:val="id-ID" w:eastAsia="en-US"/>
        </w:rPr>
        <w:tab/>
      </w:r>
      <w:r w:rsidRPr="00AB1458">
        <w:rPr>
          <w:rFonts w:cstheme="majorBidi"/>
          <w:lang w:val="id-ID" w:eastAsia="en-US"/>
        </w:rPr>
        <w:t>Penelitian ini dilakukan di</w:t>
      </w:r>
      <w:r>
        <w:rPr>
          <w:rFonts w:cstheme="majorBidi"/>
          <w:lang w:val="id-ID" w:eastAsia="en-US"/>
        </w:rPr>
        <w:t xml:space="preserve"> Polres Serdang Bedagai dan</w:t>
      </w:r>
      <w:r w:rsidRPr="00AB1458">
        <w:rPr>
          <w:rFonts w:cstheme="majorBidi"/>
          <w:lang w:val="id-ID" w:eastAsia="en-US"/>
        </w:rPr>
        <w:t xml:space="preserve"> wilayah Kabupaten Serdang Bedagai, Provinsi Sumatera Utara. Pemilihan lokasi ini didasarkan pada hasilwawancara yang dilakukan dengan korban pinjaman online di daerah tersebut.</w:t>
      </w:r>
    </w:p>
    <w:p w:rsidR="00ED793F" w:rsidRPr="00AB1458" w:rsidRDefault="00ED793F" w:rsidP="00ED793F">
      <w:pPr>
        <w:pStyle w:val="Heading2"/>
        <w:numPr>
          <w:ilvl w:val="2"/>
          <w:numId w:val="13"/>
        </w:numPr>
        <w:spacing w:before="0" w:after="240" w:line="360" w:lineRule="auto"/>
        <w:ind w:left="0"/>
        <w:rPr>
          <w:lang w:val="id-ID" w:eastAsia="en-US"/>
        </w:rPr>
      </w:pPr>
      <w:bookmarkStart w:id="2" w:name="_Toc201299679"/>
      <w:r w:rsidRPr="00AB1458">
        <w:rPr>
          <w:lang w:val="id-ID" w:eastAsia="en-US"/>
        </w:rPr>
        <w:t>Jenis dan Sifat Penelitian</w:t>
      </w:r>
      <w:bookmarkEnd w:id="2"/>
    </w:p>
    <w:p w:rsidR="00ED793F" w:rsidRPr="00AB1458" w:rsidRDefault="00ED793F" w:rsidP="00ED793F">
      <w:pPr>
        <w:spacing w:after="0" w:line="360" w:lineRule="auto"/>
        <w:ind w:firstLine="720"/>
        <w:jc w:val="both"/>
        <w:rPr>
          <w:rFonts w:cstheme="majorBidi"/>
          <w:lang w:val="id-ID" w:eastAsia="en-US"/>
        </w:rPr>
      </w:pPr>
      <w:r w:rsidRPr="00AB1458">
        <w:rPr>
          <w:rFonts w:cstheme="majorBidi"/>
          <w:lang w:val="id-ID" w:eastAsia="en-US"/>
        </w:rPr>
        <w:t xml:space="preserve">Jenis penelitian yang digunakan dalam penyusunan skripsi ini adalah penelitian lapangan dengan pendekatan deskriptif kualitatif, yang bertujuan untuk menggali dan memahami fenomena secara mendalam berdasarkan data yang diperoleh langsung dari lapangan. </w:t>
      </w:r>
    </w:p>
    <w:p w:rsidR="00ED793F" w:rsidRPr="00AB1458" w:rsidRDefault="00ED793F" w:rsidP="00ED793F">
      <w:pPr>
        <w:spacing w:after="0" w:line="360" w:lineRule="auto"/>
        <w:ind w:firstLine="720"/>
        <w:jc w:val="both"/>
        <w:rPr>
          <w:rFonts w:cstheme="majorBidi"/>
          <w:lang w:val="id-ID" w:eastAsia="en-US"/>
        </w:rPr>
      </w:pPr>
      <w:r w:rsidRPr="00AB1458">
        <w:rPr>
          <w:rFonts w:cstheme="majorBidi"/>
          <w:lang w:val="id-ID" w:eastAsia="en-US"/>
        </w:rPr>
        <w:t>Menurut Denzin dan Lincoln, penelitian kualitatif merupakan metode penelitian yang dilakukan dalam lingkungan alami dengan tujuan memahami dan menafsirkan fenomena yang terjadi, serta menggunakan berbagai pendekatan yang tersedia. Sementara itu, Erickson menyatakan bahwa penelitian kualitatif berupaya mengungkap dan mendeskripsikan suatu peristiwa secara naratif, dengan menyoroti aktivitas yang dilakukan serta dampaknya terhadap kehidupan individu yang terlibat</w:t>
      </w:r>
      <w:r>
        <w:rPr>
          <w:rFonts w:cstheme="majorBidi"/>
          <w:lang w:val="id-ID" w:eastAsia="en-US"/>
        </w:rPr>
        <w:t>.</w:t>
      </w:r>
      <w:r>
        <w:rPr>
          <w:rStyle w:val="FootnoteReference"/>
          <w:rFonts w:cstheme="majorBidi"/>
          <w:lang w:val="id-ID" w:eastAsia="en-US"/>
        </w:rPr>
        <w:footnoteReference w:id="2"/>
      </w:r>
    </w:p>
    <w:p w:rsidR="00ED793F" w:rsidRDefault="00ED793F" w:rsidP="00ED793F">
      <w:pPr>
        <w:spacing w:line="360" w:lineRule="auto"/>
        <w:ind w:firstLine="720"/>
        <w:jc w:val="both"/>
        <w:rPr>
          <w:rFonts w:cstheme="majorBidi"/>
          <w:lang w:val="id-ID" w:eastAsia="en-US"/>
        </w:rPr>
      </w:pPr>
      <w:r w:rsidRPr="00AB1458">
        <w:rPr>
          <w:rFonts w:cstheme="majorBidi"/>
          <w:lang w:val="id-ID" w:eastAsia="en-US"/>
        </w:rPr>
        <w:t>Penelitian kualitatif merupakan jenis penelitian yang temuannya tidak diperoleh melalui prosedur statistik atau perhitungan numerik lainnya. Dalam penelitian ini, digunakan pendekatan kualitatif deskriptif, yang bertujuan untuk menggambarkan suatu fenomena atau peristiwa secara sistematis dan sesuai dengan kondisi yang sebenarnya.</w:t>
      </w:r>
      <w:r>
        <w:rPr>
          <w:rStyle w:val="FootnoteReference"/>
          <w:rFonts w:cstheme="majorBidi"/>
          <w:lang w:val="id-ID" w:eastAsia="en-US"/>
        </w:rPr>
        <w:footnoteReference w:id="3"/>
      </w:r>
    </w:p>
    <w:p w:rsidR="00ED793F" w:rsidRDefault="00ED793F" w:rsidP="00ED793F">
      <w:pPr>
        <w:pStyle w:val="Heading2"/>
        <w:numPr>
          <w:ilvl w:val="2"/>
          <w:numId w:val="13"/>
        </w:numPr>
        <w:spacing w:before="0" w:after="240" w:line="360" w:lineRule="auto"/>
        <w:ind w:left="0"/>
        <w:rPr>
          <w:lang w:val="id-ID" w:eastAsia="en-US"/>
        </w:rPr>
      </w:pPr>
      <w:bookmarkStart w:id="3" w:name="_Toc201299680"/>
      <w:r w:rsidRPr="009920A7">
        <w:rPr>
          <w:lang w:val="id-ID" w:eastAsia="en-US"/>
        </w:rPr>
        <w:lastRenderedPageBreak/>
        <w:t>Sumber Data dan Bahan Hukum</w:t>
      </w:r>
      <w:bookmarkEnd w:id="3"/>
    </w:p>
    <w:p w:rsidR="00ED793F" w:rsidRPr="00AA4FAC" w:rsidRDefault="00ED793F" w:rsidP="00ED793F">
      <w:pPr>
        <w:spacing w:after="0" w:line="360" w:lineRule="auto"/>
        <w:ind w:firstLine="720"/>
        <w:jc w:val="both"/>
        <w:rPr>
          <w:rFonts w:cstheme="majorBidi"/>
          <w:lang w:val="id-ID" w:eastAsia="en-US"/>
        </w:rPr>
      </w:pPr>
      <w:r w:rsidRPr="00AA4FAC">
        <w:rPr>
          <w:rFonts w:cstheme="majorBidi"/>
          <w:lang w:val="id-ID" w:eastAsia="en-US"/>
        </w:rPr>
        <w:t>Sumber data dalam penelitian ini menggunakan teknik Snowball Sampling, yaitu metode penentuan sampel yang dimulai dengan jumlah kecil, kemudian sampel awal tersebut merekomendasikan individu lain untuk turut menjadi sampel berikutnya. Proses ini terus berlanjut hingga jumlah sampel bertambah secara signifikan, layaknya bola salju yang menggelinding dan semakin membesar. Dalam penelitian kualitatif, teknik ini sering digunakan bersamaan dengan metode purposive sampling untuk memperoleh data yang lebih relevan</w:t>
      </w:r>
      <w:r>
        <w:rPr>
          <w:rFonts w:cstheme="majorBidi"/>
          <w:lang w:val="id-ID" w:eastAsia="en-US"/>
        </w:rPr>
        <w:t>.</w:t>
      </w:r>
      <w:r>
        <w:rPr>
          <w:rStyle w:val="FootnoteReference"/>
          <w:rFonts w:cstheme="majorBidi"/>
          <w:lang w:val="id-ID" w:eastAsia="en-US"/>
        </w:rPr>
        <w:footnoteReference w:id="4"/>
      </w:r>
    </w:p>
    <w:p w:rsidR="00ED793F" w:rsidRPr="0030585B" w:rsidRDefault="00ED793F" w:rsidP="00ED793F">
      <w:pPr>
        <w:spacing w:after="0" w:line="360" w:lineRule="auto"/>
        <w:ind w:firstLine="720"/>
        <w:jc w:val="both"/>
        <w:rPr>
          <w:rFonts w:cstheme="majorBidi"/>
          <w:lang w:val="sv-SE" w:eastAsia="en-US"/>
        </w:rPr>
      </w:pPr>
      <w:r w:rsidRPr="0030585B">
        <w:rPr>
          <w:rFonts w:cstheme="majorBidi"/>
          <w:lang w:val="sv-SE" w:eastAsia="en-US"/>
        </w:rPr>
        <w:t>Beberapa hal yang perlu diperhatikan saat menggunakan teknik snowball sampling adalah ketika informan dengan karakteristik tertentu sulit ditemukan, maka informan yang telah diwawancarai akan membantu merekomendasikan informan berikutnya yang memiliki pengalaman atau karakteristik serupa. Teknik ini sangat berguna dalam penelitian sosial yang melibatkan kelompok rentan atau kasus sensitif, seperti korban pinjaman online ilegal. Namun demikian, peneliti harus memastikan validitas informasi yang diperoleh melalui proses verifikasi terhadap setiap informan yang direkomendasikan, agar data yang dikumpulkan tetap akurat dan relevan dengan fokus penelitian. Seperti dijelaskan oleh Naderifar et al, teknik snowball sampling memberikan akses pada populasi tersembunyi, tetapi peneliti harus tetap selektif dalam menentukan siapa yang benar-benar layak dijadikan informan.</w:t>
      </w:r>
      <w:r w:rsidRPr="0030585B">
        <w:rPr>
          <w:rStyle w:val="FootnoteReference"/>
          <w:rFonts w:cstheme="majorBidi"/>
          <w:lang w:val="sv-SE" w:eastAsia="en-US"/>
        </w:rPr>
        <w:footnoteReference w:id="5"/>
      </w:r>
    </w:p>
    <w:p w:rsidR="00ED793F" w:rsidRDefault="00ED793F" w:rsidP="00ED793F">
      <w:pPr>
        <w:pStyle w:val="Heading3"/>
        <w:numPr>
          <w:ilvl w:val="0"/>
          <w:numId w:val="20"/>
        </w:numPr>
        <w:spacing w:before="0" w:line="360" w:lineRule="auto"/>
        <w:ind w:left="284"/>
        <w:rPr>
          <w:lang w:val="id-ID" w:eastAsia="en-US"/>
        </w:rPr>
      </w:pPr>
      <w:bookmarkStart w:id="4" w:name="_Toc201299681"/>
      <w:r>
        <w:rPr>
          <w:lang w:val="id-ID" w:eastAsia="en-US"/>
        </w:rPr>
        <w:t>Sumber Data</w:t>
      </w:r>
      <w:bookmarkEnd w:id="4"/>
    </w:p>
    <w:p w:rsidR="00ED793F" w:rsidRDefault="00ED793F" w:rsidP="00ED793F">
      <w:pPr>
        <w:pStyle w:val="ListParagraph"/>
        <w:spacing w:after="0" w:line="360" w:lineRule="auto"/>
        <w:ind w:left="284" w:firstLine="425"/>
        <w:jc w:val="both"/>
        <w:rPr>
          <w:rFonts w:cstheme="majorBidi"/>
          <w:lang w:val="id-ID" w:eastAsia="en-US"/>
        </w:rPr>
      </w:pPr>
      <w:r w:rsidRPr="00DF1993">
        <w:rPr>
          <w:rFonts w:cstheme="majorBidi"/>
          <w:lang w:val="id-ID" w:eastAsia="en-US"/>
        </w:rPr>
        <w:t>Dalam penelitian ini, penulis akan menggunakan data yang diperoleh dari berbagai sumber yang relevan dan mendukung analisis terhadap permasalahan yang dibahas. Sumber data dalam penelitian ini dibagi menjadi dua, yaitu</w:t>
      </w:r>
      <w:r>
        <w:rPr>
          <w:rFonts w:cstheme="majorBidi"/>
          <w:lang w:val="id-ID" w:eastAsia="en-US"/>
        </w:rPr>
        <w:t xml:space="preserve"> :</w:t>
      </w:r>
    </w:p>
    <w:p w:rsidR="00ED793F" w:rsidRDefault="00ED793F" w:rsidP="00ED793F">
      <w:pPr>
        <w:pStyle w:val="Heading4"/>
        <w:numPr>
          <w:ilvl w:val="3"/>
          <w:numId w:val="12"/>
        </w:numPr>
        <w:spacing w:before="0" w:line="360" w:lineRule="auto"/>
        <w:ind w:left="709"/>
        <w:rPr>
          <w:lang w:val="id-ID" w:eastAsia="en-US"/>
        </w:rPr>
      </w:pPr>
      <w:r>
        <w:rPr>
          <w:lang w:val="id-ID" w:eastAsia="en-US"/>
        </w:rPr>
        <w:lastRenderedPageBreak/>
        <w:t xml:space="preserve">Data Primer </w:t>
      </w:r>
    </w:p>
    <w:p w:rsidR="00ED793F" w:rsidRDefault="00ED793F" w:rsidP="00ED793F">
      <w:pPr>
        <w:pStyle w:val="ListParagraph"/>
        <w:spacing w:after="0" w:line="360" w:lineRule="auto"/>
        <w:ind w:firstLine="720"/>
        <w:jc w:val="both"/>
        <w:rPr>
          <w:rFonts w:cstheme="majorBidi"/>
          <w:lang w:val="id-ID" w:eastAsia="en-US"/>
        </w:rPr>
      </w:pPr>
      <w:r w:rsidRPr="00DF1993">
        <w:rPr>
          <w:rFonts w:cstheme="majorBidi"/>
          <w:lang w:val="id-ID" w:eastAsia="en-US"/>
        </w:rPr>
        <w:t>Data primer diperoleh langsung dari sumber utama melalui wawancara dan studi kasus. Beberapa pihak yang dapat dijadikan narasumber adalah:</w:t>
      </w:r>
    </w:p>
    <w:p w:rsidR="00ED793F" w:rsidRDefault="00ED793F" w:rsidP="00ED793F">
      <w:pPr>
        <w:pStyle w:val="ListParagraph"/>
        <w:numPr>
          <w:ilvl w:val="0"/>
          <w:numId w:val="16"/>
        </w:numPr>
        <w:spacing w:after="0" w:line="360" w:lineRule="auto"/>
        <w:ind w:left="1134"/>
        <w:jc w:val="both"/>
        <w:rPr>
          <w:rFonts w:cstheme="majorBidi"/>
          <w:lang w:val="id-ID" w:eastAsia="en-US"/>
        </w:rPr>
      </w:pPr>
      <w:r w:rsidRPr="00DF1993">
        <w:rPr>
          <w:rFonts w:cstheme="majorBidi"/>
          <w:lang w:val="id-ID" w:eastAsia="en-US"/>
        </w:rPr>
        <w:t>Korban Pinjaman Online Ilegal, untuk memahami dampak sosial, ekonomi, dan psikologis yang mereka alami</w:t>
      </w:r>
      <w:r>
        <w:rPr>
          <w:rFonts w:cstheme="majorBidi"/>
          <w:lang w:val="id-ID" w:eastAsia="en-US"/>
        </w:rPr>
        <w:t>.</w:t>
      </w:r>
    </w:p>
    <w:p w:rsidR="00ED793F" w:rsidRDefault="00ED793F" w:rsidP="00ED793F">
      <w:pPr>
        <w:pStyle w:val="ListParagraph"/>
        <w:numPr>
          <w:ilvl w:val="0"/>
          <w:numId w:val="16"/>
        </w:numPr>
        <w:spacing w:after="0" w:line="360" w:lineRule="auto"/>
        <w:ind w:left="1134"/>
        <w:jc w:val="both"/>
        <w:rPr>
          <w:rFonts w:cstheme="majorBidi"/>
          <w:lang w:val="id-ID" w:eastAsia="en-US"/>
        </w:rPr>
      </w:pPr>
      <w:r w:rsidRPr="00DF1993">
        <w:rPr>
          <w:rFonts w:cstheme="majorBidi"/>
          <w:lang w:val="id-ID" w:eastAsia="en-US"/>
        </w:rPr>
        <w:t>Pihak Kepolisian, untuk memperoleh informasi mengenai proses hukum yang diterapkan terhadap pelaku pinjol ilegal.</w:t>
      </w:r>
    </w:p>
    <w:p w:rsidR="00ED793F" w:rsidRDefault="00ED793F" w:rsidP="00ED793F">
      <w:pPr>
        <w:pStyle w:val="ListParagraph"/>
        <w:numPr>
          <w:ilvl w:val="0"/>
          <w:numId w:val="16"/>
        </w:numPr>
        <w:spacing w:after="0" w:line="360" w:lineRule="auto"/>
        <w:ind w:left="1134"/>
        <w:jc w:val="both"/>
        <w:rPr>
          <w:rFonts w:cstheme="majorBidi"/>
          <w:lang w:val="id-ID" w:eastAsia="en-US"/>
        </w:rPr>
      </w:pPr>
      <w:r w:rsidRPr="00DF1993">
        <w:rPr>
          <w:rFonts w:cstheme="majorBidi"/>
          <w:lang w:val="id-ID" w:eastAsia="en-US"/>
        </w:rPr>
        <w:t>Pakar Hukum Pidana atau Akademisi, untuk mendapatkan analisis akademis mengenai efektivitas hukum pidana dalam menanggulangi pinjol illegal</w:t>
      </w:r>
      <w:r>
        <w:rPr>
          <w:rFonts w:cstheme="majorBidi"/>
          <w:lang w:val="id-ID" w:eastAsia="en-US"/>
        </w:rPr>
        <w:t>.</w:t>
      </w:r>
    </w:p>
    <w:p w:rsidR="00ED793F" w:rsidRDefault="00ED793F" w:rsidP="00ED793F">
      <w:pPr>
        <w:pStyle w:val="Heading4"/>
        <w:numPr>
          <w:ilvl w:val="3"/>
          <w:numId w:val="12"/>
        </w:numPr>
        <w:spacing w:before="0" w:line="360" w:lineRule="auto"/>
        <w:ind w:left="709"/>
        <w:rPr>
          <w:lang w:val="id-ID" w:eastAsia="en-US"/>
        </w:rPr>
      </w:pPr>
      <w:r>
        <w:rPr>
          <w:lang w:val="id-ID" w:eastAsia="en-US"/>
        </w:rPr>
        <w:t>Data Sekunder</w:t>
      </w:r>
    </w:p>
    <w:p w:rsidR="00ED793F" w:rsidRDefault="00ED793F" w:rsidP="00ED793F">
      <w:pPr>
        <w:pStyle w:val="ListParagraph"/>
        <w:spacing w:after="0" w:line="360" w:lineRule="auto"/>
        <w:ind w:firstLine="720"/>
        <w:jc w:val="both"/>
        <w:rPr>
          <w:rFonts w:cstheme="majorBidi"/>
          <w:lang w:val="id-ID" w:eastAsia="en-US"/>
        </w:rPr>
      </w:pPr>
      <w:r w:rsidRPr="00DF1993">
        <w:rPr>
          <w:rFonts w:cstheme="majorBidi"/>
          <w:lang w:val="id-ID" w:eastAsia="en-US"/>
        </w:rPr>
        <w:t>Data sekunder diperoleh dari berbagai literatur, regulasi, jurnal, dan laporan yang berkaitan dengan pinjaman online ilegal dan penerapan hukum pidana</w:t>
      </w:r>
      <w:r>
        <w:rPr>
          <w:rFonts w:cstheme="majorBidi"/>
          <w:lang w:val="id-ID" w:eastAsia="en-US"/>
        </w:rPr>
        <w:t>.</w:t>
      </w:r>
    </w:p>
    <w:p w:rsidR="00ED793F" w:rsidRDefault="00ED793F" w:rsidP="00ED793F">
      <w:pPr>
        <w:pStyle w:val="Heading3"/>
        <w:numPr>
          <w:ilvl w:val="0"/>
          <w:numId w:val="20"/>
        </w:numPr>
        <w:spacing w:before="0" w:line="360" w:lineRule="auto"/>
        <w:ind w:left="284"/>
        <w:rPr>
          <w:lang w:val="id-ID" w:eastAsia="en-US"/>
        </w:rPr>
      </w:pPr>
      <w:bookmarkStart w:id="5" w:name="_Toc201299682"/>
      <w:r>
        <w:rPr>
          <w:lang w:val="id-ID" w:eastAsia="en-US"/>
        </w:rPr>
        <w:t>Bahan Hukum</w:t>
      </w:r>
      <w:bookmarkEnd w:id="5"/>
    </w:p>
    <w:p w:rsidR="00ED793F" w:rsidRPr="001B6755" w:rsidRDefault="00ED793F" w:rsidP="00ED793F">
      <w:pPr>
        <w:pStyle w:val="ListParagraph"/>
        <w:spacing w:after="0" w:line="360" w:lineRule="auto"/>
        <w:ind w:left="284" w:firstLine="425"/>
        <w:jc w:val="both"/>
        <w:rPr>
          <w:lang w:eastAsia="en-US"/>
        </w:rPr>
      </w:pPr>
      <w:r w:rsidRPr="001B6755">
        <w:rPr>
          <w:lang w:val="sv-SE" w:eastAsia="en-US"/>
        </w:rPr>
        <w:t xml:space="preserve">Dalam penelitian hukum normatif, bahan hukum merupakan elemen utama yang menjadi </w:t>
      </w:r>
      <w:r w:rsidRPr="001B6755">
        <w:rPr>
          <w:rFonts w:cstheme="majorBidi"/>
          <w:lang w:val="id-ID" w:eastAsia="en-US"/>
        </w:rPr>
        <w:t>dasar</w:t>
      </w:r>
      <w:r w:rsidRPr="001B6755">
        <w:rPr>
          <w:lang w:val="sv-SE" w:eastAsia="en-US"/>
        </w:rPr>
        <w:t xml:space="preserve"> dalam menganalisis isu hukum yang diteliti. </w:t>
      </w:r>
      <w:r w:rsidRPr="001B6755">
        <w:rPr>
          <w:lang w:eastAsia="en-US"/>
        </w:rPr>
        <w:t>Adapun bahan hukum dalam penelitian ini terdiri atas:</w:t>
      </w:r>
    </w:p>
    <w:p w:rsidR="00ED793F" w:rsidRPr="001B6755" w:rsidRDefault="00ED793F" w:rsidP="00ED793F">
      <w:pPr>
        <w:numPr>
          <w:ilvl w:val="0"/>
          <w:numId w:val="23"/>
        </w:numPr>
        <w:spacing w:line="360" w:lineRule="auto"/>
        <w:jc w:val="both"/>
        <w:rPr>
          <w:lang w:eastAsia="en-US"/>
        </w:rPr>
      </w:pPr>
      <w:r w:rsidRPr="001B6755">
        <w:rPr>
          <w:lang w:val="sv-SE" w:eastAsia="en-US"/>
        </w:rPr>
        <w:t xml:space="preserve">Bahan Hukum Primer, yaitu bahan hukum yang memiliki kekuatan mengikat dan terdiri dari peraturan perundang-undangan yang relevan dengan permasalahan hukum yang dibahas dalam skripsi ini. </w:t>
      </w:r>
      <w:r w:rsidRPr="001B6755">
        <w:rPr>
          <w:lang w:eastAsia="en-US"/>
        </w:rPr>
        <w:t>Bahan hukum primer yang digunakan meliputi:</w:t>
      </w:r>
    </w:p>
    <w:p w:rsidR="00ED793F" w:rsidRPr="001B6755" w:rsidRDefault="00ED793F" w:rsidP="00ED793F">
      <w:pPr>
        <w:numPr>
          <w:ilvl w:val="1"/>
          <w:numId w:val="23"/>
        </w:numPr>
        <w:tabs>
          <w:tab w:val="num" w:pos="1440"/>
        </w:tabs>
        <w:jc w:val="both"/>
        <w:rPr>
          <w:lang w:val="sv-SE" w:eastAsia="en-US"/>
        </w:rPr>
      </w:pPr>
      <w:r w:rsidRPr="001B6755">
        <w:rPr>
          <w:lang w:val="sv-SE" w:eastAsia="en-US"/>
        </w:rPr>
        <w:t>Kitab Undang-Undang Hukum Pidana (KUHP)</w:t>
      </w:r>
    </w:p>
    <w:p w:rsidR="00ED793F" w:rsidRPr="001B6755" w:rsidRDefault="00ED793F" w:rsidP="00ED793F">
      <w:pPr>
        <w:numPr>
          <w:ilvl w:val="1"/>
          <w:numId w:val="23"/>
        </w:numPr>
        <w:tabs>
          <w:tab w:val="num" w:pos="1440"/>
        </w:tabs>
        <w:jc w:val="both"/>
        <w:rPr>
          <w:lang w:val="sv-SE" w:eastAsia="en-US"/>
        </w:rPr>
      </w:pPr>
      <w:r w:rsidRPr="001B6755">
        <w:rPr>
          <w:lang w:val="sv-SE" w:eastAsia="en-US"/>
        </w:rPr>
        <w:t>Undang-Undang Nomor 8 Tahun 1981 tentang Hukum Acara Pidana</w:t>
      </w:r>
    </w:p>
    <w:p w:rsidR="00ED793F" w:rsidRPr="001B6755" w:rsidRDefault="00ED793F" w:rsidP="00ED793F">
      <w:pPr>
        <w:numPr>
          <w:ilvl w:val="1"/>
          <w:numId w:val="23"/>
        </w:numPr>
        <w:tabs>
          <w:tab w:val="num" w:pos="1440"/>
        </w:tabs>
        <w:jc w:val="both"/>
        <w:rPr>
          <w:lang w:val="sv-SE" w:eastAsia="en-US"/>
        </w:rPr>
      </w:pPr>
      <w:r w:rsidRPr="001B6755">
        <w:rPr>
          <w:lang w:val="sv-SE" w:eastAsia="en-US"/>
        </w:rPr>
        <w:t>Undang-Undang Nomor 11 Tahun 2008 tentang Informasi dan Transaksi Elektronik sebagaimana telah diubah dengan Undang-Undang Nomor 19 Tahun 2016</w:t>
      </w:r>
    </w:p>
    <w:p w:rsidR="00ED793F" w:rsidRPr="001B6755" w:rsidRDefault="00ED793F" w:rsidP="00ED793F">
      <w:pPr>
        <w:numPr>
          <w:ilvl w:val="1"/>
          <w:numId w:val="23"/>
        </w:numPr>
        <w:tabs>
          <w:tab w:val="num" w:pos="1440"/>
        </w:tabs>
        <w:jc w:val="both"/>
        <w:rPr>
          <w:lang w:val="sv-SE" w:eastAsia="en-US"/>
        </w:rPr>
      </w:pPr>
      <w:r w:rsidRPr="001B6755">
        <w:rPr>
          <w:lang w:val="sv-SE" w:eastAsia="en-US"/>
        </w:rPr>
        <w:t>Undang-Undang Nomor 8 Tahun 1999 tentang Perlindungan Konsumen</w:t>
      </w:r>
    </w:p>
    <w:p w:rsidR="00ED793F" w:rsidRPr="001B6755" w:rsidRDefault="00ED793F" w:rsidP="00ED793F">
      <w:pPr>
        <w:numPr>
          <w:ilvl w:val="1"/>
          <w:numId w:val="23"/>
        </w:numPr>
        <w:tabs>
          <w:tab w:val="num" w:pos="1440"/>
        </w:tabs>
        <w:jc w:val="both"/>
        <w:rPr>
          <w:lang w:eastAsia="en-US"/>
        </w:rPr>
      </w:pPr>
      <w:r w:rsidRPr="001B6755">
        <w:rPr>
          <w:lang w:eastAsia="en-US"/>
        </w:rPr>
        <w:lastRenderedPageBreak/>
        <w:t>Undang-Undang Nomor 27 Tahun 2022 tentang Perlindungan Data Pribadi</w:t>
      </w:r>
    </w:p>
    <w:p w:rsidR="00ED793F" w:rsidRPr="001B6755" w:rsidRDefault="00ED793F" w:rsidP="00ED793F">
      <w:pPr>
        <w:numPr>
          <w:ilvl w:val="1"/>
          <w:numId w:val="23"/>
        </w:numPr>
        <w:tabs>
          <w:tab w:val="num" w:pos="1440"/>
        </w:tabs>
        <w:jc w:val="both"/>
        <w:rPr>
          <w:lang w:val="sv-SE" w:eastAsia="en-US"/>
        </w:rPr>
      </w:pPr>
      <w:r w:rsidRPr="001B6755">
        <w:rPr>
          <w:lang w:val="sv-SE" w:eastAsia="en-US"/>
        </w:rPr>
        <w:t>Undang-Undang Nomor 21 Tahun 2011 tentang Otoritas Jasa Keuangan (OJK)</w:t>
      </w:r>
    </w:p>
    <w:p w:rsidR="00ED793F" w:rsidRPr="001B6755" w:rsidRDefault="00ED793F" w:rsidP="00ED793F">
      <w:pPr>
        <w:numPr>
          <w:ilvl w:val="1"/>
          <w:numId w:val="23"/>
        </w:numPr>
        <w:tabs>
          <w:tab w:val="num" w:pos="1440"/>
        </w:tabs>
        <w:jc w:val="both"/>
        <w:rPr>
          <w:lang w:val="sv-SE" w:eastAsia="en-US"/>
        </w:rPr>
      </w:pPr>
      <w:r w:rsidRPr="001B6755">
        <w:rPr>
          <w:lang w:val="sv-SE" w:eastAsia="en-US"/>
        </w:rPr>
        <w:t>Peraturan OJK Nomor 10/POJK.05/2022 tentang Layanan Pendanaan Bersama Berbasis Teknologi Informasi</w:t>
      </w:r>
    </w:p>
    <w:p w:rsidR="00ED793F" w:rsidRPr="001B6755" w:rsidRDefault="00ED793F" w:rsidP="00ED793F">
      <w:pPr>
        <w:numPr>
          <w:ilvl w:val="0"/>
          <w:numId w:val="23"/>
        </w:numPr>
        <w:jc w:val="both"/>
        <w:rPr>
          <w:lang w:val="sv-SE" w:eastAsia="en-US"/>
        </w:rPr>
      </w:pPr>
      <w:r w:rsidRPr="001B6755">
        <w:rPr>
          <w:lang w:val="sv-SE" w:eastAsia="en-US"/>
        </w:rPr>
        <w:t>Bahan Hukum Sekunder, yaitu bahan hukum yang menjelaskan dan mendukung bahan hukum primer, seperti:</w:t>
      </w:r>
    </w:p>
    <w:p w:rsidR="00ED793F" w:rsidRPr="001B6755" w:rsidRDefault="00ED793F" w:rsidP="00ED793F">
      <w:pPr>
        <w:numPr>
          <w:ilvl w:val="1"/>
          <w:numId w:val="23"/>
        </w:numPr>
        <w:tabs>
          <w:tab w:val="num" w:pos="1440"/>
        </w:tabs>
        <w:jc w:val="both"/>
        <w:rPr>
          <w:lang w:val="sv-SE" w:eastAsia="en-US"/>
        </w:rPr>
      </w:pPr>
      <w:r w:rsidRPr="001B6755">
        <w:rPr>
          <w:lang w:val="sv-SE" w:eastAsia="en-US"/>
        </w:rPr>
        <w:t>Buku-buku literatur hukum pidana dan hukum acara pidana</w:t>
      </w:r>
    </w:p>
    <w:p w:rsidR="00ED793F" w:rsidRPr="001B6755" w:rsidRDefault="00ED793F" w:rsidP="00ED793F">
      <w:pPr>
        <w:numPr>
          <w:ilvl w:val="1"/>
          <w:numId w:val="23"/>
        </w:numPr>
        <w:tabs>
          <w:tab w:val="num" w:pos="1440"/>
        </w:tabs>
        <w:jc w:val="both"/>
        <w:rPr>
          <w:lang w:eastAsia="en-US"/>
        </w:rPr>
      </w:pPr>
      <w:r w:rsidRPr="001B6755">
        <w:rPr>
          <w:lang w:eastAsia="en-US"/>
        </w:rPr>
        <w:t>Jurnal-jurnal ilmiah hukum</w:t>
      </w:r>
    </w:p>
    <w:p w:rsidR="00ED793F" w:rsidRPr="001B6755" w:rsidRDefault="00ED793F" w:rsidP="00ED793F">
      <w:pPr>
        <w:numPr>
          <w:ilvl w:val="1"/>
          <w:numId w:val="23"/>
        </w:numPr>
        <w:tabs>
          <w:tab w:val="num" w:pos="1440"/>
        </w:tabs>
        <w:jc w:val="both"/>
        <w:rPr>
          <w:lang w:eastAsia="en-US"/>
        </w:rPr>
      </w:pPr>
      <w:r w:rsidRPr="001B6755">
        <w:rPr>
          <w:lang w:eastAsia="en-US"/>
        </w:rPr>
        <w:t>Hasil penelitian sebelumnya yang relevan</w:t>
      </w:r>
    </w:p>
    <w:p w:rsidR="00ED793F" w:rsidRPr="001B6755" w:rsidRDefault="00ED793F" w:rsidP="00ED793F">
      <w:pPr>
        <w:numPr>
          <w:ilvl w:val="1"/>
          <w:numId w:val="23"/>
        </w:numPr>
        <w:tabs>
          <w:tab w:val="num" w:pos="1440"/>
        </w:tabs>
        <w:jc w:val="both"/>
        <w:rPr>
          <w:lang w:val="sv-SE" w:eastAsia="en-US"/>
        </w:rPr>
      </w:pPr>
      <w:r w:rsidRPr="001B6755">
        <w:rPr>
          <w:lang w:val="sv-SE" w:eastAsia="en-US"/>
        </w:rPr>
        <w:t>Artikel hukum dan opini para pakar dalam bidang hukum pidana dan kejahatan digital</w:t>
      </w:r>
    </w:p>
    <w:p w:rsidR="00ED793F" w:rsidRPr="001B6755" w:rsidRDefault="00ED793F" w:rsidP="00ED793F">
      <w:pPr>
        <w:numPr>
          <w:ilvl w:val="0"/>
          <w:numId w:val="23"/>
        </w:numPr>
        <w:jc w:val="both"/>
        <w:rPr>
          <w:lang w:val="sv-SE" w:eastAsia="en-US"/>
        </w:rPr>
      </w:pPr>
      <w:r w:rsidRPr="001B6755">
        <w:rPr>
          <w:lang w:val="sv-SE" w:eastAsia="en-US"/>
        </w:rPr>
        <w:t>Bahan Hukum Tersier, yaitu bahan pendukung yang memberikan petunjuk atau penjelasan terhadap bahan hukum primer dan sekunder, seperti:</w:t>
      </w:r>
    </w:p>
    <w:p w:rsidR="00ED793F" w:rsidRPr="001B6755" w:rsidRDefault="00ED793F" w:rsidP="00ED793F">
      <w:pPr>
        <w:numPr>
          <w:ilvl w:val="1"/>
          <w:numId w:val="23"/>
        </w:numPr>
        <w:tabs>
          <w:tab w:val="num" w:pos="1440"/>
        </w:tabs>
        <w:jc w:val="both"/>
        <w:rPr>
          <w:lang w:eastAsia="en-US"/>
        </w:rPr>
      </w:pPr>
      <w:r w:rsidRPr="001B6755">
        <w:rPr>
          <w:lang w:eastAsia="en-US"/>
        </w:rPr>
        <w:t>Kamus hukum</w:t>
      </w:r>
    </w:p>
    <w:p w:rsidR="00ED793F" w:rsidRPr="001B6755" w:rsidRDefault="00ED793F" w:rsidP="00ED793F">
      <w:pPr>
        <w:numPr>
          <w:ilvl w:val="1"/>
          <w:numId w:val="23"/>
        </w:numPr>
        <w:tabs>
          <w:tab w:val="num" w:pos="1440"/>
        </w:tabs>
        <w:jc w:val="both"/>
        <w:rPr>
          <w:lang w:eastAsia="en-US"/>
        </w:rPr>
      </w:pPr>
      <w:r w:rsidRPr="001B6755">
        <w:rPr>
          <w:lang w:eastAsia="en-US"/>
        </w:rPr>
        <w:t>Ensiklopedia hukum</w:t>
      </w:r>
    </w:p>
    <w:p w:rsidR="00ED793F" w:rsidRPr="001B6755" w:rsidRDefault="00ED793F" w:rsidP="00ED793F">
      <w:pPr>
        <w:numPr>
          <w:ilvl w:val="1"/>
          <w:numId w:val="23"/>
        </w:numPr>
        <w:tabs>
          <w:tab w:val="num" w:pos="1440"/>
        </w:tabs>
        <w:jc w:val="both"/>
        <w:rPr>
          <w:lang w:eastAsia="en-US"/>
        </w:rPr>
      </w:pPr>
      <w:r w:rsidRPr="001B6755">
        <w:rPr>
          <w:lang w:eastAsia="en-US"/>
        </w:rPr>
        <w:t>Kamus Bahasa Indonesia</w:t>
      </w:r>
    </w:p>
    <w:p w:rsidR="00ED793F" w:rsidRPr="001B6755" w:rsidRDefault="00ED793F" w:rsidP="00ED793F">
      <w:pPr>
        <w:numPr>
          <w:ilvl w:val="1"/>
          <w:numId w:val="23"/>
        </w:numPr>
        <w:tabs>
          <w:tab w:val="num" w:pos="1440"/>
        </w:tabs>
        <w:jc w:val="both"/>
        <w:rPr>
          <w:lang w:eastAsia="en-US"/>
        </w:rPr>
      </w:pPr>
      <w:r w:rsidRPr="001B6755">
        <w:rPr>
          <w:lang w:eastAsia="en-US"/>
        </w:rPr>
        <w:t>Panduan penulisan ilmiah hukum</w:t>
      </w:r>
    </w:p>
    <w:p w:rsidR="00ED793F" w:rsidRPr="004F7060" w:rsidRDefault="00ED793F" w:rsidP="00ED793F">
      <w:pPr>
        <w:pStyle w:val="Heading2"/>
        <w:numPr>
          <w:ilvl w:val="2"/>
          <w:numId w:val="13"/>
        </w:numPr>
        <w:spacing w:before="0" w:after="240" w:line="360" w:lineRule="auto"/>
        <w:ind w:left="0"/>
        <w:rPr>
          <w:lang w:val="id-ID"/>
        </w:rPr>
      </w:pPr>
      <w:bookmarkStart w:id="6" w:name="_Toc201299683"/>
      <w:r w:rsidRPr="004F7BE5">
        <w:rPr>
          <w:lang w:val="id-ID"/>
        </w:rPr>
        <w:t>Teknik Pengumpulan Data</w:t>
      </w:r>
      <w:bookmarkEnd w:id="6"/>
    </w:p>
    <w:p w:rsidR="00ED793F" w:rsidRPr="002A6CEA" w:rsidRDefault="00ED793F" w:rsidP="00ED793F">
      <w:pPr>
        <w:pStyle w:val="ListParagraph"/>
        <w:spacing w:after="0" w:line="360" w:lineRule="auto"/>
        <w:ind w:left="0" w:firstLine="306"/>
        <w:jc w:val="both"/>
        <w:rPr>
          <w:rFonts w:cstheme="majorBidi"/>
          <w:lang w:val="sv-SE"/>
        </w:rPr>
      </w:pPr>
      <w:r w:rsidRPr="00000423">
        <w:rPr>
          <w:rFonts w:cstheme="majorBidi"/>
          <w:lang w:val="sv-SE"/>
        </w:rPr>
        <w:t xml:space="preserve">Teknik pengumpulan data merupakan tahap yang sangat krusial dalam penelitian, karena inti dari penelitian adalah memperoleh data. </w:t>
      </w:r>
      <w:r w:rsidRPr="00931F06">
        <w:rPr>
          <w:rFonts w:cstheme="majorBidi"/>
          <w:lang w:val="sv-SE"/>
        </w:rPr>
        <w:t>Tanpa pemahaman yang jelas mengenai Teknik pengumpulan data, peneliti tidak a</w:t>
      </w:r>
      <w:r>
        <w:rPr>
          <w:rFonts w:cstheme="majorBidi"/>
          <w:lang w:val="sv-SE"/>
        </w:rPr>
        <w:t>kan dapat memperoleh data yang memenuhi kriteria dan standar yang diperlukan.</w:t>
      </w:r>
      <w:r>
        <w:rPr>
          <w:rStyle w:val="FootnoteReference"/>
          <w:rFonts w:cstheme="majorBidi"/>
          <w:lang w:val="sv-SE"/>
        </w:rPr>
        <w:footnoteReference w:id="6"/>
      </w:r>
    </w:p>
    <w:p w:rsidR="00ED793F" w:rsidRDefault="00ED793F" w:rsidP="00ED793F">
      <w:pPr>
        <w:pStyle w:val="Heading3"/>
        <w:numPr>
          <w:ilvl w:val="2"/>
          <w:numId w:val="18"/>
        </w:numPr>
        <w:spacing w:before="0" w:line="360" w:lineRule="auto"/>
        <w:ind w:left="426"/>
        <w:rPr>
          <w:lang w:val="sv-SE"/>
        </w:rPr>
      </w:pPr>
      <w:bookmarkStart w:id="7" w:name="_Toc201299684"/>
      <w:r>
        <w:rPr>
          <w:lang w:val="sv-SE"/>
        </w:rPr>
        <w:t>Wawancara</w:t>
      </w:r>
      <w:bookmarkEnd w:id="7"/>
    </w:p>
    <w:p w:rsidR="00ED793F" w:rsidRPr="0011316E" w:rsidRDefault="00ED793F" w:rsidP="00ED793F">
      <w:pPr>
        <w:pStyle w:val="ListParagraph"/>
        <w:spacing w:after="0" w:line="360" w:lineRule="auto"/>
        <w:ind w:left="426" w:firstLine="447"/>
        <w:jc w:val="both"/>
        <w:rPr>
          <w:rFonts w:cstheme="majorBidi"/>
          <w:lang w:val="sv-SE"/>
        </w:rPr>
      </w:pPr>
      <w:r w:rsidRPr="0011316E">
        <w:rPr>
          <w:rFonts w:cstheme="majorBidi"/>
          <w:lang w:val="sv-SE"/>
        </w:rPr>
        <w:t xml:space="preserve">Wawancara merupakan metode untuk memperoleh informasi melalui proses tanya jawab antara peneliti dan narasumber. Menurut </w:t>
      </w:r>
      <w:r w:rsidRPr="00710576">
        <w:rPr>
          <w:rFonts w:cstheme="majorBidi"/>
          <w:i/>
          <w:iCs/>
          <w:lang w:val="sv-SE"/>
        </w:rPr>
        <w:t>Webster's Collegiate Dictionary</w:t>
      </w:r>
      <w:r w:rsidRPr="0011316E">
        <w:rPr>
          <w:rFonts w:cstheme="majorBidi"/>
          <w:lang w:val="sv-SE"/>
        </w:rPr>
        <w:t xml:space="preserve">, wawancara memiliki dua pengertian. Pertama, </w:t>
      </w:r>
      <w:r w:rsidRPr="0011316E">
        <w:rPr>
          <w:rFonts w:cstheme="majorBidi"/>
          <w:lang w:val="sv-SE"/>
        </w:rPr>
        <w:lastRenderedPageBreak/>
        <w:t>wawancara diartikan sebagai pertemuan antara dua orang atau lebih yang bertujuan untuk melakukan konsultasi resmi. Kedua, wawancara juga dapat merujuk pada pertemuan antara seorang wartawan dengan pihak lain untuk menggali informasi yang dapat digunakan sebagai berita.</w:t>
      </w:r>
      <w:r>
        <w:rPr>
          <w:rStyle w:val="FootnoteReference"/>
          <w:rFonts w:cstheme="majorBidi"/>
          <w:lang w:val="sv-SE"/>
        </w:rPr>
        <w:footnoteReference w:id="7"/>
      </w:r>
    </w:p>
    <w:p w:rsidR="00ED793F" w:rsidRPr="00264FEF" w:rsidRDefault="00ED793F" w:rsidP="00ED793F">
      <w:pPr>
        <w:pStyle w:val="ListParagraph"/>
        <w:spacing w:after="0" w:line="360" w:lineRule="auto"/>
        <w:ind w:left="426" w:firstLine="447"/>
        <w:jc w:val="both"/>
        <w:rPr>
          <w:rFonts w:cstheme="majorBidi"/>
          <w:lang w:val="sv-SE"/>
        </w:rPr>
      </w:pPr>
      <w:r w:rsidRPr="005D0558">
        <w:rPr>
          <w:rFonts w:cstheme="majorBidi"/>
          <w:lang w:val="sv-SE"/>
        </w:rPr>
        <w:t>Wawancara adalah salah satu teknik penting dalam mengumpulkan informasi dan data. Pada awalnya, teknik ini jarang digunakan, namun pada abad ke-20, wawancara menjadi metode yang sangat penting dalam menghasilkan karya jurnalistik yang luar biasa. Bagi lulusan psikologi, wawancara menjadi keterampilan yang wajib dimiliki, karena hampir semua pekerjaan yang berhubungan dengan bidang ini memanfaatkan wawancara untuk mengumpulkan informasi yang diperlukan sebagai dasar pertimbangan dalam mengambil langkah selanjutnya</w:t>
      </w:r>
      <w:r>
        <w:rPr>
          <w:rFonts w:cstheme="majorBidi"/>
          <w:lang w:val="sv-SE"/>
        </w:rPr>
        <w:t>.</w:t>
      </w:r>
      <w:r>
        <w:rPr>
          <w:rStyle w:val="FootnoteReference"/>
          <w:rFonts w:cstheme="majorBidi"/>
          <w:lang w:val="sv-SE"/>
        </w:rPr>
        <w:footnoteReference w:id="8"/>
      </w:r>
      <w:r w:rsidRPr="00791C9E">
        <w:rPr>
          <w:rFonts w:cstheme="majorBidi"/>
          <w:lang w:val="sv-SE"/>
        </w:rPr>
        <w:t xml:space="preserve"> Wawancara yang digunakan dalam penelitian ini ialah wawancara langsung kepada korban dari pinjaman online ilegal di Kab. </w:t>
      </w:r>
      <w:r w:rsidRPr="00264FEF">
        <w:rPr>
          <w:rFonts w:cstheme="majorBidi"/>
          <w:lang w:val="sv-SE"/>
        </w:rPr>
        <w:t>Serdang Bedagai</w:t>
      </w:r>
      <w:r>
        <w:rPr>
          <w:rFonts w:cstheme="majorBidi"/>
          <w:lang w:val="sv-SE"/>
        </w:rPr>
        <w:t xml:space="preserve"> dan aparat penegak hukum yang berada di Polres Serdang Bedagai </w:t>
      </w:r>
      <w:r w:rsidRPr="00264FEF">
        <w:rPr>
          <w:rFonts w:cstheme="majorBidi"/>
          <w:lang w:val="sv-SE"/>
        </w:rPr>
        <w:t>.</w:t>
      </w:r>
    </w:p>
    <w:p w:rsidR="00ED793F" w:rsidRDefault="00ED793F" w:rsidP="00ED793F">
      <w:pPr>
        <w:pStyle w:val="Heading3"/>
        <w:numPr>
          <w:ilvl w:val="2"/>
          <w:numId w:val="18"/>
        </w:numPr>
        <w:spacing w:before="0" w:line="360" w:lineRule="auto"/>
        <w:ind w:left="426"/>
      </w:pPr>
      <w:bookmarkStart w:id="8" w:name="_Toc201299685"/>
      <w:r>
        <w:t>Dokumentasi</w:t>
      </w:r>
      <w:bookmarkEnd w:id="8"/>
    </w:p>
    <w:p w:rsidR="00ED793F" w:rsidRPr="00217E82" w:rsidRDefault="00ED793F" w:rsidP="00ED793F">
      <w:pPr>
        <w:pStyle w:val="ListParagraph"/>
        <w:spacing w:after="0" w:line="360" w:lineRule="auto"/>
        <w:ind w:left="426" w:firstLine="425"/>
        <w:jc w:val="both"/>
        <w:rPr>
          <w:rFonts w:cstheme="majorBidi"/>
          <w:lang w:val="sv-SE"/>
        </w:rPr>
      </w:pPr>
      <w:r w:rsidRPr="00FC5256">
        <w:rPr>
          <w:rFonts w:cstheme="majorBidi"/>
          <w:lang w:val="sv-SE"/>
        </w:rPr>
        <w:t>Dikutip dari Kamus Besar Bahasa Indonesia (KBBI), dokumentasi adalah pengumpulan, pemilihan, pengolahan, dan penyimpanan informasi dalam bidang pengetahuan. Selain itu, dokumentasi juga diartikan sebagai pemberian atau pengumpulan bukti dan keterangan (seperti gambar, kutipan, guntingan koran, dan bahan referensi lain)</w:t>
      </w:r>
      <w:r w:rsidRPr="00217E82">
        <w:rPr>
          <w:rFonts w:cstheme="majorBidi"/>
          <w:lang w:val="sv-SE"/>
        </w:rPr>
        <w:t>.</w:t>
      </w:r>
      <w:r>
        <w:rPr>
          <w:rStyle w:val="FootnoteReference"/>
          <w:rFonts w:cstheme="majorBidi"/>
          <w:lang w:val="sv-SE"/>
        </w:rPr>
        <w:footnoteReference w:id="9"/>
      </w:r>
    </w:p>
    <w:p w:rsidR="00ED793F" w:rsidRDefault="00ED793F" w:rsidP="00ED793F">
      <w:pPr>
        <w:pStyle w:val="ListParagraph"/>
        <w:spacing w:after="0" w:line="360" w:lineRule="auto"/>
        <w:ind w:left="426" w:firstLine="425"/>
        <w:jc w:val="both"/>
        <w:rPr>
          <w:rFonts w:cstheme="majorBidi"/>
          <w:lang w:val="sv-SE"/>
        </w:rPr>
      </w:pPr>
      <w:r w:rsidRPr="00217E82">
        <w:rPr>
          <w:rFonts w:cstheme="majorBidi"/>
          <w:lang w:val="sv-SE"/>
        </w:rPr>
        <w:t xml:space="preserve">Dokumentasi dalam konteks ini merujuk pada teknik pengumpulan data yang bersumber dari materi tertulis, seperti deskripsi umum mengenai lokasi penelitian, proses pengumpulan informasi dari informan, pengumpulan link link berita yang berkaitan dengan pinjaman online serta aspek-aspek lain yang relevan dengan data yang digunakan dalam penelitian. Tahap dokumentasi ini nencakup foto, rekaman, dan bentuk lainnya, yang </w:t>
      </w:r>
      <w:r w:rsidRPr="00217E82">
        <w:rPr>
          <w:rFonts w:cstheme="majorBidi"/>
          <w:lang w:val="sv-SE"/>
        </w:rPr>
        <w:lastRenderedPageBreak/>
        <w:t xml:space="preserve">diharapkan dapat memperkuat hasil penelitian, terutama dalam mendukung data yang diperoleh melalui wawancara </w:t>
      </w:r>
      <w:r>
        <w:rPr>
          <w:rFonts w:cstheme="majorBidi"/>
          <w:lang w:val="sv-SE"/>
        </w:rPr>
        <w:t>dengan aparat penegak hukum Polres Serdang Bedagai di Wilayah Kab</w:t>
      </w:r>
      <w:r w:rsidRPr="00217E82">
        <w:rPr>
          <w:rFonts w:cstheme="majorBidi"/>
          <w:lang w:val="sv-SE"/>
        </w:rPr>
        <w:t>upaten Serdang Bedagai.</w:t>
      </w:r>
    </w:p>
    <w:p w:rsidR="00ED793F" w:rsidRDefault="00ED793F" w:rsidP="00ED793F">
      <w:pPr>
        <w:pStyle w:val="Heading3"/>
        <w:numPr>
          <w:ilvl w:val="0"/>
          <w:numId w:val="20"/>
        </w:numPr>
        <w:spacing w:before="0" w:line="360" w:lineRule="auto"/>
        <w:ind w:left="284"/>
        <w:rPr>
          <w:lang w:val="id-ID" w:eastAsia="en-US"/>
        </w:rPr>
      </w:pPr>
      <w:bookmarkStart w:id="9" w:name="_Toc201299686"/>
      <w:r>
        <w:rPr>
          <w:lang w:val="id-ID" w:eastAsia="en-US"/>
        </w:rPr>
        <w:t>Bahan Hukum</w:t>
      </w:r>
      <w:bookmarkEnd w:id="9"/>
    </w:p>
    <w:p w:rsidR="00ED793F" w:rsidRDefault="00ED793F" w:rsidP="00ED793F">
      <w:pPr>
        <w:pStyle w:val="ListParagraph"/>
        <w:spacing w:after="0" w:line="360" w:lineRule="auto"/>
        <w:ind w:left="284" w:firstLine="436"/>
        <w:jc w:val="both"/>
        <w:rPr>
          <w:rFonts w:cstheme="majorBidi"/>
          <w:lang w:val="id-ID" w:eastAsia="en-US"/>
        </w:rPr>
      </w:pPr>
      <w:r w:rsidRPr="00002EB8">
        <w:rPr>
          <w:rFonts w:cstheme="majorBidi"/>
          <w:lang w:val="id-ID" w:eastAsia="en-US"/>
        </w:rPr>
        <w:t>Bahan Hukum menjadi salah satu pengkuat untuk penelitian ini, penulis akan menggunakan beberapa bahan hukum yang terdiri dari</w:t>
      </w:r>
      <w:r>
        <w:rPr>
          <w:rFonts w:cstheme="majorBidi"/>
          <w:lang w:val="id-ID" w:eastAsia="en-US"/>
        </w:rPr>
        <w:t xml:space="preserve"> :</w:t>
      </w:r>
    </w:p>
    <w:p w:rsidR="00ED793F" w:rsidRDefault="00ED793F" w:rsidP="00ED793F">
      <w:pPr>
        <w:pStyle w:val="Heading4"/>
        <w:numPr>
          <w:ilvl w:val="0"/>
          <w:numId w:val="21"/>
        </w:numPr>
        <w:spacing w:before="0" w:line="360" w:lineRule="auto"/>
        <w:rPr>
          <w:lang w:val="id-ID" w:eastAsia="en-US"/>
        </w:rPr>
      </w:pPr>
      <w:r>
        <w:rPr>
          <w:lang w:val="id-ID" w:eastAsia="en-US"/>
        </w:rPr>
        <w:t>Bahan Hukum Primer (Peraturan Perundang – Undangan )</w:t>
      </w:r>
    </w:p>
    <w:p w:rsidR="00ED793F" w:rsidRDefault="00ED793F" w:rsidP="00ED793F">
      <w:pPr>
        <w:pStyle w:val="ListParagraph"/>
        <w:numPr>
          <w:ilvl w:val="0"/>
          <w:numId w:val="17"/>
        </w:numPr>
        <w:spacing w:after="0" w:line="360" w:lineRule="auto"/>
        <w:ind w:left="1134"/>
        <w:jc w:val="both"/>
        <w:rPr>
          <w:rFonts w:cstheme="majorBidi"/>
          <w:lang w:val="id-ID" w:eastAsia="en-US"/>
        </w:rPr>
      </w:pPr>
      <w:r>
        <w:rPr>
          <w:rFonts w:cstheme="majorBidi"/>
          <w:lang w:val="id-ID" w:eastAsia="en-US"/>
        </w:rPr>
        <w:t xml:space="preserve">Kitab Undang-Undang Hukum Pidana (KUHP), terkait pasal-pasal yang digunakan dalam penindakan kasus pinjol ilegal, seperti : </w:t>
      </w:r>
    </w:p>
    <w:p w:rsidR="00ED793F" w:rsidRDefault="00ED793F" w:rsidP="00ED793F">
      <w:pPr>
        <w:pStyle w:val="ListParagraph"/>
        <w:numPr>
          <w:ilvl w:val="5"/>
          <w:numId w:val="20"/>
        </w:numPr>
        <w:spacing w:after="0" w:line="360" w:lineRule="auto"/>
        <w:ind w:left="1560"/>
        <w:jc w:val="both"/>
        <w:rPr>
          <w:rFonts w:cstheme="majorBidi"/>
          <w:lang w:val="id-ID" w:eastAsia="en-US"/>
        </w:rPr>
      </w:pPr>
      <w:r>
        <w:rPr>
          <w:rFonts w:cstheme="majorBidi"/>
          <w:lang w:val="id-ID" w:eastAsia="en-US"/>
        </w:rPr>
        <w:t xml:space="preserve">Pasal 378 KUHP tentang penipuan </w:t>
      </w:r>
    </w:p>
    <w:p w:rsidR="00ED793F" w:rsidRDefault="00ED793F" w:rsidP="00ED793F">
      <w:pPr>
        <w:pStyle w:val="ListParagraph"/>
        <w:numPr>
          <w:ilvl w:val="5"/>
          <w:numId w:val="20"/>
        </w:numPr>
        <w:spacing w:after="0" w:line="360" w:lineRule="auto"/>
        <w:ind w:left="1560"/>
        <w:jc w:val="both"/>
        <w:rPr>
          <w:rFonts w:cstheme="majorBidi"/>
          <w:lang w:val="id-ID" w:eastAsia="en-US"/>
        </w:rPr>
      </w:pPr>
      <w:r>
        <w:rPr>
          <w:rFonts w:cstheme="majorBidi"/>
          <w:lang w:val="id-ID" w:eastAsia="en-US"/>
        </w:rPr>
        <w:t>Pasal 368 KUHP tentang pemerasan</w:t>
      </w:r>
    </w:p>
    <w:p w:rsidR="00ED793F" w:rsidRDefault="00ED793F" w:rsidP="00ED793F">
      <w:pPr>
        <w:pStyle w:val="ListParagraph"/>
        <w:numPr>
          <w:ilvl w:val="5"/>
          <w:numId w:val="20"/>
        </w:numPr>
        <w:spacing w:after="0" w:line="360" w:lineRule="auto"/>
        <w:ind w:left="1560"/>
        <w:jc w:val="both"/>
        <w:rPr>
          <w:rFonts w:cstheme="majorBidi"/>
          <w:lang w:val="id-ID" w:eastAsia="en-US"/>
        </w:rPr>
      </w:pPr>
      <w:r>
        <w:rPr>
          <w:rFonts w:cstheme="majorBidi"/>
          <w:lang w:val="id-ID" w:eastAsia="en-US"/>
        </w:rPr>
        <w:t xml:space="preserve">Pasal 335 KUHP tentang perbuatan tidak menyenangkan (terkait ancaman dan intimidasi oleh debt collector ilegal) </w:t>
      </w:r>
    </w:p>
    <w:p w:rsidR="00ED793F" w:rsidRDefault="00ED793F" w:rsidP="00ED793F">
      <w:pPr>
        <w:pStyle w:val="ListParagraph"/>
        <w:numPr>
          <w:ilvl w:val="0"/>
          <w:numId w:val="17"/>
        </w:numPr>
        <w:spacing w:after="0" w:line="360" w:lineRule="auto"/>
        <w:ind w:left="1134"/>
        <w:jc w:val="both"/>
        <w:rPr>
          <w:rFonts w:cstheme="majorBidi"/>
          <w:lang w:val="id-ID" w:eastAsia="en-US"/>
        </w:rPr>
      </w:pPr>
      <w:r>
        <w:rPr>
          <w:rFonts w:cstheme="majorBidi"/>
          <w:lang w:val="id-ID" w:eastAsia="en-US"/>
        </w:rPr>
        <w:t>Undang-Undang Nomor 11 Tahun 2008 tentang Informasi dan Transaksi Elektronik (UU ITE), Sebagaimana telah diubah dengan UU Nomor 19 Tahun 2016.</w:t>
      </w:r>
    </w:p>
    <w:p w:rsidR="00ED793F" w:rsidRDefault="00ED793F" w:rsidP="00ED793F">
      <w:pPr>
        <w:pStyle w:val="ListParagraph"/>
        <w:numPr>
          <w:ilvl w:val="0"/>
          <w:numId w:val="22"/>
        </w:numPr>
        <w:spacing w:after="0" w:line="360" w:lineRule="auto"/>
        <w:ind w:left="1560" w:hanging="142"/>
        <w:jc w:val="both"/>
        <w:rPr>
          <w:rFonts w:cstheme="majorBidi"/>
          <w:lang w:val="id-ID" w:eastAsia="en-US"/>
        </w:rPr>
      </w:pPr>
      <w:r>
        <w:rPr>
          <w:rFonts w:cstheme="majorBidi"/>
          <w:lang w:val="id-ID" w:eastAsia="en-US"/>
        </w:rPr>
        <w:t>Pasal 27 ayat (3) tentang penghinaan dan pencemaran nama baik (sering digunakan dalam kasus penyebaran data pribadi oleh pinjol ilegal).</w:t>
      </w:r>
    </w:p>
    <w:p w:rsidR="00ED793F" w:rsidRDefault="00ED793F" w:rsidP="00ED793F">
      <w:pPr>
        <w:pStyle w:val="ListParagraph"/>
        <w:numPr>
          <w:ilvl w:val="0"/>
          <w:numId w:val="22"/>
        </w:numPr>
        <w:spacing w:after="0" w:line="360" w:lineRule="auto"/>
        <w:ind w:left="1560" w:hanging="142"/>
        <w:jc w:val="both"/>
        <w:rPr>
          <w:rFonts w:cstheme="majorBidi"/>
          <w:lang w:val="id-ID" w:eastAsia="en-US"/>
        </w:rPr>
      </w:pPr>
      <w:r>
        <w:rPr>
          <w:rFonts w:cstheme="majorBidi"/>
          <w:lang w:val="id-ID" w:eastAsia="en-US"/>
        </w:rPr>
        <w:t>Pasal 29 tentang ancaman kekerasan melalui media elektronik.</w:t>
      </w:r>
    </w:p>
    <w:p w:rsidR="00ED793F" w:rsidRDefault="00ED793F" w:rsidP="00ED793F">
      <w:pPr>
        <w:pStyle w:val="ListParagraph"/>
        <w:numPr>
          <w:ilvl w:val="0"/>
          <w:numId w:val="17"/>
        </w:numPr>
        <w:spacing w:after="0" w:line="360" w:lineRule="auto"/>
        <w:ind w:left="1134"/>
        <w:jc w:val="both"/>
        <w:rPr>
          <w:rFonts w:cstheme="majorBidi"/>
          <w:lang w:val="id-ID" w:eastAsia="en-US"/>
        </w:rPr>
      </w:pPr>
      <w:r>
        <w:rPr>
          <w:rFonts w:cstheme="majorBidi"/>
          <w:lang w:val="id-ID" w:eastAsia="en-US"/>
        </w:rPr>
        <w:t xml:space="preserve">Undang-Undang Nomor 21 Tahun 2011 tentang Otoritas Jasa Keuangan (UU OJK), mengatur peran OJK dalam mengawasai sektor jasa keuangan, termasuk fintech lending. </w:t>
      </w:r>
    </w:p>
    <w:p w:rsidR="00ED793F" w:rsidRPr="00000423" w:rsidRDefault="00ED793F" w:rsidP="00ED793F">
      <w:pPr>
        <w:pStyle w:val="ListParagraph"/>
        <w:numPr>
          <w:ilvl w:val="0"/>
          <w:numId w:val="17"/>
        </w:numPr>
        <w:spacing w:after="0" w:line="360" w:lineRule="auto"/>
        <w:ind w:left="1134"/>
        <w:jc w:val="both"/>
        <w:rPr>
          <w:rFonts w:cstheme="majorBidi"/>
          <w:lang w:val="sv-SE" w:eastAsia="en-US"/>
        </w:rPr>
      </w:pPr>
      <w:r w:rsidRPr="00000423">
        <w:rPr>
          <w:rFonts w:cstheme="majorBidi"/>
          <w:lang w:val="sv-SE" w:eastAsia="en-US"/>
        </w:rPr>
        <w:t xml:space="preserve">Undang-Undang Nomor 8 Tahun 1999 tentang Perlindungan Konsumen (UU Perlindungan Konsumen), melindungi hak-hak konsumen dari praktik pinjaman online ilegal. </w:t>
      </w:r>
    </w:p>
    <w:p w:rsidR="00ED793F" w:rsidRPr="00000423" w:rsidRDefault="00ED793F" w:rsidP="00ED793F">
      <w:pPr>
        <w:pStyle w:val="ListParagraph"/>
        <w:numPr>
          <w:ilvl w:val="0"/>
          <w:numId w:val="17"/>
        </w:numPr>
        <w:spacing w:after="0" w:line="360" w:lineRule="auto"/>
        <w:ind w:left="1134"/>
        <w:jc w:val="both"/>
        <w:rPr>
          <w:rFonts w:cstheme="majorBidi"/>
          <w:lang w:val="sv-SE" w:eastAsia="en-US"/>
        </w:rPr>
      </w:pPr>
      <w:r w:rsidRPr="00000423">
        <w:rPr>
          <w:rFonts w:cstheme="majorBidi"/>
          <w:lang w:val="sv-SE" w:eastAsia="en-US"/>
        </w:rPr>
        <w:t xml:space="preserve">Peraturan OJK (POJK) Nomor 10/POJK.05/2022 tentang Layanan Pendanaan Bersama Berbasis Teknologi Informasi, mengatur ketentuan legalitas penyelenggaraan pinjaman online. </w:t>
      </w:r>
    </w:p>
    <w:p w:rsidR="00ED793F" w:rsidRPr="00000423" w:rsidRDefault="00ED793F" w:rsidP="00ED793F">
      <w:pPr>
        <w:pStyle w:val="ListParagraph"/>
        <w:numPr>
          <w:ilvl w:val="0"/>
          <w:numId w:val="17"/>
        </w:numPr>
        <w:spacing w:after="0" w:line="360" w:lineRule="auto"/>
        <w:ind w:left="1134"/>
        <w:jc w:val="both"/>
        <w:rPr>
          <w:rFonts w:cstheme="majorBidi"/>
          <w:lang w:val="id-ID" w:eastAsia="en-US"/>
        </w:rPr>
      </w:pPr>
      <w:r w:rsidRPr="00000423">
        <w:rPr>
          <w:rFonts w:cstheme="majorBidi"/>
          <w:lang w:eastAsia="en-US"/>
        </w:rPr>
        <w:t>Surat Edaran OJK Nomor 18/SEOJK.02/2023, tentang tata cara pengawasan pinjaman online di Indonesia.</w:t>
      </w:r>
    </w:p>
    <w:p w:rsidR="00ED793F" w:rsidRPr="00000423" w:rsidRDefault="00ED793F" w:rsidP="00ED793F">
      <w:pPr>
        <w:pStyle w:val="Heading4"/>
        <w:numPr>
          <w:ilvl w:val="0"/>
          <w:numId w:val="21"/>
        </w:numPr>
        <w:spacing w:before="0" w:line="360" w:lineRule="auto"/>
        <w:rPr>
          <w:lang w:val="id-ID" w:eastAsia="en-US"/>
        </w:rPr>
      </w:pPr>
      <w:r w:rsidRPr="00000423">
        <w:rPr>
          <w:lang w:val="id-ID" w:eastAsia="en-US"/>
        </w:rPr>
        <w:lastRenderedPageBreak/>
        <w:t>Bahan Hukum Sekunder (Literatur dan Studi)</w:t>
      </w:r>
    </w:p>
    <w:p w:rsidR="00ED793F" w:rsidRPr="00000423" w:rsidRDefault="00ED793F" w:rsidP="00ED793F">
      <w:pPr>
        <w:pStyle w:val="ListParagraph"/>
        <w:numPr>
          <w:ilvl w:val="1"/>
          <w:numId w:val="18"/>
        </w:numPr>
        <w:spacing w:after="0" w:line="360" w:lineRule="auto"/>
        <w:ind w:left="1134"/>
        <w:jc w:val="both"/>
        <w:rPr>
          <w:rFonts w:cstheme="majorBidi"/>
          <w:lang w:val="id-ID" w:eastAsia="en-US"/>
        </w:rPr>
      </w:pPr>
      <w:r w:rsidRPr="00000423">
        <w:rPr>
          <w:rFonts w:cstheme="majorBidi"/>
          <w:lang w:val="id-ID" w:eastAsia="en-US"/>
        </w:rPr>
        <w:t xml:space="preserve">Jurnal dan penelitian akademik terkait dampak pinjaman online ilegal dan penerapan hukum pidana, seperti Jurnal dari OJK, Bareskrim Polri, dan akademisi hukum pidana mengenai regulasi dan penanganan pinjol ilegal. </w:t>
      </w:r>
    </w:p>
    <w:p w:rsidR="00ED793F" w:rsidRPr="00000423" w:rsidRDefault="00ED793F" w:rsidP="00ED793F">
      <w:pPr>
        <w:pStyle w:val="ListParagraph"/>
        <w:numPr>
          <w:ilvl w:val="1"/>
          <w:numId w:val="18"/>
        </w:numPr>
        <w:spacing w:after="0" w:line="360" w:lineRule="auto"/>
        <w:ind w:left="1134"/>
        <w:jc w:val="both"/>
        <w:rPr>
          <w:rFonts w:cstheme="majorBidi"/>
          <w:lang w:val="id-ID" w:eastAsia="en-US"/>
        </w:rPr>
      </w:pPr>
      <w:r w:rsidRPr="00000423">
        <w:rPr>
          <w:rFonts w:cstheme="majorBidi"/>
          <w:lang w:val="id-ID" w:eastAsia="en-US"/>
        </w:rPr>
        <w:t>Laporan dari Otoritas Jasa Keuangan (OJK) dan Satgas PASTI mengenai jumlah kasus pinjaman online ilegal yang telah ditindak</w:t>
      </w:r>
    </w:p>
    <w:p w:rsidR="00ED793F" w:rsidRDefault="00ED793F" w:rsidP="00ED793F">
      <w:pPr>
        <w:pStyle w:val="Heading4"/>
        <w:numPr>
          <w:ilvl w:val="0"/>
          <w:numId w:val="21"/>
        </w:numPr>
        <w:spacing w:before="0" w:line="360" w:lineRule="auto"/>
        <w:rPr>
          <w:lang w:val="id-ID"/>
        </w:rPr>
      </w:pPr>
      <w:r>
        <w:rPr>
          <w:lang w:val="id-ID"/>
        </w:rPr>
        <w:t xml:space="preserve">Bahan Hukum Tersier </w:t>
      </w:r>
    </w:p>
    <w:p w:rsidR="00ED793F" w:rsidRPr="00000423" w:rsidRDefault="00ED793F" w:rsidP="00ED793F">
      <w:pPr>
        <w:pStyle w:val="ListParagraph"/>
        <w:numPr>
          <w:ilvl w:val="0"/>
          <w:numId w:val="19"/>
        </w:numPr>
        <w:spacing w:after="0" w:line="360" w:lineRule="auto"/>
        <w:ind w:left="1134"/>
        <w:rPr>
          <w:rFonts w:cstheme="majorBidi"/>
          <w:lang w:val="id-ID"/>
        </w:rPr>
      </w:pPr>
      <w:r w:rsidRPr="00000423">
        <w:rPr>
          <w:rFonts w:cstheme="majorBidi"/>
          <w:lang w:val="id-ID"/>
        </w:rPr>
        <w:t xml:space="preserve">Kamus Hukum untuk memahami definisi dan konsep terkait hukum pidana dalam kasus pinjaman online ilegal. </w:t>
      </w:r>
    </w:p>
    <w:p w:rsidR="00ED793F" w:rsidRPr="004F7060" w:rsidRDefault="00ED793F" w:rsidP="00ED793F">
      <w:pPr>
        <w:pStyle w:val="ListParagraph"/>
        <w:numPr>
          <w:ilvl w:val="0"/>
          <w:numId w:val="19"/>
        </w:numPr>
        <w:spacing w:line="360" w:lineRule="auto"/>
        <w:ind w:left="1134"/>
        <w:jc w:val="both"/>
        <w:rPr>
          <w:rFonts w:cstheme="majorBidi"/>
          <w:lang w:val="id-ID"/>
        </w:rPr>
      </w:pPr>
      <w:r w:rsidRPr="00000423">
        <w:rPr>
          <w:rFonts w:cstheme="majorBidi"/>
          <w:lang w:val="id-ID"/>
        </w:rPr>
        <w:t>Artikel berita kredibel dari Kompas, Tempo, atau CNN Indonesia yang memuat kasus terbaru terkait pinjaman online ilegal.</w:t>
      </w:r>
    </w:p>
    <w:p w:rsidR="00ED793F" w:rsidRDefault="00ED793F" w:rsidP="00ED793F">
      <w:pPr>
        <w:pStyle w:val="Heading2"/>
        <w:numPr>
          <w:ilvl w:val="2"/>
          <w:numId w:val="13"/>
        </w:numPr>
        <w:spacing w:before="0" w:line="360" w:lineRule="auto"/>
        <w:ind w:left="0"/>
        <w:rPr>
          <w:lang w:val="sv-SE"/>
        </w:rPr>
      </w:pPr>
      <w:bookmarkStart w:id="10" w:name="_Toc201299687"/>
      <w:r w:rsidRPr="00E063EA">
        <w:rPr>
          <w:lang w:val="sv-SE"/>
        </w:rPr>
        <w:t>Analisis Data</w:t>
      </w:r>
      <w:bookmarkEnd w:id="10"/>
    </w:p>
    <w:p w:rsidR="00ED793F" w:rsidRDefault="00ED793F" w:rsidP="00ED793F">
      <w:pPr>
        <w:pStyle w:val="ListParagraph"/>
        <w:spacing w:after="0" w:line="360" w:lineRule="auto"/>
        <w:ind w:left="0" w:firstLine="306"/>
        <w:jc w:val="both"/>
        <w:rPr>
          <w:rFonts w:cstheme="majorBidi"/>
          <w:lang w:val="sv-SE"/>
        </w:rPr>
      </w:pPr>
      <w:r w:rsidRPr="0050183F">
        <w:rPr>
          <w:rFonts w:cstheme="majorBidi"/>
          <w:lang w:val="sv-SE"/>
        </w:rPr>
        <w:t>Analisis data merupakan standar untuk menentukan kebenaran suatu data hasil penelitian, dengan lebih berfokus pada informasi yang diperoleh dibandingkan dengan jumlah responden atau sikap mereka. Mengacu pada teori yang dikemukakan oleh Denzin, terdapat empat jenis triangulasi dalam pengujian analisis data, yaitu triangulasi sumber, metode, penyidik, dan teori. Dalam penelitian ini, analisis data dilakukan menggunakan metode triangulasi. Triangulasi sendiri merupakan teknik yang digunakan untuk memastikan keabsahan data.</w:t>
      </w:r>
      <w:r>
        <w:rPr>
          <w:rStyle w:val="FootnoteReference"/>
          <w:rFonts w:cstheme="majorBidi"/>
          <w:lang w:val="sv-SE"/>
        </w:rPr>
        <w:footnoteReference w:id="10"/>
      </w:r>
    </w:p>
    <w:p w:rsidR="00ED793F" w:rsidRDefault="00ED793F" w:rsidP="00ED793F">
      <w:pPr>
        <w:spacing w:line="360" w:lineRule="auto"/>
        <w:rPr>
          <w:rFonts w:cstheme="majorBidi"/>
          <w:lang w:val="sv-SE"/>
        </w:rPr>
      </w:pPr>
      <w:r>
        <w:rPr>
          <w:rFonts w:cstheme="majorBidi"/>
          <w:lang w:val="sv-SE"/>
        </w:rPr>
        <w:br w:type="page"/>
      </w:r>
    </w:p>
    <w:p w:rsidR="00E27208" w:rsidRPr="00ED793F" w:rsidRDefault="00DB39B8" w:rsidP="00ED793F">
      <w:bookmarkStart w:id="11" w:name="_GoBack"/>
      <w:bookmarkEnd w:id="11"/>
    </w:p>
    <w:sectPr w:rsidR="00E27208" w:rsidRPr="00ED793F" w:rsidSect="00CB3C8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9B8" w:rsidRDefault="00DB39B8" w:rsidP="006A3179">
      <w:pPr>
        <w:spacing w:after="0" w:line="240" w:lineRule="auto"/>
      </w:pPr>
      <w:r>
        <w:separator/>
      </w:r>
    </w:p>
  </w:endnote>
  <w:endnote w:type="continuationSeparator" w:id="1">
    <w:p w:rsidR="00DB39B8" w:rsidRDefault="00DB39B8" w:rsidP="006A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DB39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57067"/>
      <w:docPartObj>
        <w:docPartGallery w:val="Page Numbers (Bottom of Page)"/>
        <w:docPartUnique/>
      </w:docPartObj>
    </w:sdtPr>
    <w:sdtEndPr>
      <w:rPr>
        <w:noProof/>
      </w:rPr>
    </w:sdtEndPr>
    <w:sdtContent>
      <w:p w:rsidR="00C24873" w:rsidRDefault="00126F73" w:rsidP="000057EF">
        <w:pPr>
          <w:pStyle w:val="Footer"/>
          <w:jc w:val="center"/>
        </w:pPr>
        <w:r>
          <w:fldChar w:fldCharType="begin"/>
        </w:r>
        <w:r w:rsidR="00252B5B">
          <w:instrText xml:space="preserve"> PAGE   \* MERGEFORMAT </w:instrText>
        </w:r>
        <w:r>
          <w:fldChar w:fldCharType="separate"/>
        </w:r>
        <w:r w:rsidR="007E48BD">
          <w:rPr>
            <w:noProof/>
          </w:rPr>
          <w:t>8</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DB39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9B8" w:rsidRDefault="00DB39B8" w:rsidP="006A3179">
      <w:pPr>
        <w:spacing w:after="0" w:line="240" w:lineRule="auto"/>
      </w:pPr>
      <w:r>
        <w:separator/>
      </w:r>
    </w:p>
  </w:footnote>
  <w:footnote w:type="continuationSeparator" w:id="1">
    <w:p w:rsidR="00DB39B8" w:rsidRDefault="00DB39B8" w:rsidP="006A3179">
      <w:pPr>
        <w:spacing w:after="0" w:line="240" w:lineRule="auto"/>
      </w:pPr>
      <w:r>
        <w:continuationSeparator/>
      </w:r>
    </w:p>
  </w:footnote>
  <w:footnote w:id="2">
    <w:p w:rsidR="00ED793F" w:rsidRPr="009920A7" w:rsidRDefault="00ED793F" w:rsidP="00ED793F">
      <w:pPr>
        <w:pStyle w:val="FootnoteText"/>
        <w:jc w:val="both"/>
        <w:rPr>
          <w:lang w:val="id-ID"/>
        </w:rPr>
      </w:pPr>
      <w:r>
        <w:rPr>
          <w:rStyle w:val="FootnoteReference"/>
        </w:rPr>
        <w:footnoteRef/>
      </w:r>
      <w:r w:rsidRPr="009920A7">
        <w:rPr>
          <w:sz w:val="18"/>
          <w:szCs w:val="18"/>
          <w:lang w:val="id-ID"/>
        </w:rPr>
        <w:t>Albi Anggito dan Johan Setiawan, Metode Penelitian Kualitatif, Sukabumi : CV Jejak, 2018, hlm 7</w:t>
      </w:r>
    </w:p>
  </w:footnote>
  <w:footnote w:id="3">
    <w:p w:rsidR="00ED793F" w:rsidRPr="00DD6695" w:rsidRDefault="00ED793F" w:rsidP="00ED793F">
      <w:pPr>
        <w:pStyle w:val="FootnoteText"/>
        <w:jc w:val="both"/>
        <w:rPr>
          <w:lang w:val="id-ID"/>
        </w:rPr>
      </w:pPr>
      <w:r>
        <w:rPr>
          <w:rStyle w:val="FootnoteReference"/>
        </w:rPr>
        <w:footnoteRef/>
      </w:r>
      <w:r w:rsidRPr="00DD6695">
        <w:rPr>
          <w:lang w:val="id-ID"/>
        </w:rPr>
        <w:t xml:space="preserve"> Lexy J. Moleong, </w:t>
      </w:r>
      <w:r w:rsidRPr="00DD6695">
        <w:rPr>
          <w:i/>
          <w:iCs/>
          <w:lang w:val="id-ID"/>
        </w:rPr>
        <w:t>Metodologi Penelitian Kualitatif</w:t>
      </w:r>
      <w:r w:rsidRPr="00DD6695">
        <w:rPr>
          <w:lang w:val="id-ID"/>
        </w:rPr>
        <w:t>, Bandung: Remaja Rosdakarya, 2019</w:t>
      </w:r>
    </w:p>
  </w:footnote>
  <w:footnote w:id="4">
    <w:p w:rsidR="00ED793F" w:rsidRPr="00DF1993" w:rsidRDefault="00ED793F" w:rsidP="00ED793F">
      <w:pPr>
        <w:pStyle w:val="FootnoteText"/>
        <w:jc w:val="both"/>
        <w:rPr>
          <w:lang w:val="id-ID"/>
        </w:rPr>
      </w:pPr>
      <w:r>
        <w:rPr>
          <w:rStyle w:val="FootnoteReference"/>
        </w:rPr>
        <w:footnoteRef/>
      </w:r>
      <w:r>
        <w:rPr>
          <w:lang w:val="id-ID"/>
        </w:rPr>
        <w:t xml:space="preserve">Mamik, </w:t>
      </w:r>
      <w:r w:rsidRPr="00DF1993">
        <w:rPr>
          <w:i/>
          <w:iCs/>
          <w:lang w:val="id-ID"/>
        </w:rPr>
        <w:t>Metodologi Kualitatif</w:t>
      </w:r>
      <w:r>
        <w:rPr>
          <w:lang w:val="id-ID"/>
        </w:rPr>
        <w:t>, Sioarjo : ZifatamaPublisher, 2015, hlm.54</w:t>
      </w:r>
    </w:p>
  </w:footnote>
  <w:footnote w:id="5">
    <w:p w:rsidR="00ED793F" w:rsidRPr="0030585B" w:rsidRDefault="00ED793F" w:rsidP="00ED793F">
      <w:pPr>
        <w:pStyle w:val="FootnoteText"/>
        <w:ind w:left="142" w:hanging="142"/>
        <w:jc w:val="both"/>
        <w:rPr>
          <w:lang w:val="en-US"/>
        </w:rPr>
      </w:pPr>
      <w:r>
        <w:rPr>
          <w:rStyle w:val="FootnoteReference"/>
        </w:rPr>
        <w:footnoteRef/>
      </w:r>
      <w:r w:rsidRPr="005940BD">
        <w:rPr>
          <w:lang w:val="id-ID"/>
        </w:rPr>
        <w:t xml:space="preserve"> Naderifar, M., Goli, H., &amp; Ghaljaie, F. (2017). </w:t>
      </w:r>
      <w:r w:rsidRPr="0008653C">
        <w:rPr>
          <w:i/>
          <w:iCs/>
        </w:rPr>
        <w:t>Snowball Sampling: A Purposeful Method of Sampling in Qualitative Research</w:t>
      </w:r>
      <w:r w:rsidRPr="0008653C">
        <w:t>. Strides in Development of Medical Education</w:t>
      </w:r>
    </w:p>
  </w:footnote>
  <w:footnote w:id="6">
    <w:p w:rsidR="00ED793F" w:rsidRPr="00465D45" w:rsidRDefault="00ED793F" w:rsidP="00ED793F">
      <w:pPr>
        <w:pStyle w:val="FootnoteText"/>
        <w:jc w:val="both"/>
        <w:rPr>
          <w:lang w:val="id-ID"/>
        </w:rPr>
      </w:pPr>
      <w:r>
        <w:rPr>
          <w:rStyle w:val="FootnoteReference"/>
        </w:rPr>
        <w:footnoteRef/>
      </w:r>
      <w:r w:rsidRPr="00465D45">
        <w:rPr>
          <w:lang w:val="id-ID"/>
        </w:rPr>
        <w:t xml:space="preserve"> Sugiyono, </w:t>
      </w:r>
      <w:r w:rsidRPr="00465D45">
        <w:rPr>
          <w:i/>
          <w:iCs/>
          <w:lang w:val="id-ID"/>
        </w:rPr>
        <w:t xml:space="preserve">Memahami Penelitian Kualitatif, </w:t>
      </w:r>
      <w:r w:rsidRPr="00465D45">
        <w:rPr>
          <w:lang w:val="id-ID"/>
        </w:rPr>
        <w:t>Bandung : Alfabeta, 2019, hlm 224</w:t>
      </w:r>
    </w:p>
  </w:footnote>
  <w:footnote w:id="7">
    <w:p w:rsidR="00ED793F" w:rsidRPr="00775F4C" w:rsidRDefault="00ED793F" w:rsidP="00ED793F">
      <w:pPr>
        <w:pStyle w:val="FootnoteText"/>
        <w:jc w:val="both"/>
      </w:pPr>
      <w:r>
        <w:rPr>
          <w:rStyle w:val="FootnoteReference"/>
        </w:rPr>
        <w:footnoteRef/>
      </w:r>
      <w:r w:rsidRPr="00775F4C">
        <w:t xml:space="preserve">Merriam-Webster, </w:t>
      </w:r>
      <w:r w:rsidRPr="00775F4C">
        <w:rPr>
          <w:i/>
          <w:iCs/>
        </w:rPr>
        <w:t>Webster's Collegiate Dictionary</w:t>
      </w:r>
      <w:r w:rsidRPr="00775F4C">
        <w:t xml:space="preserve">, Massachusetts: Merriam-Webster </w:t>
      </w:r>
      <w:r>
        <w:br/>
      </w:r>
      <w:r w:rsidRPr="00775F4C">
        <w:t>Incorporated, 2019.</w:t>
      </w:r>
    </w:p>
  </w:footnote>
  <w:footnote w:id="8">
    <w:p w:rsidR="00ED793F" w:rsidRPr="005D0558" w:rsidRDefault="00ED793F" w:rsidP="00ED793F">
      <w:pPr>
        <w:pStyle w:val="FootnoteText"/>
        <w:jc w:val="both"/>
        <w:rPr>
          <w:lang w:val="sv-SE"/>
        </w:rPr>
      </w:pPr>
      <w:r>
        <w:rPr>
          <w:rStyle w:val="FootnoteReference"/>
        </w:rPr>
        <w:footnoteRef/>
      </w:r>
      <w:r w:rsidRPr="005D0558">
        <w:rPr>
          <w:lang w:val="sv-SE"/>
        </w:rPr>
        <w:t xml:space="preserve"> Lexy J. Moleong, </w:t>
      </w:r>
      <w:r w:rsidRPr="005D0558">
        <w:rPr>
          <w:i/>
          <w:iCs/>
          <w:lang w:val="sv-SE"/>
        </w:rPr>
        <w:t>Metodologi Penelitian Kualitatif</w:t>
      </w:r>
      <w:r w:rsidRPr="005D0558">
        <w:rPr>
          <w:lang w:val="sv-SE"/>
        </w:rPr>
        <w:t>, Bandung: Remaja Rosdakarya, 2019.</w:t>
      </w:r>
    </w:p>
  </w:footnote>
  <w:footnote w:id="9">
    <w:p w:rsidR="00ED793F" w:rsidRPr="005E1B8D" w:rsidRDefault="00ED793F" w:rsidP="00ED793F">
      <w:pPr>
        <w:pStyle w:val="FootnoteText"/>
        <w:jc w:val="both"/>
        <w:rPr>
          <w:lang w:val="sv-SE"/>
        </w:rPr>
      </w:pPr>
      <w:r>
        <w:rPr>
          <w:rStyle w:val="FootnoteReference"/>
        </w:rPr>
        <w:footnoteRef/>
      </w:r>
      <w:r w:rsidRPr="005E1B8D">
        <w:rPr>
          <w:lang w:val="sv-SE"/>
        </w:rPr>
        <w:t xml:space="preserve"> Badan Pengembangan dan Pembinaan Bahasa, </w:t>
      </w:r>
      <w:r w:rsidRPr="005E1B8D">
        <w:rPr>
          <w:i/>
          <w:iCs/>
          <w:lang w:val="sv-SE"/>
        </w:rPr>
        <w:t>Kamus Besar Bahasa Indonesia (KBBI)</w:t>
      </w:r>
      <w:r w:rsidRPr="005E1B8D">
        <w:rPr>
          <w:lang w:val="sv-SE"/>
        </w:rPr>
        <w:t xml:space="preserve">, Jakarta: </w:t>
      </w:r>
      <w:r>
        <w:rPr>
          <w:lang w:val="sv-SE"/>
        </w:rPr>
        <w:br/>
      </w:r>
      <w:r w:rsidRPr="005E1B8D">
        <w:rPr>
          <w:lang w:val="sv-SE"/>
        </w:rPr>
        <w:t>Kementerian Pendidikan dan Kebudayaan, 2019.</w:t>
      </w:r>
    </w:p>
  </w:footnote>
  <w:footnote w:id="10">
    <w:p w:rsidR="00ED793F" w:rsidRPr="0050183F" w:rsidRDefault="00ED793F" w:rsidP="00ED793F">
      <w:pPr>
        <w:pStyle w:val="FootnoteText"/>
        <w:jc w:val="both"/>
        <w:rPr>
          <w:lang w:val="en-US"/>
        </w:rPr>
      </w:pPr>
      <w:r>
        <w:rPr>
          <w:rStyle w:val="FootnoteReference"/>
        </w:rPr>
        <w:footnoteRef/>
      </w:r>
      <w:r w:rsidRPr="0050183F">
        <w:t xml:space="preserve">Norman K. Denzin, </w:t>
      </w:r>
      <w:r w:rsidRPr="0050183F">
        <w:rPr>
          <w:i/>
          <w:iCs/>
        </w:rPr>
        <w:t>The Research Act: A Theoretical Introduction to Sociological Methods</w:t>
      </w:r>
      <w:r w:rsidRPr="0050183F">
        <w:t xml:space="preserve">, New </w:t>
      </w:r>
      <w:r>
        <w:br/>
      </w:r>
      <w:r w:rsidRPr="0050183F">
        <w:t>York: Routledge,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126F7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1" o:spid="_x0000_s2050" type="#_x0000_t75" style="position:absolute;margin-left:0;margin-top:0;width:425.25pt;height:419.5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126F7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2" o:spid="_x0000_s2051" type="#_x0000_t75" style="position:absolute;margin-left:0;margin-top:0;width:425.25pt;height:419.5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126F7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0" o:spid="_x0000_s2049" type="#_x0000_t75" style="position:absolute;margin-left:0;margin-top:0;width:425.25pt;height:419.5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605"/>
    <w:multiLevelType w:val="hybridMultilevel"/>
    <w:tmpl w:val="3E605B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1FF3C9F"/>
    <w:multiLevelType w:val="hybridMultilevel"/>
    <w:tmpl w:val="53C623B6"/>
    <w:lvl w:ilvl="0" w:tplc="70C21B7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0E3E49"/>
    <w:multiLevelType w:val="hybridMultilevel"/>
    <w:tmpl w:val="6388F8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9A827DE"/>
    <w:multiLevelType w:val="hybridMultilevel"/>
    <w:tmpl w:val="468E1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971C63"/>
    <w:multiLevelType w:val="hybridMultilevel"/>
    <w:tmpl w:val="73F62B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
    <w:nsid w:val="0F34603B"/>
    <w:multiLevelType w:val="multilevel"/>
    <w:tmpl w:val="37A4E2A2"/>
    <w:lvl w:ilvl="0">
      <w:start w:val="1"/>
      <w:numFmt w:val="lowerLetter"/>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4D34C7"/>
    <w:multiLevelType w:val="multilevel"/>
    <w:tmpl w:val="55C845F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
      <w:lvlJc w:val="left"/>
      <w:pPr>
        <w:ind w:left="720" w:hanging="360"/>
      </w:pPr>
      <w:rPr>
        <w:rFonts w:ascii="Symbol" w:hAnsi="Symbol"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
      <w:lvlJc w:val="left"/>
      <w:pPr>
        <w:ind w:left="4320" w:hanging="360"/>
      </w:pPr>
      <w:rPr>
        <w:rFonts w:ascii="Times New Roman" w:eastAsiaTheme="minorEastAsia"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45666"/>
    <w:multiLevelType w:val="multilevel"/>
    <w:tmpl w:val="7AE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552F9"/>
    <w:multiLevelType w:val="hybridMultilevel"/>
    <w:tmpl w:val="7D4683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F55197E"/>
    <w:multiLevelType w:val="multilevel"/>
    <w:tmpl w:val="390CF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D2AC3"/>
    <w:multiLevelType w:val="hybridMultilevel"/>
    <w:tmpl w:val="BA1EC2BC"/>
    <w:lvl w:ilvl="0" w:tplc="A7F28C74">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11">
    <w:nsid w:val="3E4D48B7"/>
    <w:multiLevelType w:val="hybridMultilevel"/>
    <w:tmpl w:val="A510D736"/>
    <w:lvl w:ilvl="0" w:tplc="9E4EA0BA">
      <w:start w:val="1"/>
      <w:numFmt w:val="decimal"/>
      <w:lvlText w:val="%1."/>
      <w:lvlJc w:val="left"/>
      <w:pPr>
        <w:ind w:left="371" w:hanging="360"/>
      </w:pPr>
      <w:rPr>
        <w:rFonts w:hint="default"/>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12">
    <w:nsid w:val="425214DE"/>
    <w:multiLevelType w:val="multilevel"/>
    <w:tmpl w:val="88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C85520"/>
    <w:multiLevelType w:val="multilevel"/>
    <w:tmpl w:val="D5E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0224E"/>
    <w:multiLevelType w:val="hybridMultilevel"/>
    <w:tmpl w:val="AA38CC30"/>
    <w:lvl w:ilvl="0" w:tplc="3809001B">
      <w:start w:val="1"/>
      <w:numFmt w:val="lowerRoman"/>
      <w:lvlText w:val="%1."/>
      <w:lvlJc w:val="right"/>
      <w:pPr>
        <w:ind w:left="4500" w:hanging="360"/>
      </w:pPr>
    </w:lvl>
    <w:lvl w:ilvl="1" w:tplc="38090019" w:tentative="1">
      <w:start w:val="1"/>
      <w:numFmt w:val="lowerLetter"/>
      <w:lvlText w:val="%2."/>
      <w:lvlJc w:val="left"/>
      <w:pPr>
        <w:ind w:left="5220" w:hanging="360"/>
      </w:pPr>
    </w:lvl>
    <w:lvl w:ilvl="2" w:tplc="3809001B" w:tentative="1">
      <w:start w:val="1"/>
      <w:numFmt w:val="lowerRoman"/>
      <w:lvlText w:val="%3."/>
      <w:lvlJc w:val="right"/>
      <w:pPr>
        <w:ind w:left="5940" w:hanging="180"/>
      </w:pPr>
    </w:lvl>
    <w:lvl w:ilvl="3" w:tplc="3809000F" w:tentative="1">
      <w:start w:val="1"/>
      <w:numFmt w:val="decimal"/>
      <w:lvlText w:val="%4."/>
      <w:lvlJc w:val="left"/>
      <w:pPr>
        <w:ind w:left="6660" w:hanging="360"/>
      </w:pPr>
    </w:lvl>
    <w:lvl w:ilvl="4" w:tplc="38090019" w:tentative="1">
      <w:start w:val="1"/>
      <w:numFmt w:val="lowerLetter"/>
      <w:lvlText w:val="%5."/>
      <w:lvlJc w:val="left"/>
      <w:pPr>
        <w:ind w:left="7380" w:hanging="360"/>
      </w:pPr>
    </w:lvl>
    <w:lvl w:ilvl="5" w:tplc="3809001B" w:tentative="1">
      <w:start w:val="1"/>
      <w:numFmt w:val="lowerRoman"/>
      <w:lvlText w:val="%6."/>
      <w:lvlJc w:val="right"/>
      <w:pPr>
        <w:ind w:left="8100" w:hanging="180"/>
      </w:pPr>
    </w:lvl>
    <w:lvl w:ilvl="6" w:tplc="3809000F" w:tentative="1">
      <w:start w:val="1"/>
      <w:numFmt w:val="decimal"/>
      <w:lvlText w:val="%7."/>
      <w:lvlJc w:val="left"/>
      <w:pPr>
        <w:ind w:left="8820" w:hanging="360"/>
      </w:pPr>
    </w:lvl>
    <w:lvl w:ilvl="7" w:tplc="38090019" w:tentative="1">
      <w:start w:val="1"/>
      <w:numFmt w:val="lowerLetter"/>
      <w:lvlText w:val="%8."/>
      <w:lvlJc w:val="left"/>
      <w:pPr>
        <w:ind w:left="9540" w:hanging="360"/>
      </w:pPr>
    </w:lvl>
    <w:lvl w:ilvl="8" w:tplc="3809001B" w:tentative="1">
      <w:start w:val="1"/>
      <w:numFmt w:val="lowerRoman"/>
      <w:lvlText w:val="%9."/>
      <w:lvlJc w:val="right"/>
      <w:pPr>
        <w:ind w:left="10260" w:hanging="180"/>
      </w:pPr>
    </w:lvl>
  </w:abstractNum>
  <w:abstractNum w:abstractNumId="15">
    <w:nsid w:val="4DA56F40"/>
    <w:multiLevelType w:val="hybridMultilevel"/>
    <w:tmpl w:val="0806332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DEE6969"/>
    <w:multiLevelType w:val="hybridMultilevel"/>
    <w:tmpl w:val="81040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4D802B5"/>
    <w:multiLevelType w:val="hybridMultilevel"/>
    <w:tmpl w:val="EBE6659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nsid w:val="696759E5"/>
    <w:multiLevelType w:val="hybridMultilevel"/>
    <w:tmpl w:val="61DCD45A"/>
    <w:lvl w:ilvl="0" w:tplc="3809000F">
      <w:start w:val="1"/>
      <w:numFmt w:val="decimal"/>
      <w:lvlText w:val="%1."/>
      <w:lvlJc w:val="left"/>
      <w:pPr>
        <w:ind w:left="720" w:hanging="360"/>
      </w:pPr>
      <w:rPr>
        <w:rFonts w:hint="default"/>
      </w:rPr>
    </w:lvl>
    <w:lvl w:ilvl="1" w:tplc="668A14F8">
      <w:start w:val="1"/>
      <w:numFmt w:val="upperLetter"/>
      <w:lvlText w:val="%2."/>
      <w:lvlJc w:val="left"/>
      <w:pPr>
        <w:ind w:left="1440" w:hanging="360"/>
      </w:pPr>
      <w:rPr>
        <w:rFonts w:cstheme="majorBid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63B7813"/>
    <w:multiLevelType w:val="hybridMultilevel"/>
    <w:tmpl w:val="AAAE5F9C"/>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20">
    <w:nsid w:val="76F318BA"/>
    <w:multiLevelType w:val="hybridMultilevel"/>
    <w:tmpl w:val="AA9EF744"/>
    <w:lvl w:ilvl="0" w:tplc="F2B6E188">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21">
    <w:nsid w:val="7D2F3696"/>
    <w:multiLevelType w:val="multilevel"/>
    <w:tmpl w:val="8988B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BC4D23"/>
    <w:multiLevelType w:val="multilevel"/>
    <w:tmpl w:val="8CDA28B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2062" w:hanging="360"/>
      </w:pPr>
      <w:rPr>
        <w:rFonts w:hint="default"/>
      </w:rPr>
    </w:lvl>
    <w:lvl w:ilvl="5">
      <w:start w:val="1"/>
      <w:numFmt w:val="bullet"/>
      <w:lvlText w:val="-"/>
      <w:lvlJc w:val="left"/>
      <w:pPr>
        <w:ind w:left="4320" w:hanging="360"/>
      </w:pPr>
      <w:rPr>
        <w:rFonts w:ascii="Times New Roman" w:eastAsiaTheme="minorEastAsia" w:hAnsi="Times New Roman" w:cs="Times New Roman" w:hint="default"/>
      </w:rPr>
    </w:lvl>
    <w:lvl w:ilvl="6">
      <w:start w:val="1"/>
      <w:numFmt w:val="upperLetter"/>
      <w:lvlText w:val="%7."/>
      <w:lvlJc w:val="left"/>
      <w:pPr>
        <w:ind w:left="5040" w:hanging="360"/>
      </w:p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1"/>
  </w:num>
  <w:num w:numId="4">
    <w:abstractNumId w:val="11"/>
  </w:num>
  <w:num w:numId="5">
    <w:abstractNumId w:val="10"/>
  </w:num>
  <w:num w:numId="6">
    <w:abstractNumId w:val="20"/>
  </w:num>
  <w:num w:numId="7">
    <w:abstractNumId w:val="8"/>
  </w:num>
  <w:num w:numId="8">
    <w:abstractNumId w:val="17"/>
  </w:num>
  <w:num w:numId="9">
    <w:abstractNumId w:val="7"/>
  </w:num>
  <w:num w:numId="10">
    <w:abstractNumId w:val="13"/>
  </w:num>
  <w:num w:numId="11">
    <w:abstractNumId w:val="9"/>
  </w:num>
  <w:num w:numId="12">
    <w:abstractNumId w:val="22"/>
  </w:num>
  <w:num w:numId="13">
    <w:abstractNumId w:val="21"/>
  </w:num>
  <w:num w:numId="14">
    <w:abstractNumId w:val="12"/>
  </w:num>
  <w:num w:numId="15">
    <w:abstractNumId w:val="2"/>
  </w:num>
  <w:num w:numId="16">
    <w:abstractNumId w:val="3"/>
  </w:num>
  <w:num w:numId="17">
    <w:abstractNumId w:val="0"/>
  </w:num>
  <w:num w:numId="18">
    <w:abstractNumId w:val="6"/>
  </w:num>
  <w:num w:numId="19">
    <w:abstractNumId w:val="19"/>
  </w:num>
  <w:num w:numId="20">
    <w:abstractNumId w:val="18"/>
  </w:num>
  <w:num w:numId="21">
    <w:abstractNumId w:val="15"/>
  </w:num>
  <w:num w:numId="22">
    <w:abstractNumId w:val="1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enforcement="1" w:cryptProviderType="rsaFull" w:cryptAlgorithmClass="hash" w:cryptAlgorithmType="typeAny" w:cryptAlgorithmSid="4" w:cryptSpinCount="50000" w:hash="AqY2aGdsKjopjVTdmYsWXC5jzHA=" w:salt="xgjYNox6LXIMcM/KmdZph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3C80"/>
    <w:rsid w:val="00092780"/>
    <w:rsid w:val="00126F73"/>
    <w:rsid w:val="00252B5B"/>
    <w:rsid w:val="00464A36"/>
    <w:rsid w:val="004C7A60"/>
    <w:rsid w:val="00652199"/>
    <w:rsid w:val="006A3179"/>
    <w:rsid w:val="0078743B"/>
    <w:rsid w:val="007E48BD"/>
    <w:rsid w:val="009054FD"/>
    <w:rsid w:val="0095090D"/>
    <w:rsid w:val="00CB3C80"/>
    <w:rsid w:val="00D1020F"/>
    <w:rsid w:val="00D24C25"/>
    <w:rsid w:val="00DB39B8"/>
    <w:rsid w:val="00ED7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1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79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rPr>
  </w:style>
  <w:style w:type="character" w:styleId="FootnoteReference">
    <w:name w:val="footnote reference"/>
    <w:basedOn w:val="DefaultParagraphFont"/>
    <w:uiPriority w:val="99"/>
    <w:semiHidden/>
    <w:unhideWhenUsed/>
    <w:rsid w:val="00D1020F"/>
    <w:rPr>
      <w:vertAlign w:val="superscript"/>
    </w:rPr>
  </w:style>
  <w:style w:type="character" w:customStyle="1" w:styleId="Heading3Char">
    <w:name w:val="Heading 3 Char"/>
    <w:basedOn w:val="DefaultParagraphFont"/>
    <w:link w:val="Heading3"/>
    <w:uiPriority w:val="9"/>
    <w:semiHidden/>
    <w:rsid w:val="00652199"/>
    <w:rPr>
      <w:rFonts w:asciiTheme="majorHAnsi" w:eastAsiaTheme="majorEastAsia" w:hAnsiTheme="majorHAnsi" w:cstheme="majorBidi"/>
      <w:b/>
      <w:bCs/>
      <w:color w:val="4F81BD" w:themeColor="accent1"/>
      <w:kern w:val="2"/>
      <w:sz w:val="24"/>
      <w:szCs w:val="24"/>
      <w:lang w:val="en-ID" w:eastAsia="zh-CN"/>
    </w:rPr>
  </w:style>
  <w:style w:type="character" w:styleId="Emphasis">
    <w:name w:val="Emphasis"/>
    <w:basedOn w:val="DefaultParagraphFont"/>
    <w:uiPriority w:val="20"/>
    <w:qFormat/>
    <w:rsid w:val="00652199"/>
    <w:rPr>
      <w:i/>
      <w:iCs/>
    </w:rPr>
  </w:style>
  <w:style w:type="character" w:styleId="Strong">
    <w:name w:val="Strong"/>
    <w:basedOn w:val="DefaultParagraphFont"/>
    <w:uiPriority w:val="22"/>
    <w:qFormat/>
    <w:rsid w:val="00652199"/>
    <w:rPr>
      <w:b/>
      <w:bCs/>
    </w:rPr>
  </w:style>
  <w:style w:type="character" w:customStyle="1" w:styleId="relative">
    <w:name w:val="relative"/>
    <w:basedOn w:val="DefaultParagraphFont"/>
    <w:rsid w:val="00652199"/>
  </w:style>
  <w:style w:type="paragraph" w:styleId="NormalWeb">
    <w:name w:val="Normal (Web)"/>
    <w:basedOn w:val="Normal"/>
    <w:uiPriority w:val="99"/>
    <w:unhideWhenUsed/>
    <w:rsid w:val="00652199"/>
    <w:pPr>
      <w:spacing w:before="100" w:beforeAutospacing="1" w:after="100" w:afterAutospacing="1" w:line="240" w:lineRule="auto"/>
    </w:pPr>
    <w:rPr>
      <w:rFonts w:ascii="Times New Roman" w:eastAsia="Times New Roman" w:hAnsi="Times New Roman" w:cs="Times New Roman"/>
      <w:kern w:val="0"/>
    </w:rPr>
  </w:style>
  <w:style w:type="character" w:customStyle="1" w:styleId="Heading4Char">
    <w:name w:val="Heading 4 Char"/>
    <w:basedOn w:val="DefaultParagraphFont"/>
    <w:link w:val="Heading4"/>
    <w:uiPriority w:val="9"/>
    <w:semiHidden/>
    <w:rsid w:val="00ED793F"/>
    <w:rPr>
      <w:rFonts w:asciiTheme="majorHAnsi" w:eastAsiaTheme="majorEastAsia" w:hAnsiTheme="majorHAnsi" w:cstheme="majorBidi"/>
      <w:b/>
      <w:bCs/>
      <w:i/>
      <w:iCs/>
      <w:color w:val="4F81BD" w:themeColor="accent1"/>
      <w:kern w:val="2"/>
      <w:sz w:val="24"/>
      <w:szCs w:val="24"/>
      <w:lang w:val="en-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14:ligatures w14:val="standardContextual"/>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1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79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14:ligatures w14:val="standardContextual"/>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14:ligatures w14:val="standardContextual"/>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14:ligatures w14:val="standardContextual"/>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14:ligatures w14:val="standardContextual"/>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14:ligatures w14:val="standardContextual"/>
    </w:rPr>
  </w:style>
  <w:style w:type="character" w:styleId="FootnoteReference">
    <w:name w:val="footnote reference"/>
    <w:basedOn w:val="DefaultParagraphFont"/>
    <w:uiPriority w:val="99"/>
    <w:semiHidden/>
    <w:unhideWhenUsed/>
    <w:rsid w:val="00D1020F"/>
    <w:rPr>
      <w:vertAlign w:val="superscript"/>
    </w:rPr>
  </w:style>
  <w:style w:type="character" w:customStyle="1" w:styleId="Heading3Char">
    <w:name w:val="Heading 3 Char"/>
    <w:basedOn w:val="DefaultParagraphFont"/>
    <w:link w:val="Heading3"/>
    <w:uiPriority w:val="9"/>
    <w:semiHidden/>
    <w:rsid w:val="00652199"/>
    <w:rPr>
      <w:rFonts w:asciiTheme="majorHAnsi" w:eastAsiaTheme="majorEastAsia" w:hAnsiTheme="majorHAnsi" w:cstheme="majorBidi"/>
      <w:b/>
      <w:bCs/>
      <w:color w:val="4F81BD" w:themeColor="accent1"/>
      <w:kern w:val="2"/>
      <w:sz w:val="24"/>
      <w:szCs w:val="24"/>
      <w:lang w:val="en-ID" w:eastAsia="zh-CN"/>
      <w14:ligatures w14:val="standardContextual"/>
    </w:rPr>
  </w:style>
  <w:style w:type="character" w:styleId="Emphasis">
    <w:name w:val="Emphasis"/>
    <w:basedOn w:val="DefaultParagraphFont"/>
    <w:uiPriority w:val="20"/>
    <w:qFormat/>
    <w:rsid w:val="00652199"/>
    <w:rPr>
      <w:i/>
      <w:iCs/>
    </w:rPr>
  </w:style>
  <w:style w:type="character" w:styleId="Strong">
    <w:name w:val="Strong"/>
    <w:basedOn w:val="DefaultParagraphFont"/>
    <w:uiPriority w:val="22"/>
    <w:qFormat/>
    <w:rsid w:val="00652199"/>
    <w:rPr>
      <w:b/>
      <w:bCs/>
    </w:rPr>
  </w:style>
  <w:style w:type="character" w:customStyle="1" w:styleId="relative">
    <w:name w:val="relative"/>
    <w:basedOn w:val="DefaultParagraphFont"/>
    <w:rsid w:val="00652199"/>
  </w:style>
  <w:style w:type="paragraph" w:styleId="NormalWeb">
    <w:name w:val="Normal (Web)"/>
    <w:basedOn w:val="Normal"/>
    <w:uiPriority w:val="99"/>
    <w:unhideWhenUsed/>
    <w:rsid w:val="006521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semiHidden/>
    <w:rsid w:val="00ED793F"/>
    <w:rPr>
      <w:rFonts w:asciiTheme="majorHAnsi" w:eastAsiaTheme="majorEastAsia" w:hAnsiTheme="majorHAnsi" w:cstheme="majorBidi"/>
      <w:b/>
      <w:bCs/>
      <w:i/>
      <w:iCs/>
      <w:color w:val="4F81BD" w:themeColor="accent1"/>
      <w:kern w:val="2"/>
      <w:sz w:val="24"/>
      <w:szCs w:val="24"/>
      <w:lang w:val="en-ID" w:eastAsia="zh-CN"/>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2025-12-04T02:20:00Z</dcterms:created>
  <dcterms:modified xsi:type="dcterms:W3CDTF">2025-12-04T02:20:00Z</dcterms:modified>
</cp:coreProperties>
</file>