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1DE" w:rsidRPr="001E3C4F" w:rsidRDefault="007E31DE" w:rsidP="007E31DE">
      <w:pPr>
        <w:tabs>
          <w:tab w:val="left" w:leader="dot" w:pos="7120"/>
        </w:tabs>
        <w:autoSpaceDE w:val="0"/>
        <w:autoSpaceDN w:val="0"/>
        <w:spacing w:after="0" w:line="480" w:lineRule="auto"/>
        <w:jc w:val="center"/>
        <w:rPr>
          <w:rFonts w:ascii="Times New Roman" w:hAnsi="Times New Roman" w:cs="Times New Roman"/>
          <w:sz w:val="24"/>
          <w:szCs w:val="24"/>
        </w:rPr>
      </w:pPr>
      <w:r w:rsidRPr="001E3C4F">
        <w:rPr>
          <w:rFonts w:ascii="Times New Roman" w:eastAsia="Calibri" w:hAnsi="Times New Roman" w:cs="Times New Roman"/>
          <w:b/>
          <w:color w:val="000000"/>
          <w:sz w:val="24"/>
          <w:szCs w:val="24"/>
        </w:rPr>
        <w:t>BABI</w:t>
      </w:r>
    </w:p>
    <w:p w:rsidR="007E31DE" w:rsidRPr="001E3C4F" w:rsidRDefault="007E31DE" w:rsidP="007E31DE">
      <w:pPr>
        <w:autoSpaceDE w:val="0"/>
        <w:autoSpaceDN w:val="0"/>
        <w:spacing w:after="0" w:line="480" w:lineRule="auto"/>
        <w:jc w:val="center"/>
        <w:rPr>
          <w:rFonts w:ascii="Times New Roman" w:hAnsi="Times New Roman" w:cs="Times New Roman"/>
          <w:sz w:val="24"/>
          <w:szCs w:val="24"/>
        </w:rPr>
      </w:pPr>
      <w:r w:rsidRPr="001E3C4F">
        <w:rPr>
          <w:rFonts w:ascii="Times New Roman" w:eastAsia="Calibri" w:hAnsi="Times New Roman" w:cs="Times New Roman"/>
          <w:b/>
          <w:color w:val="000000"/>
          <w:sz w:val="24"/>
          <w:szCs w:val="24"/>
        </w:rPr>
        <w:t>PENDAHULUAN</w:t>
      </w:r>
    </w:p>
    <w:p w:rsidR="007E31DE" w:rsidRPr="001E3C4F" w:rsidRDefault="007E31DE" w:rsidP="007E31DE">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A.Latar Belakang Masalah</w:t>
      </w:r>
    </w:p>
    <w:p w:rsidR="007E31DE" w:rsidRPr="001E3C4F" w:rsidRDefault="007E31DE" w:rsidP="007E31DE">
      <w:pPr>
        <w:autoSpaceDE w:val="0"/>
        <w:autoSpaceDN w:val="0"/>
        <w:spacing w:after="0" w:line="480" w:lineRule="auto"/>
        <w:ind w:left="20" w:right="12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Satuan Brigade Mobil (Brimob) merupakan satuan elit dalam tubuh Kepolisian Republik Indonesia yang memiliki tugas dan tanggung jawab tinggi dalam menjaga keamanan dan ketertiban nasional.Brimob memainkan peran strategis dalam menangani kejahatan berintensitas tinggi, konflik sosial, bencana alam, serta aksi-aksi terorisme yang mengancam stabilitas negara.Dalam menjalankan tugas-tugas tersebut, keberhasilan operasi sangat ditentukan oleh kesiapan sumber daya, salah satunya adalah ketersediaan dan keandalan barang logistik.</w:t>
      </w:r>
    </w:p>
    <w:p w:rsidR="007E31DE" w:rsidRPr="001E3C4F" w:rsidRDefault="007E31DE" w:rsidP="007E31DE">
      <w:pPr>
        <w:autoSpaceDE w:val="0"/>
        <w:autoSpaceDN w:val="0"/>
        <w:spacing w:after="0" w:line="480" w:lineRule="auto"/>
        <w:ind w:left="20" w:right="12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Barang logistik yang dibutuhkan oleh Brimob mencakup perlengkapan operasional seperti senjata api, amunisi, kendaraan taktis, alat komunikasi, hingga perlindungan diri seperti helm dan rompi antipeluru. Barang-barang ini tidak hanya bernilai tinggi secara ekonomis, tetapi juga sangat sensitif dan berisiko tinggi jika tidak dikelola secara cermat.Oleh karena itu, pengelolaan logistik tidak dapat dipandang sebagai aktivitas administratif semata, melainkan sebagai bagian integral dari strategi operasional dan keamanan nasional.</w:t>
      </w:r>
    </w:p>
    <w:p w:rsidR="007E31DE" w:rsidRPr="001E3C4F" w:rsidRDefault="007E31DE" w:rsidP="007E31DE">
      <w:pPr>
        <w:autoSpaceDE w:val="0"/>
        <w:autoSpaceDN w:val="0"/>
        <w:spacing w:after="0" w:line="480" w:lineRule="auto"/>
        <w:ind w:left="20" w:right="120" w:firstLine="740"/>
        <w:jc w:val="both"/>
        <w:rPr>
          <w:rFonts w:ascii="Times New Roman" w:eastAsia="SimSun" w:hAnsi="Times New Roman" w:cs="Times New Roman"/>
          <w:color w:val="000000"/>
          <w:sz w:val="24"/>
          <w:szCs w:val="24"/>
        </w:rPr>
      </w:pPr>
      <w:r w:rsidRPr="001E3C4F">
        <w:rPr>
          <w:rFonts w:ascii="Times New Roman" w:eastAsia="Calibri" w:hAnsi="Times New Roman" w:cs="Times New Roman"/>
          <w:color w:val="000000"/>
          <w:sz w:val="24"/>
          <w:szCs w:val="24"/>
        </w:rPr>
        <w:t>Dalam mendukung pelaksanaan tugas satuan taktis seperti Brimob, sistem logistik yang tertata rapi dan berjalan efektif menjadi sebuah keharusan. Hal ini menyangkut sistem pencatatan, pelaporan, pengawasan, dan pertanggungjawaban atas seluruh barang logistik yang digunakan dalam operasional kepolisian.Sistem</w:t>
      </w:r>
    </w:p>
    <w:p w:rsidR="007E31DE" w:rsidRPr="001E3C4F" w:rsidRDefault="007E31DE" w:rsidP="007E31DE">
      <w:pPr>
        <w:autoSpaceDE w:val="0"/>
        <w:autoSpaceDN w:val="0"/>
        <w:spacing w:after="0" w:line="480" w:lineRule="auto"/>
        <w:ind w:left="20" w:right="1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tersebut harus mampu menjamin transparansi, akurasi, dan akuntabilitas sesuai dengan regulasi hukum yang berlaku.</w:t>
      </w:r>
    </w:p>
    <w:p w:rsidR="007E31DE" w:rsidRPr="001E3C4F" w:rsidRDefault="007E31DE" w:rsidP="007E31DE">
      <w:pPr>
        <w:autoSpaceDE w:val="0"/>
        <w:autoSpaceDN w:val="0"/>
        <w:spacing w:after="0" w:line="480" w:lineRule="auto"/>
        <w:ind w:left="20" w:right="16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Sistem pengelolaan logistik dalam institusi Polri diatur melalui berbagai regulasi,antara lain Undang-Undang Nomor 1 Tahun 2004 tentang Perbendaharaan Negara,Peraturan Pemerintah Nomor 27 Tahun 2014 tentang Pengelolaan Barang Milik Negara/Daerah, serta Peraturan Kepala Kepolisian Negara Republik Indonesia (Perkap) Nomor 10 Tahun 2011 tentang Tata Cara Pengelolaan Barang Milik Negara di lingkungan Polri. Regulasi-regulasi ini menegaskan bahwa seluruh barang logistik harus tercatat secara tertib dan dapat dipertanggungjawabkan secara hukum.Namun, dalam praktiknya, pelaksanaan sistem ini masih menghadapi tantangan serius, baik secara teknis, struktural, maupun kultural.</w:t>
      </w:r>
    </w:p>
    <w:p w:rsidR="007E31DE" w:rsidRPr="001E3C4F" w:rsidRDefault="007E31DE" w:rsidP="007E31DE">
      <w:pPr>
        <w:autoSpaceDE w:val="0"/>
        <w:autoSpaceDN w:val="0"/>
        <w:spacing w:after="0" w:line="480" w:lineRule="auto"/>
        <w:ind w:left="20" w:right="16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Masalah-masalah yang kerap muncul antara lain adalah ketidaksesuaian antara data dalam sistem dengan kondisi barang secara fisik (mismatch data),keterlambatan pelaporan, minimnya kemampuan personel dalam mengoperasikan sistem logistik berbasis teknologi informasi, serta lemahnya fungsi kontrol dan audit internal. Hal ini menunjukkan adanya kesenjangan antara desain regulatif dan implementasi di lapangan, yang jika dibiarkan dapat berimplikasi serius terhadap aspek keamanan dan kredibilitas institusi.</w:t>
      </w:r>
    </w:p>
    <w:p w:rsidR="007E31DE" w:rsidRPr="001E3C4F" w:rsidRDefault="007E31DE" w:rsidP="007E31DE">
      <w:pPr>
        <w:autoSpaceDE w:val="0"/>
        <w:autoSpaceDN w:val="0"/>
        <w:spacing w:after="0" w:line="480" w:lineRule="auto"/>
        <w:ind w:left="20" w:right="160" w:firstLine="740"/>
        <w:jc w:val="both"/>
        <w:rPr>
          <w:rFonts w:ascii="Times New Roman" w:hAnsi="Times New Roman" w:cs="Times New Roman"/>
          <w:sz w:val="24"/>
          <w:szCs w:val="24"/>
        </w:rPr>
        <w:sectPr w:rsidR="007E31DE" w:rsidRPr="001E3C4F" w:rsidSect="007E31DE">
          <w:headerReference w:type="even" r:id="rId6"/>
          <w:headerReference w:type="default" r:id="rId7"/>
          <w:footerReference w:type="default" r:id="rId8"/>
          <w:headerReference w:type="first" r:id="rId9"/>
          <w:pgSz w:w="11907" w:h="16840" w:code="9"/>
          <w:pgMar w:top="2268" w:right="1701" w:bottom="1701" w:left="2268" w:header="780" w:footer="1080" w:gutter="0"/>
          <w:cols w:space="720"/>
        </w:sectPr>
      </w:pPr>
      <w:r w:rsidRPr="001E3C4F">
        <w:rPr>
          <w:rFonts w:ascii="Times New Roman" w:eastAsia="Calibri" w:hAnsi="Times New Roman" w:cs="Times New Roman"/>
          <w:color w:val="000000"/>
          <w:sz w:val="24"/>
          <w:szCs w:val="24"/>
        </w:rPr>
        <w:t xml:space="preserve">Pada tahun 2022 di lingkungan Polda Sumatera Utara, terjadi insiden kehilangan empat pucuk senjata api organik jenis SS1-V1 dan satu senjata jenis FN dari gudang senjata salah satu satuan kerja. Hasil pemeriksaan menunjukkan bahwa kelalaian dalam pencatatan dan lemahnya kontrol administratif menjadi </w:t>
      </w:r>
      <w:r w:rsidRPr="001E3C4F">
        <w:rPr>
          <w:rFonts w:ascii="Times New Roman" w:eastAsia="Calibri" w:hAnsi="Times New Roman" w:cs="Times New Roman"/>
          <w:color w:val="000000"/>
          <w:sz w:val="24"/>
          <w:szCs w:val="24"/>
        </w:rPr>
        <w:lastRenderedPageBreak/>
        <w:t>penyebab utama hilangnya senjata tersebut. Tidak adanya catatan pasti mengenai pergerakan</w:t>
      </w:r>
    </w:p>
    <w:p w:rsidR="007E31DE" w:rsidRPr="001E3C4F" w:rsidRDefault="007E31DE" w:rsidP="007E31DE">
      <w:pPr>
        <w:autoSpaceDE w:val="0"/>
        <w:autoSpaceDN w:val="0"/>
        <w:spacing w:after="0" w:line="480" w:lineRule="auto"/>
        <w:jc w:val="both"/>
        <w:rPr>
          <w:rFonts w:ascii="Times New Roman" w:eastAsia="SimSun" w:hAnsi="Times New Roman" w:cs="Times New Roman"/>
          <w:color w:val="000000"/>
          <w:sz w:val="24"/>
          <w:szCs w:val="24"/>
        </w:rPr>
      </w:pPr>
    </w:p>
    <w:p w:rsidR="007E31DE" w:rsidRPr="001E3C4F" w:rsidRDefault="007E31DE" w:rsidP="007E31DE">
      <w:pPr>
        <w:autoSpaceDE w:val="0"/>
        <w:autoSpaceDN w:val="0"/>
        <w:spacing w:after="0" w:line="480" w:lineRule="auto"/>
        <w:ind w:left="40" w:right="1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senjata, siapa yang meminjam, serta kapan senjata keluar dan tidak kembali,menggambarkan kelemahan sistemik dalam manajemen logistik.Peristiwa ini tidak hanya memunculkan sanksi disiplin terhadap personel terkait, tetapi juga menimbulkan kekhawatiran di tengah masyarakat mengenai potensi penyalahgunaan senjata api.</w:t>
      </w:r>
    </w:p>
    <w:p w:rsidR="007E31DE" w:rsidRPr="001E3C4F" w:rsidRDefault="007E31DE" w:rsidP="007E31DE">
      <w:pPr>
        <w:autoSpaceDE w:val="0"/>
        <w:autoSpaceDN w:val="0"/>
        <w:spacing w:after="0" w:line="480" w:lineRule="auto"/>
        <w:ind w:left="40" w:right="1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Kasus ini menjadi pelajaran penting bahwa sistem pencatatan dan pelaporan logistik bukan hanya soal administrasi, tetapi menyangkut tanggung jawab hukum dan moral aparat terhadap keamanan negara.Ketidakefisienan sistem dapat membuka celah bagi penyalahgunaan, kebocoran, bahkan pelanggaran hukum yang membahayakan keselamatan publik.</w:t>
      </w:r>
    </w:p>
    <w:p w:rsidR="007E31DE" w:rsidRPr="001E3C4F" w:rsidRDefault="007E31DE" w:rsidP="007E31DE">
      <w:pPr>
        <w:autoSpaceDE w:val="0"/>
        <w:autoSpaceDN w:val="0"/>
        <w:spacing w:after="0" w:line="480" w:lineRule="auto"/>
        <w:ind w:left="40" w:right="1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Mengingat pentingnya sistem logistik yang efektif dan akuntabel,maka perlu dilakukan kajian mendalam dari perspektif hukum administrasi negara terhadap efektivitas sistem pencatatan dan pelaporan logistik di lingkungan Satuan Brimob, khususnya di Polda Sumatera Utara. Kajian ini bertujuan untuk mengevaluasi sejauh mana sistem logistik yang diterapkan telah sesuai dengan kerangka hukum yang berlaku, mengidentifikasi faktor-faktor penghambat dalam pelaksanaannya, serta merumuskan rekomendasi strategis guna memperbaiki sistem yang ada.</w:t>
      </w:r>
    </w:p>
    <w:p w:rsidR="007E31DE" w:rsidRPr="001E3C4F" w:rsidRDefault="007E31DE" w:rsidP="007E31DE">
      <w:pPr>
        <w:autoSpaceDE w:val="0"/>
        <w:autoSpaceDN w:val="0"/>
        <w:spacing w:after="0" w:line="480" w:lineRule="auto"/>
        <w:ind w:left="40" w:right="140" w:firstLine="720"/>
        <w:jc w:val="both"/>
        <w:rPr>
          <w:rFonts w:ascii="Times New Roman" w:hAnsi="Times New Roman" w:cs="Times New Roman"/>
          <w:sz w:val="24"/>
          <w:szCs w:val="24"/>
        </w:rPr>
        <w:sectPr w:rsidR="007E31DE" w:rsidRPr="001E3C4F" w:rsidSect="001E3C4F">
          <w:headerReference w:type="even" r:id="rId10"/>
          <w:headerReference w:type="default" r:id="rId11"/>
          <w:footerReference w:type="default" r:id="rId12"/>
          <w:headerReference w:type="first" r:id="rId13"/>
          <w:type w:val="continuous"/>
          <w:pgSz w:w="11907" w:h="16840" w:code="9"/>
          <w:pgMar w:top="2268" w:right="1701" w:bottom="1701" w:left="2268" w:header="800" w:footer="1080" w:gutter="0"/>
          <w:cols w:space="720"/>
        </w:sectPr>
      </w:pPr>
      <w:r w:rsidRPr="001E3C4F">
        <w:rPr>
          <w:rFonts w:ascii="Times New Roman" w:eastAsia="Calibri" w:hAnsi="Times New Roman" w:cs="Times New Roman"/>
          <w:color w:val="000000"/>
          <w:sz w:val="24"/>
          <w:szCs w:val="24"/>
        </w:rPr>
        <w:t xml:space="preserve">Peneltian ini diharapkan dapat memberikan kontribusi konkret dalam membangun sistem logistik yang lebih transparan, tertib administrasi, dan dapat </w:t>
      </w:r>
      <w:r w:rsidRPr="001E3C4F">
        <w:rPr>
          <w:rFonts w:ascii="Times New Roman" w:eastAsia="Calibri" w:hAnsi="Times New Roman" w:cs="Times New Roman"/>
          <w:color w:val="000000"/>
          <w:sz w:val="24"/>
          <w:szCs w:val="24"/>
        </w:rPr>
        <w:lastRenderedPageBreak/>
        <w:t>dipertanggungjawabkan secara hukum. Selain itu, dari sisi akademis, kajian ini juga penting dalam mengisi kekosongan literatur terkait hubungan antara sistem logistik operasional kepolisian dengan aspek hukum tata kelola pemerintahan yang baik</w:t>
      </w:r>
    </w:p>
    <w:p w:rsidR="007E31DE" w:rsidRPr="001E3C4F" w:rsidRDefault="007E31DE" w:rsidP="007E31DE">
      <w:pPr>
        <w:autoSpaceDE w:val="0"/>
        <w:autoSpaceDN w:val="0"/>
        <w:spacing w:after="0" w:line="480" w:lineRule="auto"/>
        <w:jc w:val="both"/>
        <w:rPr>
          <w:rFonts w:ascii="Times New Roman" w:eastAsia="SimSun" w:hAnsi="Times New Roman" w:cs="Times New Roman"/>
          <w:color w:val="000000"/>
          <w:sz w:val="24"/>
          <w:szCs w:val="24"/>
        </w:rPr>
      </w:pPr>
    </w:p>
    <w:p w:rsidR="007E31DE" w:rsidRPr="001E3C4F" w:rsidRDefault="007E31DE" w:rsidP="007E31DE">
      <w:pPr>
        <w:autoSpaceDE w:val="0"/>
        <w:autoSpaceDN w:val="0"/>
        <w:spacing w:after="0" w:line="480" w:lineRule="auto"/>
        <w:jc w:val="both"/>
        <w:rPr>
          <w:rFonts w:ascii="Times New Roman" w:eastAsia="SimSun" w:hAnsi="Times New Roman" w:cs="Times New Roman"/>
          <w:color w:val="000000"/>
          <w:sz w:val="24"/>
          <w:szCs w:val="24"/>
        </w:rPr>
      </w:pPr>
    </w:p>
    <w:p w:rsidR="007E31DE" w:rsidRPr="001E3C4F" w:rsidRDefault="007E31DE" w:rsidP="007E31DE">
      <w:pPr>
        <w:autoSpaceDE w:val="0"/>
        <w:autoSpaceDN w:val="0"/>
        <w:spacing w:after="0" w:line="480" w:lineRule="auto"/>
        <w:ind w:left="80" w:right="100"/>
        <w:jc w:val="both"/>
        <w:rPr>
          <w:rFonts w:ascii="Times New Roman" w:hAnsi="Times New Roman" w:cs="Times New Roman"/>
          <w:sz w:val="24"/>
          <w:szCs w:val="24"/>
        </w:rPr>
      </w:pPr>
      <w:r w:rsidRPr="001E3C4F">
        <w:rPr>
          <w:rFonts w:ascii="Times New Roman" w:eastAsia="Calibri" w:hAnsi="Times New Roman" w:cs="Times New Roman"/>
          <w:i/>
          <w:color w:val="000000"/>
          <w:sz w:val="24"/>
          <w:szCs w:val="24"/>
        </w:rPr>
        <w:t>(goodgovernance)</w:t>
      </w:r>
      <w:r w:rsidRPr="001E3C4F">
        <w:rPr>
          <w:rFonts w:ascii="Times New Roman" w:eastAsia="Calibri" w:hAnsi="Times New Roman" w:cs="Times New Roman"/>
          <w:color w:val="000000"/>
          <w:sz w:val="24"/>
          <w:szCs w:val="24"/>
        </w:rPr>
        <w:t xml:space="preserve"> dan pertanggungjawaban aparatur negara. Dalam jangka panjang, perbaikan sistem logistik akan berdampak positif terhadap efektivitas pelaksanaan tugas Polri dan meningkatnya kepercayaan publik terhadap institusi kepolisian.</w:t>
      </w:r>
    </w:p>
    <w:p w:rsidR="007E31DE" w:rsidRPr="001E3C4F" w:rsidRDefault="007E31DE" w:rsidP="007E31DE">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B. Rumusan Masalah</w:t>
      </w:r>
    </w:p>
    <w:p w:rsidR="007E31DE" w:rsidRPr="001E3C4F" w:rsidRDefault="007E31DE" w:rsidP="007E31DE">
      <w:pPr>
        <w:autoSpaceDE w:val="0"/>
        <w:autoSpaceDN w:val="0"/>
        <w:spacing w:after="0" w:line="480" w:lineRule="auto"/>
        <w:ind w:left="760" w:right="100" w:hanging="3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Bagaimana pelaksanaan sistem pencatatan dan pelaporan barang logistik pada Satuan Brimob Polda Sumatera Utara menurut ketentuan hukum yang berlaku?</w:t>
      </w:r>
    </w:p>
    <w:p w:rsidR="007E31DE" w:rsidRPr="001E3C4F" w:rsidRDefault="007E31DE" w:rsidP="007E31DE">
      <w:pPr>
        <w:autoSpaceDE w:val="0"/>
        <w:autoSpaceDN w:val="0"/>
        <w:spacing w:after="0" w:line="480" w:lineRule="auto"/>
        <w:ind w:left="760" w:right="100" w:hanging="3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Bagaimana efektivitas sistem pencatatan dan pelaporan barang logistik tersebut dalam mendukung tugas operasional Satuan Brimob?</w:t>
      </w:r>
    </w:p>
    <w:p w:rsidR="007E31DE" w:rsidRPr="001E3C4F" w:rsidRDefault="007E31DE" w:rsidP="007E31DE">
      <w:pPr>
        <w:autoSpaceDE w:val="0"/>
        <w:autoSpaceDN w:val="0"/>
        <w:spacing w:after="0" w:line="480" w:lineRule="auto"/>
        <w:ind w:left="760" w:right="100" w:hanging="3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Bagaimana kendala hukum dan teknis yang dihadapi dalam sistem pencatatan dan pelaporan barang logistik pada Satuan Brimob Polda Sumatera Utara, serta bagaimana upaya yang dilakukan untuk mengatasinya?</w:t>
      </w:r>
    </w:p>
    <w:p w:rsidR="007E31DE" w:rsidRPr="001E3C4F" w:rsidRDefault="007E31DE" w:rsidP="007E31DE">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C. Tujuan Penelitian</w:t>
      </w:r>
    </w:p>
    <w:p w:rsidR="007E31DE" w:rsidRPr="001E3C4F" w:rsidRDefault="007E31DE" w:rsidP="007E31DE">
      <w:pPr>
        <w:autoSpaceDE w:val="0"/>
        <w:autoSpaceDN w:val="0"/>
        <w:spacing w:after="0" w:line="480" w:lineRule="auto"/>
        <w:ind w:left="760" w:right="100" w:hanging="3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Menganalisis pelaksanaan sistem pencatatan dan pelaporan barang logistik pada Satuan Brimob Polda Sumatera Utara berdasarkan ketentuan hukum yang berlaku.</w:t>
      </w:r>
    </w:p>
    <w:p w:rsidR="007E31DE" w:rsidRPr="001E3C4F" w:rsidRDefault="007E31DE" w:rsidP="007E31DE">
      <w:pPr>
        <w:autoSpaceDE w:val="0"/>
        <w:autoSpaceDN w:val="0"/>
        <w:spacing w:after="0" w:line="480" w:lineRule="auto"/>
        <w:ind w:left="760" w:right="100" w:hanging="340"/>
        <w:jc w:val="both"/>
        <w:rPr>
          <w:rFonts w:ascii="Times New Roman" w:eastAsia="SimSun" w:hAnsi="Times New Roman" w:cs="Times New Roman"/>
          <w:color w:val="000000"/>
          <w:sz w:val="24"/>
          <w:szCs w:val="24"/>
        </w:rPr>
      </w:pPr>
      <w:r w:rsidRPr="001E3C4F">
        <w:rPr>
          <w:rFonts w:ascii="Times New Roman" w:eastAsia="Calibri" w:hAnsi="Times New Roman" w:cs="Times New Roman"/>
          <w:color w:val="000000"/>
          <w:sz w:val="24"/>
          <w:szCs w:val="24"/>
        </w:rPr>
        <w:t>2) Menilai efektivitas sistem pencatatan dan pelaporan logistik dalam mendukung tugas dan fungsi satuan Brimob.</w:t>
      </w:r>
    </w:p>
    <w:p w:rsidR="007E31DE" w:rsidRPr="001E3C4F" w:rsidRDefault="007E31DE" w:rsidP="007E31DE">
      <w:pPr>
        <w:autoSpaceDE w:val="0"/>
        <w:autoSpaceDN w:val="0"/>
        <w:spacing w:after="0" w:line="480" w:lineRule="auto"/>
        <w:jc w:val="both"/>
        <w:rPr>
          <w:rFonts w:ascii="Times New Roman" w:eastAsia="SimSun" w:hAnsi="Times New Roman" w:cs="Times New Roman"/>
          <w:color w:val="000000"/>
          <w:sz w:val="24"/>
          <w:szCs w:val="24"/>
        </w:rPr>
      </w:pPr>
    </w:p>
    <w:p w:rsidR="007E31DE" w:rsidRPr="001E3C4F" w:rsidRDefault="007E31DE" w:rsidP="007E31DE">
      <w:pPr>
        <w:autoSpaceDE w:val="0"/>
        <w:autoSpaceDN w:val="0"/>
        <w:spacing w:after="0" w:line="480" w:lineRule="auto"/>
        <w:jc w:val="both"/>
        <w:rPr>
          <w:rFonts w:ascii="Times New Roman" w:eastAsia="SimSun" w:hAnsi="Times New Roman" w:cs="Times New Roman"/>
          <w:color w:val="000000"/>
          <w:sz w:val="24"/>
          <w:szCs w:val="24"/>
        </w:rPr>
      </w:pPr>
    </w:p>
    <w:p w:rsidR="007E31DE" w:rsidRPr="001E3C4F" w:rsidRDefault="007E31DE" w:rsidP="007E31DE">
      <w:pPr>
        <w:autoSpaceDE w:val="0"/>
        <w:autoSpaceDN w:val="0"/>
        <w:spacing w:after="0" w:line="480" w:lineRule="auto"/>
        <w:jc w:val="both"/>
        <w:rPr>
          <w:rFonts w:ascii="Times New Roman" w:eastAsia="SimSun" w:hAnsi="Times New Roman" w:cs="Times New Roman"/>
          <w:color w:val="000000"/>
          <w:sz w:val="24"/>
          <w:szCs w:val="24"/>
        </w:rPr>
      </w:pPr>
    </w:p>
    <w:p w:rsidR="007E31DE" w:rsidRPr="001E3C4F" w:rsidRDefault="007E31DE" w:rsidP="007E31DE">
      <w:pPr>
        <w:autoSpaceDE w:val="0"/>
        <w:autoSpaceDN w:val="0"/>
        <w:spacing w:after="0" w:line="480" w:lineRule="auto"/>
        <w:ind w:left="780" w:right="2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3) Mengidentifikasi kendala-kendala hukum dan teknis dalam sistem pencatatan dan pelaporan barang logistik serta memberikan rekomendasi solusi terhadap permasalahan tersebut.</w:t>
      </w:r>
    </w:p>
    <w:p w:rsidR="007E31DE" w:rsidRPr="001E3C4F" w:rsidRDefault="007E31DE" w:rsidP="007E31DE">
      <w:pPr>
        <w:autoSpaceDE w:val="0"/>
        <w:autoSpaceDN w:val="0"/>
        <w:spacing w:after="0" w:line="480" w:lineRule="auto"/>
        <w:ind w:firstLine="400"/>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D. Manfaat Penelitian</w:t>
      </w:r>
    </w:p>
    <w:p w:rsidR="007E31DE" w:rsidRDefault="007E31DE" w:rsidP="007E31DE">
      <w:pPr>
        <w:autoSpaceDE w:val="0"/>
        <w:autoSpaceDN w:val="0"/>
        <w:spacing w:after="0" w:line="480" w:lineRule="auto"/>
        <w:ind w:left="20" w:right="20" w:firstLine="760"/>
        <w:jc w:val="both"/>
        <w:rPr>
          <w:rFonts w:ascii="Times New Roman" w:eastAsia="Calibri" w:hAnsi="Times New Roman" w:cs="Times New Roman"/>
          <w:color w:val="000000"/>
          <w:sz w:val="24"/>
          <w:szCs w:val="24"/>
        </w:rPr>
      </w:pPr>
      <w:r w:rsidRPr="001E3C4F">
        <w:rPr>
          <w:rFonts w:ascii="Times New Roman" w:eastAsia="Calibri" w:hAnsi="Times New Roman" w:cs="Times New Roman"/>
          <w:color w:val="000000"/>
          <w:sz w:val="24"/>
          <w:szCs w:val="24"/>
        </w:rPr>
        <w:t>Penelitian ini diharapkan dapat memberikan kontribusi terhadap pengembangan ilmu hukum, khususnya dalam bidang hukum administrasi negara dan pengelolaan barang milik negara dan menjadi bahan kajian akademik bagi mahasiswa dan peneliti selanjutnya yang tertarik pada topik pengelolaan logistik di lingkungan institusi negara, serta memberikan masukan dan rekomendasi kepada Satuan Brimob Polda Sumatera Utara dalam rangka meningkatkan efektivitas sistem pencatatan dan pelaporan barang logistic dan menjadi acuan bagi institusi kepolisian dalam memperbaiki sistem administrasi logistik agar lebih akuntabel dan sesuai dengan ketentuan hukum yang berlaku</w:t>
      </w:r>
    </w:p>
    <w:p w:rsidR="00C822B5" w:rsidRPr="007E31DE" w:rsidRDefault="000C7AA9" w:rsidP="007E31DE">
      <w:bookmarkStart w:id="0" w:name="_GoBack"/>
      <w:bookmarkEnd w:id="0"/>
    </w:p>
    <w:sectPr w:rsidR="00C822B5" w:rsidRPr="007E31DE" w:rsidSect="00FF3453">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AA9" w:rsidRDefault="000C7AA9" w:rsidP="00FF3453">
      <w:pPr>
        <w:spacing w:after="0" w:line="240" w:lineRule="auto"/>
      </w:pPr>
      <w:r>
        <w:separator/>
      </w:r>
    </w:p>
  </w:endnote>
  <w:endnote w:type="continuationSeparator" w:id="1">
    <w:p w:rsidR="000C7AA9" w:rsidRDefault="000C7AA9" w:rsidP="00FF34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1DE" w:rsidRDefault="007E31D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1DE" w:rsidRDefault="007E31D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C4F" w:rsidRDefault="000C7AA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AA9" w:rsidRDefault="000C7AA9" w:rsidP="00FF3453">
      <w:pPr>
        <w:spacing w:after="0" w:line="240" w:lineRule="auto"/>
      </w:pPr>
      <w:r>
        <w:separator/>
      </w:r>
    </w:p>
  </w:footnote>
  <w:footnote w:type="continuationSeparator" w:id="1">
    <w:p w:rsidR="000C7AA9" w:rsidRDefault="000C7AA9" w:rsidP="00FF34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1DE" w:rsidRDefault="00FF345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445" o:spid="_x0000_s2062" type="#_x0000_t75" style="position:absolute;margin-left:0;margin-top:0;width:330.95pt;height:326.55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1DE" w:rsidRDefault="00FF3453">
    <w:pPr>
      <w:wordWrap w:val="0"/>
      <w:autoSpaceDE w:val="0"/>
      <w:autoSpaceDN w:val="0"/>
      <w:spacing w:after="0" w:line="272" w:lineRule="exact"/>
      <w:ind w:right="160"/>
      <w:jc w:val="right"/>
      <w:rPr>
        <w:sz w:val="21"/>
      </w:rPr>
    </w:pPr>
    <w:r w:rsidRPr="00FF3453">
      <w:rPr>
        <w:rFonts w:ascii="Calibri" w:eastAsia="Calibri" w:hAnsi="Calibri"/>
        <w:noProof/>
        <w:color w:val="000000"/>
        <w:sz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446" o:spid="_x0000_s2063" type="#_x0000_t75" style="position:absolute;left:0;text-align:left;margin-left:0;margin-top:0;width:330.95pt;height:326.55pt;z-index:-251648000;mso-position-horizontal:center;mso-position-horizontal-relative:margin;mso-position-vertical:center;mso-position-vertical-relative:margin" o:allowincell="f">
          <v:imagedata r:id="rId1" o:title="umn-300x296" gain="19661f" blacklevel="22938f"/>
          <w10:wrap anchorx="margin" anchory="margin"/>
        </v:shape>
      </w:pict>
    </w:r>
    <w:r w:rsidR="007E31DE">
      <w:rPr>
        <w:rFonts w:ascii="Calibri" w:eastAsia="Calibri" w:hAnsi="Calibri" w:hint="eastAsia"/>
        <w:color w:val="000000"/>
        <w:sz w:val="21"/>
      </w:rPr>
      <w:t>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1DE" w:rsidRDefault="00FF345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444" o:spid="_x0000_s2061" type="#_x0000_t75" style="position:absolute;margin-left:0;margin-top:0;width:330.95pt;height:326.55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1DE" w:rsidRDefault="00FF345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448" o:spid="_x0000_s2065" type="#_x0000_t75" style="position:absolute;margin-left:0;margin-top:0;width:330.95pt;height:326.55pt;z-index:-2516459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1DE" w:rsidRDefault="00FF3453">
    <w:pPr>
      <w:wordWrap w:val="0"/>
      <w:autoSpaceDE w:val="0"/>
      <w:autoSpaceDN w:val="0"/>
      <w:spacing w:after="0" w:line="259" w:lineRule="exact"/>
      <w:ind w:right="140"/>
      <w:jc w:val="right"/>
      <w:rPr>
        <w:sz w:val="20"/>
      </w:rPr>
    </w:pPr>
    <w:r w:rsidRPr="00FF3453">
      <w:rPr>
        <w:rFonts w:ascii="Calibri" w:eastAsia="Calibri" w:hAnsi="Calibri"/>
        <w:noProof/>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449" o:spid="_x0000_s2066" type="#_x0000_t75" style="position:absolute;left:0;text-align:left;margin-left:0;margin-top:0;width:330.95pt;height:326.55pt;z-index:-251644928;mso-position-horizontal:center;mso-position-horizontal-relative:margin;mso-position-vertical:center;mso-position-vertical-relative:margin" o:allowincell="f">
          <v:imagedata r:id="rId1" o:title="umn-300x296" gain="19661f" blacklevel="22938f"/>
          <w10:wrap anchorx="margin" anchory="margin"/>
        </v:shape>
      </w:pict>
    </w:r>
    <w:r w:rsidR="007E31DE">
      <w:rPr>
        <w:rFonts w:ascii="Calibri" w:eastAsia="Calibri" w:hAnsi="Calibri" w:hint="eastAsia"/>
        <w:color w:val="000000"/>
        <w:sz w:val="20"/>
      </w:rPr>
      <w:t>3</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1DE" w:rsidRDefault="00FF345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447" o:spid="_x0000_s2064" type="#_x0000_t75" style="position:absolute;margin-left:0;margin-top:0;width:330.95pt;height:326.55pt;z-index:-2516469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C4F" w:rsidRDefault="00FF345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418" o:spid="_x0000_s2053" type="#_x0000_t75" style="position:absolute;margin-left:0;margin-top:0;width:330.95pt;height:326.5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C4F" w:rsidRDefault="00FF3453">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419" o:spid="_x0000_s2054" type="#_x0000_t75" style="position:absolute;margin-left:0;margin-top:0;width:330.95pt;height:326.5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C4F" w:rsidRDefault="00FF345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417" o:spid="_x0000_s2052" type="#_x0000_t75" style="position:absolute;margin-left:0;margin-top:0;width:330.95pt;height:326.5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ocumentProtection w:edit="forms" w:enforcement="1" w:cryptProviderType="rsaFull" w:cryptAlgorithmClass="hash" w:cryptAlgorithmType="typeAny" w:cryptAlgorithmSid="4" w:cryptSpinCount="50000" w:hash="8D/Ocbtf7/keuBBGYrI5Plb6SQA=" w:salt="oaETx91Nipmg/QdRImOcK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C57E7"/>
    <w:rsid w:val="000C7AA9"/>
    <w:rsid w:val="003141EE"/>
    <w:rsid w:val="007E31DE"/>
    <w:rsid w:val="009C57E7"/>
    <w:rsid w:val="00D2112B"/>
    <w:rsid w:val="00D7373F"/>
    <w:rsid w:val="00FF34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E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7E7"/>
    <w:rPr>
      <w:rFonts w:eastAsiaTheme="minorEastAsia"/>
    </w:rPr>
  </w:style>
  <w:style w:type="paragraph" w:styleId="Footer">
    <w:name w:val="footer"/>
    <w:basedOn w:val="Normal"/>
    <w:link w:val="FooterChar"/>
    <w:uiPriority w:val="99"/>
    <w:unhideWhenUsed/>
    <w:rsid w:val="009C5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7E7"/>
    <w:rPr>
      <w:rFonts w:eastAsiaTheme="minorEastAsia"/>
    </w:rPr>
  </w:style>
  <w:style w:type="paragraph" w:styleId="BalloonText">
    <w:name w:val="Balloon Text"/>
    <w:basedOn w:val="Normal"/>
    <w:link w:val="BalloonTextChar"/>
    <w:uiPriority w:val="99"/>
    <w:semiHidden/>
    <w:unhideWhenUsed/>
    <w:rsid w:val="009C5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7E7"/>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E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7E7"/>
    <w:rPr>
      <w:rFonts w:eastAsiaTheme="minorEastAsia"/>
    </w:rPr>
  </w:style>
  <w:style w:type="paragraph" w:styleId="Footer">
    <w:name w:val="footer"/>
    <w:basedOn w:val="Normal"/>
    <w:link w:val="FooterChar"/>
    <w:uiPriority w:val="99"/>
    <w:unhideWhenUsed/>
    <w:rsid w:val="009C5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7E7"/>
    <w:rPr>
      <w:rFonts w:eastAsiaTheme="minorEastAsia"/>
    </w:rPr>
  </w:style>
  <w:style w:type="paragraph" w:styleId="BalloonText">
    <w:name w:val="Balloon Text"/>
    <w:basedOn w:val="Normal"/>
    <w:link w:val="BalloonTextChar"/>
    <w:uiPriority w:val="99"/>
    <w:semiHidden/>
    <w:unhideWhenUsed/>
    <w:rsid w:val="009C5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7E7"/>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2.xml"/><Relationship Id="rId17" Type="http://schemas.openxmlformats.org/officeDocument/2006/relationships/header" Target="header9.xml"/><Relationship Id="rId2" Type="http://schemas.openxmlformats.org/officeDocument/2006/relationships/settings" Target="settings.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header" Target="header8.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2025-12-04T03:43:00Z</dcterms:created>
  <dcterms:modified xsi:type="dcterms:W3CDTF">2025-12-04T03:43:00Z</dcterms:modified>
</cp:coreProperties>
</file>